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02D62"/>
          <w:sz w:val="32"/>
        </w:rPr>
        <w:t>SPMD 305: Exercise Programme Design</w:t>
      </w:r>
    </w:p>
    <w:p>
      <w:r>
        <w:rPr>
          <w:rFonts w:ascii="Calibri" w:hAnsi="Calibri"/>
          <w:i/>
          <w:sz w:val="24"/>
        </w:rPr>
        <w:t>(3 Lecture hours, 0 Laboratory hours, 3 Credits)</w:t>
      </w:r>
    </w:p>
    <w:p>
      <w:pPr>
        <w:spacing w:before="240" w:after="120"/>
      </w:pPr>
      <w:r>
        <w:rPr>
          <w:rFonts w:ascii="Calibri" w:hAnsi="Calibri"/>
          <w:b/>
          <w:color w:val="002D62"/>
          <w:sz w:val="28"/>
        </w:rPr>
        <w:t>Prerequisites</w:t>
      </w:r>
    </w:p>
    <w:p>
      <w:pPr>
        <w:spacing w:after="80"/>
      </w:pPr>
      <w:r>
        <w:rPr>
          <w:rFonts w:ascii="Calibri" w:hAnsi="Calibri"/>
          <w:b w:val="0"/>
          <w:sz w:val="22"/>
        </w:rPr>
        <w:t>SPMD 301: Foundations of Sports Medicine</w:t>
      </w:r>
    </w:p>
    <w:p>
      <w:pPr>
        <w:spacing w:after="80"/>
      </w:pPr>
      <w:r>
        <w:rPr>
          <w:rFonts w:ascii="Calibri" w:hAnsi="Calibri"/>
          <w:b w:val="0"/>
          <w:sz w:val="22"/>
        </w:rPr>
        <w:t>SPMD 302: Exercise Physiology</w:t>
      </w:r>
    </w:p>
    <w:p>
      <w:pPr>
        <w:spacing w:before="240" w:after="120"/>
      </w:pPr>
      <w:r>
        <w:rPr>
          <w:rFonts w:ascii="Calibri" w:hAnsi="Calibri"/>
          <w:b/>
          <w:color w:val="002D62"/>
          <w:sz w:val="28"/>
        </w:rPr>
        <w:t>Corequisites</w:t>
      </w:r>
    </w:p>
    <w:p>
      <w:pPr>
        <w:spacing w:after="80"/>
      </w:pPr>
      <w:r>
        <w:rPr>
          <w:rFonts w:ascii="Calibri" w:hAnsi="Calibri"/>
          <w:b w:val="0"/>
          <w:sz w:val="22"/>
        </w:rPr>
        <w:t>None</w:t>
      </w:r>
    </w:p>
    <w:p>
      <w:pPr>
        <w:spacing w:before="240" w:after="120"/>
      </w:pPr>
      <w:r>
        <w:rPr>
          <w:rFonts w:ascii="Calibri" w:hAnsi="Calibri"/>
          <w:b/>
          <w:color w:val="002D62"/>
          <w:sz w:val="28"/>
        </w:rPr>
        <w:t>Course Catalog Description</w:t>
      </w:r>
    </w:p>
    <w:p>
      <w:pPr>
        <w:spacing w:after="80"/>
      </w:pPr>
      <w:r>
        <w:rPr>
          <w:rFonts w:ascii="Calibri" w:hAnsi="Calibri"/>
          <w:b w:val="0"/>
          <w:sz w:val="22"/>
        </w:rPr>
        <w:t>This course develops competencies in evidence-based exercise programme design for healthy adults, athletes, and special populations. Students conduct comprehensive needs analyses, perform pre-participation health screening (PAR-Q+, ACSM risk stratification), and execute movement assessments to inform programme prescription. Core content includes the NASM Optimum Performance Training (OPT) model; linear, undulating, block, and conjugate periodization frameworks; manipulation of the FITT-VP programme variables (Frequency, Intensity, Time, Type, Volume, Progression); exercise selection and ordering; intensity and volume management; recovery and monitoring strategies; and population-specific modifications for youth, older adults, pregnant clients, and individuals with chronic disease. The course aligns with NASM-CPT, ACE-CPT, ISSA-CPT, ACSM-CPT, NSCA-CSCS, and REPs UAE Level 3 certification competencies.</w:t>
      </w:r>
    </w:p>
    <w:p>
      <w:pPr>
        <w:spacing w:before="240" w:after="120"/>
      </w:pPr>
      <w:r>
        <w:rPr>
          <w:rFonts w:ascii="Calibri" w:hAnsi="Calibri"/>
          <w:b/>
          <w:color w:val="002D62"/>
          <w:sz w:val="28"/>
        </w:rPr>
        <w:t>Textbook</w:t>
      </w:r>
    </w:p>
    <w:p>
      <w:pPr>
        <w:spacing w:after="80"/>
      </w:pPr>
      <w:r>
        <w:rPr>
          <w:rFonts w:ascii="Calibri" w:hAnsi="Calibri"/>
          <w:b w:val="0"/>
          <w:sz w:val="22"/>
        </w:rPr>
        <w:t>G. G. Haff and N. T. Triplett, Eds., Essentials of Strength Training and Conditioning, 5th ed. Champaign, IL, USA: Human Kinetics, 2024.</w:t>
      </w:r>
    </w:p>
    <w:p>
      <w:pPr>
        <w:spacing w:before="240" w:after="120"/>
      </w:pPr>
      <w:r>
        <w:rPr>
          <w:rFonts w:ascii="Calibri" w:hAnsi="Calibri"/>
          <w:b/>
          <w:color w:val="002D62"/>
          <w:sz w:val="28"/>
        </w:rPr>
        <w:t>Reference Materials</w:t>
      </w:r>
    </w:p>
    <w:p>
      <w:pPr>
        <w:spacing w:after="80"/>
      </w:pPr>
      <w:r>
        <w:rPr>
          <w:rFonts w:ascii="Calibri" w:hAnsi="Calibri"/>
          <w:b w:val="0"/>
          <w:sz w:val="22"/>
        </w:rPr>
        <w:t>B. A. Sutton, Ed., NASM Essentials of Personal Fitness Training, 7th ed. Burlington, MA, USA: Jones &amp; Bartlett Learning, 2022.</w:t>
      </w:r>
    </w:p>
    <w:p>
      <w:pPr>
        <w:spacing w:after="80"/>
      </w:pPr>
      <w:r>
        <w:rPr>
          <w:rFonts w:ascii="Calibri" w:hAnsi="Calibri"/>
          <w:b w:val="0"/>
          <w:sz w:val="22"/>
        </w:rPr>
        <w:t>American College of Sports Medicine, ACSM’s Guidelines for Exercise Testing and Prescription, 11th ed. Philadelphia, PA, USA: Wolters Kluwer, 2022.</w:t>
      </w:r>
    </w:p>
    <w:p>
      <w:pPr>
        <w:spacing w:after="80"/>
      </w:pPr>
      <w:r>
        <w:rPr>
          <w:rFonts w:ascii="Calibri" w:hAnsi="Calibri"/>
          <w:b w:val="0"/>
          <w:sz w:val="22"/>
        </w:rPr>
        <w:t>T. O. Bompa and C. Buzzichelli, Periodization: Theory and Methodology of Training, 6th ed. Champaign, IL, USA: Human Kinetics, 2019.</w:t>
      </w:r>
    </w:p>
    <w:p>
      <w:pPr>
        <w:spacing w:after="80"/>
      </w:pPr>
      <w:r>
        <w:rPr>
          <w:rFonts w:ascii="Calibri" w:hAnsi="Calibri"/>
          <w:b w:val="0"/>
          <w:sz w:val="22"/>
        </w:rPr>
        <w:t>Journal of Strength and Conditioning Research. Selected peer-reviewed articles, Lippincott Williams &amp; Wilkins for the National Strength and Conditioning Association.</w:t>
      </w:r>
    </w:p>
    <w:p>
      <w:pPr>
        <w:spacing w:before="240" w:after="120"/>
      </w:pPr>
      <w:r>
        <w:rPr>
          <w:rFonts w:ascii="Calibri" w:hAnsi="Calibri"/>
          <w:b/>
          <w:color w:val="002D62"/>
          <w:sz w:val="28"/>
        </w:rPr>
        <w:t>Course Structure &amp; Learning Methodology</w:t>
      </w:r>
    </w:p>
    <w:p>
      <w:pPr>
        <w:spacing w:after="80"/>
      </w:pPr>
      <w:r>
        <w:rPr>
          <w:rFonts w:ascii="Calibri" w:hAnsi="Calibri"/>
          <w:b w:val="0"/>
          <w:sz w:val="22"/>
        </w:rPr>
        <w:t>Lectures: 3 x 50-minutes per week. The course is delivered through interactive lectures, programme-design workshops, client case studies, peer review of student-authored exercise programmes, and guest lectures from REPs UAE certified strength &amp; conditioning coaches and personal trainers. Workshops emphasize translating physiological principles into prescriptive programme variables, with iterative feedback on programme drafts. Formative assessment is embedded throughout via low-stakes design exercises and structured peer critique using rubrics aligned to international certification standards.</w:t>
      </w:r>
    </w:p>
    <w:p>
      <w:pPr>
        <w:spacing w:before="240" w:after="120"/>
      </w:pPr>
      <w:r>
        <w:rPr>
          <w:rFonts w:ascii="Calibri" w:hAnsi="Calibri"/>
          <w:b/>
          <w:color w:val="002D62"/>
          <w:sz w:val="28"/>
        </w:rPr>
        <w:t>Course Topics</w:t>
      </w:r>
    </w:p>
    <w:tbl>
      <w:tblPr>
        <w:tblStyle w:val="TableGrid"/>
        <w:tblW w:type="auto" w:w="0"/>
        <w:tblLook w:firstColumn="1" w:firstRow="1" w:lastColumn="0" w:lastRow="0" w:noHBand="0" w:noVBand="1" w:val="04A0"/>
      </w:tblPr>
      <w:tblGrid>
        <w:gridCol w:w="1417"/>
        <w:gridCol w:w="7937"/>
      </w:tblGrid>
      <w:tr>
        <w:tc>
          <w:tcPr>
            <w:tcW w:type="dxa" w:w="4986"/>
            <w:shd w:fill="002D62"/>
          </w:tcPr>
          <w:p>
            <w:r>
              <w:rPr>
                <w:rFonts w:ascii="Calibri" w:hAnsi="Calibri"/>
                <w:b/>
                <w:color w:val="FFFFFF"/>
                <w:sz w:val="22"/>
              </w:rPr>
              <w:t>Week #</w:t>
            </w:r>
          </w:p>
        </w:tc>
        <w:tc>
          <w:tcPr>
            <w:tcW w:type="dxa" w:w="4986"/>
            <w:shd w:fill="002D62"/>
          </w:tcPr>
          <w:p>
            <w:r>
              <w:rPr>
                <w:rFonts w:ascii="Calibri" w:hAnsi="Calibri"/>
                <w:b/>
                <w:color w:val="FFFFFF"/>
                <w:sz w:val="22"/>
              </w:rPr>
              <w:t>Topics</w:t>
            </w:r>
          </w:p>
        </w:tc>
      </w:tr>
      <w:tr>
        <w:tc>
          <w:tcPr>
            <w:tcW w:type="dxa" w:w="4986"/>
          </w:tcPr>
          <w:p>
            <w:r>
              <w:t>01</w:t>
            </w:r>
          </w:p>
        </w:tc>
        <w:tc>
          <w:tcPr>
            <w:tcW w:type="dxa" w:w="4986"/>
          </w:tcPr>
          <w:p>
            <w:r>
              <w:t>Introduction to exercise programme design and the needs analysis framework</w:t>
            </w:r>
          </w:p>
        </w:tc>
      </w:tr>
      <w:tr>
        <w:tc>
          <w:tcPr>
            <w:tcW w:type="dxa" w:w="4986"/>
          </w:tcPr>
          <w:p>
            <w:r>
              <w:t>02</w:t>
            </w:r>
          </w:p>
        </w:tc>
        <w:tc>
          <w:tcPr>
            <w:tcW w:type="dxa" w:w="4986"/>
          </w:tcPr>
          <w:p>
            <w:r>
              <w:t>Pre-participation health screening: PAR-Q+, ACSM risk stratification, medical clearance</w:t>
            </w:r>
          </w:p>
        </w:tc>
      </w:tr>
      <w:tr>
        <w:tc>
          <w:tcPr>
            <w:tcW w:type="dxa" w:w="4986"/>
          </w:tcPr>
          <w:p>
            <w:r>
              <w:t>03</w:t>
            </w:r>
          </w:p>
        </w:tc>
        <w:tc>
          <w:tcPr>
            <w:tcW w:type="dxa" w:w="4986"/>
          </w:tcPr>
          <w:p>
            <w:r>
              <w:t>Movement assessment: NASM OPT overhead squat assessment and CHEK postural analysis</w:t>
            </w:r>
          </w:p>
        </w:tc>
      </w:tr>
      <w:tr>
        <w:tc>
          <w:tcPr>
            <w:tcW w:type="dxa" w:w="4986"/>
          </w:tcPr>
          <w:p>
            <w:r>
              <w:t>04</w:t>
            </w:r>
          </w:p>
        </w:tc>
        <w:tc>
          <w:tcPr>
            <w:tcW w:type="dxa" w:w="4986"/>
          </w:tcPr>
          <w:p>
            <w:r>
              <w:t>Cardiorespiratory programming using the FITT-VP framework and HR/VO2 reserve methods</w:t>
            </w:r>
          </w:p>
        </w:tc>
      </w:tr>
      <w:tr>
        <w:tc>
          <w:tcPr>
            <w:tcW w:type="dxa" w:w="4986"/>
          </w:tcPr>
          <w:p>
            <w:r>
              <w:t>05</w:t>
            </w:r>
          </w:p>
        </w:tc>
        <w:tc>
          <w:tcPr>
            <w:tcW w:type="dxa" w:w="4986"/>
          </w:tcPr>
          <w:p>
            <w:r>
              <w:t>Resistance training principles: specificity, overload, variation, and individualization</w:t>
            </w:r>
          </w:p>
        </w:tc>
      </w:tr>
      <w:tr>
        <w:tc>
          <w:tcPr>
            <w:tcW w:type="dxa" w:w="4986"/>
          </w:tcPr>
          <w:p>
            <w:r>
              <w:t>06</w:t>
            </w:r>
          </w:p>
        </w:tc>
        <w:tc>
          <w:tcPr>
            <w:tcW w:type="dxa" w:w="4986"/>
          </w:tcPr>
          <w:p>
            <w:r>
              <w:t>NASM OPT model Phases 1–3: stabilization endurance, strength endurance, hypertrophy</w:t>
            </w:r>
          </w:p>
        </w:tc>
      </w:tr>
      <w:tr>
        <w:tc>
          <w:tcPr>
            <w:tcW w:type="dxa" w:w="4986"/>
          </w:tcPr>
          <w:p>
            <w:r>
              <w:t>07</w:t>
            </w:r>
          </w:p>
        </w:tc>
        <w:tc>
          <w:tcPr>
            <w:tcW w:type="dxa" w:w="4986"/>
          </w:tcPr>
          <w:p>
            <w:r>
              <w:t>NASM OPT model Phases 4–5: maximal strength and power development</w:t>
            </w:r>
          </w:p>
        </w:tc>
      </w:tr>
      <w:tr>
        <w:tc>
          <w:tcPr>
            <w:tcW w:type="dxa" w:w="4986"/>
          </w:tcPr>
          <w:p>
            <w:r>
              <w:t>08</w:t>
            </w:r>
          </w:p>
        </w:tc>
        <w:tc>
          <w:tcPr>
            <w:tcW w:type="dxa" w:w="4986"/>
          </w:tcPr>
          <w:p>
            <w:r>
              <w:t>Periodization paradigms: linear, undulating (DUP), block, and conjugate models</w:t>
            </w:r>
          </w:p>
        </w:tc>
      </w:tr>
      <w:tr>
        <w:tc>
          <w:tcPr>
            <w:tcW w:type="dxa" w:w="4986"/>
          </w:tcPr>
          <w:p>
            <w:r>
              <w:t>09</w:t>
            </w:r>
          </w:p>
        </w:tc>
        <w:tc>
          <w:tcPr>
            <w:tcW w:type="dxa" w:w="4986"/>
          </w:tcPr>
          <w:p>
            <w:r>
              <w:t>Flexibility and mobility programming: static, dynamic, PNF, and self-myofascial release</w:t>
            </w:r>
          </w:p>
        </w:tc>
      </w:tr>
      <w:tr>
        <w:tc>
          <w:tcPr>
            <w:tcW w:type="dxa" w:w="4986"/>
          </w:tcPr>
          <w:p>
            <w:r>
              <w:t>10</w:t>
            </w:r>
          </w:p>
        </w:tc>
        <w:tc>
          <w:tcPr>
            <w:tcW w:type="dxa" w:w="4986"/>
          </w:tcPr>
          <w:p>
            <w:r>
              <w:t>Programming for body composition, fat loss, and lean mass accrual</w:t>
            </w:r>
          </w:p>
        </w:tc>
      </w:tr>
      <w:tr>
        <w:tc>
          <w:tcPr>
            <w:tcW w:type="dxa" w:w="4986"/>
          </w:tcPr>
          <w:p>
            <w:r>
              <w:t>11</w:t>
            </w:r>
          </w:p>
        </w:tc>
        <w:tc>
          <w:tcPr>
            <w:tcW w:type="dxa" w:w="4986"/>
          </w:tcPr>
          <w:p>
            <w:r>
              <w:t>Programming for athletic performance: speed, agility, plyometrics, and sport-specific transfer</w:t>
            </w:r>
          </w:p>
        </w:tc>
      </w:tr>
      <w:tr>
        <w:tc>
          <w:tcPr>
            <w:tcW w:type="dxa" w:w="4986"/>
          </w:tcPr>
          <w:p>
            <w:r>
              <w:t>12</w:t>
            </w:r>
          </w:p>
        </w:tc>
        <w:tc>
          <w:tcPr>
            <w:tcW w:type="dxa" w:w="4986"/>
          </w:tcPr>
          <w:p>
            <w:r>
              <w:t>Special populations I: youth athletes, older adults, and long-term athletic development</w:t>
            </w:r>
          </w:p>
        </w:tc>
      </w:tr>
      <w:tr>
        <w:tc>
          <w:tcPr>
            <w:tcW w:type="dxa" w:w="4986"/>
          </w:tcPr>
          <w:p>
            <w:r>
              <w:t>13</w:t>
            </w:r>
          </w:p>
        </w:tc>
        <w:tc>
          <w:tcPr>
            <w:tcW w:type="dxa" w:w="4986"/>
          </w:tcPr>
          <w:p>
            <w:r>
              <w:t>Special populations II: chronic disease (CVD, T2DM, hypertension), pregnancy and postpartum</w:t>
            </w:r>
          </w:p>
        </w:tc>
      </w:tr>
      <w:tr>
        <w:tc>
          <w:tcPr>
            <w:tcW w:type="dxa" w:w="4986"/>
          </w:tcPr>
          <w:p>
            <w:r>
              <w:t>14</w:t>
            </w:r>
          </w:p>
        </w:tc>
        <w:tc>
          <w:tcPr>
            <w:tcW w:type="dxa" w:w="4986"/>
          </w:tcPr>
          <w:p>
            <w:r>
              <w:t>Programme monitoring, progression and regression strategies, and load management</w:t>
            </w:r>
          </w:p>
        </w:tc>
      </w:tr>
      <w:tr>
        <w:tc>
          <w:tcPr>
            <w:tcW w:type="dxa" w:w="4986"/>
          </w:tcPr>
          <w:p>
            <w:r>
              <w:t>15</w:t>
            </w:r>
          </w:p>
        </w:tc>
        <w:tc>
          <w:tcPr>
            <w:tcW w:type="dxa" w:w="4986"/>
          </w:tcPr>
          <w:p>
            <w:r>
              <w:t>Programme review and client case defense; final integration and revision</w:t>
            </w:r>
          </w:p>
        </w:tc>
      </w:tr>
    </w:tbl>
    <w:p>
      <w:pPr>
        <w:spacing w:before="240" w:after="120"/>
      </w:pPr>
      <w:r>
        <w:rPr>
          <w:rFonts w:ascii="Calibri" w:hAnsi="Calibri"/>
          <w:b/>
          <w:color w:val="002D62"/>
          <w:sz w:val="28"/>
        </w:rPr>
        <w:t>Laboratory and/or Computing/Digital Resources</w:t>
      </w:r>
    </w:p>
    <w:p>
      <w:pPr>
        <w:spacing w:after="80"/>
      </w:pPr>
      <w:r>
        <w:rPr>
          <w:rFonts w:ascii="Calibri" w:hAnsi="Calibri"/>
          <w:b w:val="0"/>
          <w:sz w:val="22"/>
        </w:rPr>
        <w:t>Programme design software (TrainHeroic and BridgeAthletic free tiers), heart-rate zone calculators, 1RM estimation calculators (Epley, Brzycki), ACSM metabolic equations and calculators, body composition and energy-expenditure spreadsheets, video movement-screen tools, and the Blackboard Learning Management System.</w:t>
      </w:r>
    </w:p>
    <w:p>
      <w:pPr>
        <w:spacing w:before="240" w:after="120"/>
      </w:pPr>
      <w:r>
        <w:rPr>
          <w:rFonts w:ascii="Calibri" w:hAnsi="Calibri"/>
          <w:b/>
          <w:color w:val="002D62"/>
          <w:sz w:val="28"/>
        </w:rPr>
        <w:t>Course Learning Outcomes (CLO) and Contributions to BSc Clinical Nutrition &amp; Dietetics Program Learning Outcomes (PLO)*:</w:t>
      </w:r>
    </w:p>
    <w:p>
      <w:pPr>
        <w:spacing w:after="80"/>
      </w:pPr>
      <w:r>
        <w:rPr>
          <w:rFonts w:ascii="Calibri" w:hAnsi="Calibri"/>
          <w:b w:val="0"/>
          <w:sz w:val="20"/>
        </w:rPr>
        <w:t>*PLOs can be found in the academic catalog</w:t>
      </w:r>
    </w:p>
    <w:p>
      <w:pPr>
        <w:spacing w:after="80"/>
      </w:pPr>
      <w:r>
        <w:rPr>
          <w:rFonts w:ascii="Calibri" w:hAnsi="Calibri"/>
          <w:b w:val="0"/>
          <w:sz w:val="20"/>
        </w:rPr>
        <w:t>#Emphasis level: H: High; M: Medium; L: Low; N: Nothing specific</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002D62"/>
          </w:tcPr>
          <w:p>
            <w:r>
              <w:rPr>
                <w:rFonts w:ascii="Calibri" w:hAnsi="Calibri"/>
                <w:b/>
                <w:color w:val="FFFFFF"/>
                <w:sz w:val="22"/>
              </w:rPr>
              <w:t>No.</w:t>
            </w:r>
          </w:p>
        </w:tc>
        <w:tc>
          <w:tcPr>
            <w:tcW w:type="dxa" w:w="2493"/>
            <w:shd w:fill="002D62"/>
          </w:tcPr>
          <w:p>
            <w:r>
              <w:rPr>
                <w:rFonts w:ascii="Calibri" w:hAnsi="Calibri"/>
                <w:b/>
                <w:color w:val="FFFFFF"/>
                <w:sz w:val="22"/>
              </w:rPr>
              <w:t>CLOs</w:t>
            </w:r>
          </w:p>
        </w:tc>
        <w:tc>
          <w:tcPr>
            <w:tcW w:type="dxa" w:w="2493"/>
            <w:shd w:fill="002D62"/>
          </w:tcPr>
          <w:p>
            <w:r>
              <w:rPr>
                <w:rFonts w:ascii="Calibri" w:hAnsi="Calibri"/>
                <w:b/>
                <w:color w:val="FFFFFF"/>
                <w:sz w:val="22"/>
              </w:rPr>
              <w:t>PLOs</w:t>
            </w:r>
          </w:p>
        </w:tc>
        <w:tc>
          <w:tcPr>
            <w:tcW w:type="dxa" w:w="2493"/>
            <w:shd w:fill="002D62"/>
          </w:tcPr>
          <w:p>
            <w:r>
              <w:rPr>
                <w:rFonts w:ascii="Calibri" w:hAnsi="Calibri"/>
                <w:b/>
                <w:color w:val="FFFFFF"/>
                <w:sz w:val="22"/>
              </w:rPr>
              <w:t>Emphasis Level#</w:t>
            </w:r>
          </w:p>
        </w:tc>
      </w:tr>
      <w:tr>
        <w:tc>
          <w:tcPr>
            <w:tcW w:type="dxa" w:w="2493"/>
          </w:tcPr>
          <w:p>
            <w:r>
              <w:t>1</w:t>
            </w:r>
          </w:p>
        </w:tc>
        <w:tc>
          <w:tcPr>
            <w:tcW w:type="dxa" w:w="2493"/>
          </w:tcPr>
          <w:p>
            <w:r>
              <w:t>Conduct comprehensive needs analyses by integrating client health-screening data, movement assessments, training history, and goal-setting to inform evidence-based exercise programme design.</w:t>
            </w:r>
          </w:p>
        </w:tc>
        <w:tc>
          <w:tcPr>
            <w:tcW w:type="dxa" w:w="2493"/>
          </w:tcPr>
          <w:p>
            <w:r>
              <w:t>PLO 2</w:t>
            </w:r>
          </w:p>
        </w:tc>
        <w:tc>
          <w:tcPr>
            <w:tcW w:type="dxa" w:w="2493"/>
          </w:tcPr>
          <w:p>
            <w:r>
              <w:t>H</w:t>
            </w:r>
          </w:p>
        </w:tc>
      </w:tr>
      <w:tr>
        <w:tc>
          <w:tcPr>
            <w:tcW w:type="dxa" w:w="2493"/>
          </w:tcPr>
          <w:p>
            <w:r>
              <w:t>2</w:t>
            </w:r>
          </w:p>
        </w:tc>
        <w:tc>
          <w:tcPr>
            <w:tcW w:type="dxa" w:w="2493"/>
          </w:tcPr>
          <w:p>
            <w:r>
              <w:t>Design evidence-based periodized exercise programmes (linear, undulating, block) that systematically manipulate volume, intensity, and exercise selection across macro-, meso-, and microcycles.</w:t>
            </w:r>
          </w:p>
        </w:tc>
        <w:tc>
          <w:tcPr>
            <w:tcW w:type="dxa" w:w="2493"/>
          </w:tcPr>
          <w:p>
            <w:r>
              <w:t>PLO 2</w:t>
            </w:r>
          </w:p>
        </w:tc>
        <w:tc>
          <w:tcPr>
            <w:tcW w:type="dxa" w:w="2493"/>
          </w:tcPr>
          <w:p>
            <w:r>
              <w:t>H</w:t>
            </w:r>
          </w:p>
        </w:tc>
      </w:tr>
      <w:tr>
        <w:tc>
          <w:tcPr>
            <w:tcW w:type="dxa" w:w="2493"/>
          </w:tcPr>
          <w:p>
            <w:r>
              <w:t>3</w:t>
            </w:r>
          </w:p>
        </w:tc>
        <w:tc>
          <w:tcPr>
            <w:tcW w:type="dxa" w:w="2493"/>
          </w:tcPr>
          <w:p>
            <w:r>
              <w:t>Apply the FITT-VP framework and the NASM Optimum Performance Training (OPT) model to prescribe cardiorespiratory, resistance, flexibility, and power components consistent with international certification standards (NASM-CPT, ACE-CPT, ACSM-CPT, NSCA-CSCS, REPs UAE Level 3).</w:t>
            </w:r>
          </w:p>
        </w:tc>
        <w:tc>
          <w:tcPr>
            <w:tcW w:type="dxa" w:w="2493"/>
          </w:tcPr>
          <w:p>
            <w:r>
              <w:t>PLO 1</w:t>
            </w:r>
          </w:p>
        </w:tc>
        <w:tc>
          <w:tcPr>
            <w:tcW w:type="dxa" w:w="2493"/>
          </w:tcPr>
          <w:p>
            <w:r>
              <w:t>H</w:t>
            </w:r>
          </w:p>
        </w:tc>
      </w:tr>
      <w:tr>
        <w:tc>
          <w:tcPr>
            <w:tcW w:type="dxa" w:w="2493"/>
          </w:tcPr>
          <w:p>
            <w:r>
              <w:t>4</w:t>
            </w:r>
          </w:p>
        </w:tc>
        <w:tc>
          <w:tcPr>
            <w:tcW w:type="dxa" w:w="2493"/>
          </w:tcPr>
          <w:p>
            <w:r>
              <w:t>Modify exercise programmes for special populations — youth, older adults, pregnant clients, and individuals with chronic disease — by analyzing population-specific contraindications, physiological considerations, and outcome data.</w:t>
            </w:r>
          </w:p>
        </w:tc>
        <w:tc>
          <w:tcPr>
            <w:tcW w:type="dxa" w:w="2493"/>
          </w:tcPr>
          <w:p>
            <w:r>
              <w:t>PLO 3</w:t>
            </w:r>
          </w:p>
        </w:tc>
        <w:tc>
          <w:tcPr>
            <w:tcW w:type="dxa" w:w="2493"/>
          </w:tcPr>
          <w:p>
            <w:r>
              <w:t>M</w:t>
            </w:r>
          </w:p>
        </w:tc>
      </w:tr>
      <w:tr>
        <w:tc>
          <w:tcPr>
            <w:tcW w:type="dxa" w:w="2493"/>
          </w:tcPr>
          <w:p>
            <w:r>
              <w:t>5</w:t>
            </w:r>
          </w:p>
        </w:tc>
        <w:tc>
          <w:tcPr>
            <w:tcW w:type="dxa" w:w="2493"/>
          </w:tcPr>
          <w:p>
            <w:r>
              <w:t>Communicate programme rationale, progression logic, and expected outcomes to clients, coaches, and interdisciplinary teams through written programme documentation and oral case defenses.</w:t>
            </w:r>
          </w:p>
        </w:tc>
        <w:tc>
          <w:tcPr>
            <w:tcW w:type="dxa" w:w="2493"/>
          </w:tcPr>
          <w:p>
            <w:r>
              <w:t>PLO 4</w:t>
            </w:r>
          </w:p>
        </w:tc>
        <w:tc>
          <w:tcPr>
            <w:tcW w:type="dxa" w:w="2493"/>
          </w:tcPr>
          <w:p>
            <w:r>
              <w:t>M</w:t>
            </w:r>
          </w:p>
        </w:tc>
      </w:tr>
    </w:tbl>
    <w:p>
      <w:pPr>
        <w:spacing w:before="240" w:after="120"/>
      </w:pPr>
      <w:r>
        <w:rPr>
          <w:rFonts w:ascii="Calibri" w:hAnsi="Calibri"/>
          <w:b/>
          <w:color w:val="002D62"/>
          <w:sz w:val="28"/>
        </w:rPr>
        <w:t>Assessment</w:t>
      </w:r>
    </w:p>
    <w:p>
      <w:pPr>
        <w:spacing w:after="80"/>
      </w:pPr>
      <w:r>
        <w:rPr>
          <w:rFonts w:ascii="Calibri" w:hAnsi="Calibri"/>
          <w:b w:val="0"/>
          <w:sz w:val="22"/>
        </w:rPr>
        <w:t>All course learning outcomes are assessed using the following assessment tools.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002D62"/>
          </w:tcPr>
          <w:p>
            <w:r>
              <w:rPr>
                <w:rFonts w:ascii="Calibri" w:hAnsi="Calibri"/>
                <w:b/>
                <w:color w:val="FFFFFF"/>
                <w:sz w:val="22"/>
              </w:rPr>
              <w:t>Assessment Instruments</w:t>
            </w:r>
          </w:p>
        </w:tc>
        <w:tc>
          <w:tcPr>
            <w:tcW w:type="dxa" w:w="2493"/>
            <w:shd w:fill="002D62"/>
          </w:tcPr>
          <w:p>
            <w:r>
              <w:rPr>
                <w:rFonts w:ascii="Calibri" w:hAnsi="Calibri"/>
                <w:b/>
                <w:color w:val="FFFFFF"/>
                <w:sz w:val="22"/>
              </w:rPr>
              <w:t>Contribution to Course Grade (%)</w:t>
            </w:r>
          </w:p>
        </w:tc>
        <w:tc>
          <w:tcPr>
            <w:tcW w:type="dxa" w:w="2493"/>
            <w:shd w:fill="002D62"/>
          </w:tcPr>
          <w:p>
            <w:r>
              <w:rPr>
                <w:rFonts w:ascii="Calibri" w:hAnsi="Calibri"/>
                <w:b/>
                <w:color w:val="FFFFFF"/>
                <w:sz w:val="22"/>
              </w:rPr>
              <w:t>Week #</w:t>
            </w:r>
          </w:p>
        </w:tc>
        <w:tc>
          <w:tcPr>
            <w:tcW w:type="dxa" w:w="2493"/>
            <w:shd w:fill="002D62"/>
          </w:tcPr>
          <w:p>
            <w:r>
              <w:rPr>
                <w:rFonts w:ascii="Calibri" w:hAnsi="Calibri"/>
                <w:b/>
                <w:color w:val="FFFFFF"/>
                <w:sz w:val="22"/>
              </w:rPr>
              <w:t>CLO(s)</w:t>
            </w:r>
          </w:p>
        </w:tc>
      </w:tr>
      <w:tr>
        <w:tc>
          <w:tcPr>
            <w:tcW w:type="dxa" w:w="2493"/>
          </w:tcPr>
          <w:p>
            <w:r>
              <w:t>Quiz 1</w:t>
            </w:r>
          </w:p>
        </w:tc>
        <w:tc>
          <w:tcPr>
            <w:tcW w:type="dxa" w:w="2493"/>
          </w:tcPr>
          <w:p>
            <w:r>
              <w:t>7%</w:t>
            </w:r>
          </w:p>
        </w:tc>
        <w:tc>
          <w:tcPr>
            <w:tcW w:type="dxa" w:w="2493"/>
          </w:tcPr>
          <w:p>
            <w:r>
              <w:t>5</w:t>
            </w:r>
          </w:p>
        </w:tc>
        <w:tc>
          <w:tcPr>
            <w:tcW w:type="dxa" w:w="2493"/>
          </w:tcPr>
          <w:p>
            <w:r>
              <w:t>1, 3</w:t>
            </w:r>
          </w:p>
        </w:tc>
      </w:tr>
      <w:tr>
        <w:tc>
          <w:tcPr>
            <w:tcW w:type="dxa" w:w="2493"/>
          </w:tcPr>
          <w:p>
            <w:r>
              <w:t>Quiz 2</w:t>
            </w:r>
          </w:p>
        </w:tc>
        <w:tc>
          <w:tcPr>
            <w:tcW w:type="dxa" w:w="2493"/>
          </w:tcPr>
          <w:p>
            <w:r>
              <w:t>8%</w:t>
            </w:r>
          </w:p>
        </w:tc>
        <w:tc>
          <w:tcPr>
            <w:tcW w:type="dxa" w:w="2493"/>
          </w:tcPr>
          <w:p>
            <w:r>
              <w:t>11</w:t>
            </w:r>
          </w:p>
        </w:tc>
        <w:tc>
          <w:tcPr>
            <w:tcW w:type="dxa" w:w="2493"/>
          </w:tcPr>
          <w:p>
            <w:r>
              <w:t>2, 4</w:t>
            </w:r>
          </w:p>
        </w:tc>
      </w:tr>
      <w:tr>
        <w:tc>
          <w:tcPr>
            <w:tcW w:type="dxa" w:w="2493"/>
          </w:tcPr>
          <w:p>
            <w:r>
              <w:t>Midterm Examination</w:t>
            </w:r>
          </w:p>
        </w:tc>
        <w:tc>
          <w:tcPr>
            <w:tcW w:type="dxa" w:w="2493"/>
          </w:tcPr>
          <w:p>
            <w:r>
              <w:t>20%</w:t>
            </w:r>
          </w:p>
        </w:tc>
        <w:tc>
          <w:tcPr>
            <w:tcW w:type="dxa" w:w="2493"/>
          </w:tcPr>
          <w:p>
            <w:r>
              <w:t>8</w:t>
            </w:r>
          </w:p>
        </w:tc>
        <w:tc>
          <w:tcPr>
            <w:tcW w:type="dxa" w:w="2493"/>
          </w:tcPr>
          <w:p>
            <w:r>
              <w:t>1, 2, 3</w:t>
            </w:r>
          </w:p>
        </w:tc>
      </w:tr>
      <w:tr>
        <w:tc>
          <w:tcPr>
            <w:tcW w:type="dxa" w:w="2493"/>
          </w:tcPr>
          <w:p>
            <w:r>
              <w:t>Programme Design Project</w:t>
            </w:r>
          </w:p>
        </w:tc>
        <w:tc>
          <w:tcPr>
            <w:tcW w:type="dxa" w:w="2493"/>
          </w:tcPr>
          <w:p>
            <w:r>
              <w:t>20%</w:t>
            </w:r>
          </w:p>
        </w:tc>
        <w:tc>
          <w:tcPr>
            <w:tcW w:type="dxa" w:w="2493"/>
          </w:tcPr>
          <w:p>
            <w:r>
              <w:t>10–12</w:t>
            </w:r>
          </w:p>
        </w:tc>
        <w:tc>
          <w:tcPr>
            <w:tcW w:type="dxa" w:w="2493"/>
          </w:tcPr>
          <w:p>
            <w:r>
              <w:t>2, 4</w:t>
            </w:r>
          </w:p>
        </w:tc>
      </w:tr>
      <w:tr>
        <w:tc>
          <w:tcPr>
            <w:tcW w:type="dxa" w:w="2493"/>
          </w:tcPr>
          <w:p>
            <w:r>
              <w:t>Client Case Defense</w:t>
            </w:r>
          </w:p>
        </w:tc>
        <w:tc>
          <w:tcPr>
            <w:tcW w:type="dxa" w:w="2493"/>
          </w:tcPr>
          <w:p>
            <w:r>
              <w:t>20%</w:t>
            </w:r>
          </w:p>
        </w:tc>
        <w:tc>
          <w:tcPr>
            <w:tcW w:type="dxa" w:w="2493"/>
          </w:tcPr>
          <w:p>
            <w:r>
              <w:t>13–14</w:t>
            </w:r>
          </w:p>
        </w:tc>
        <w:tc>
          <w:tcPr>
            <w:tcW w:type="dxa" w:w="2493"/>
          </w:tcPr>
          <w:p>
            <w:r>
              <w:t>2, 4, 5</w:t>
            </w:r>
          </w:p>
        </w:tc>
      </w:tr>
      <w:tr>
        <w:tc>
          <w:tcPr>
            <w:tcW w:type="dxa" w:w="2493"/>
          </w:tcPr>
          <w:p>
            <w:r>
              <w:t>Final Comprehensive Examination</w:t>
            </w:r>
          </w:p>
        </w:tc>
        <w:tc>
          <w:tcPr>
            <w:tcW w:type="dxa" w:w="2493"/>
          </w:tcPr>
          <w:p>
            <w:r>
              <w:t>25%</w:t>
            </w:r>
          </w:p>
        </w:tc>
        <w:tc>
          <w:tcPr>
            <w:tcW w:type="dxa" w:w="2493"/>
          </w:tcPr>
          <w:p>
            <w:r>
              <w:t>Finals</w:t>
            </w:r>
          </w:p>
        </w:tc>
        <w:tc>
          <w:tcPr>
            <w:tcW w:type="dxa" w:w="2493"/>
          </w:tcPr>
          <w:p>
            <w:r>
              <w:t>1–5</w:t>
            </w:r>
          </w:p>
        </w:tc>
      </w:tr>
      <w:tr>
        <w:tc>
          <w:tcPr>
            <w:tcW w:type="dxa" w:w="2493"/>
          </w:tcPr>
          <w:p>
            <w:r>
              <w:rPr>
                <w:b/>
              </w:rPr>
              <w:t>Total</w:t>
            </w:r>
          </w:p>
        </w:tc>
        <w:tc>
          <w:tcPr>
            <w:tcW w:type="dxa" w:w="2493"/>
          </w:tcPr>
          <w:p>
            <w:r>
              <w:rPr>
                <w:b/>
              </w:rPr>
              <w:t>100%</w:t>
            </w:r>
          </w:p>
        </w:tc>
        <w:tc>
          <w:tcPr>
            <w:tcW w:type="dxa" w:w="2493"/>
          </w:tcPr>
          <w:p>
            <w:r/>
          </w:p>
        </w:tc>
        <w:tc>
          <w:tcPr>
            <w:tcW w:type="dxa" w:w="2493"/>
          </w:tcPr>
          <w:p>
            <w:r/>
          </w:p>
        </w:tc>
      </w:tr>
    </w:tbl>
    <w:p>
      <w:pPr>
        <w:spacing w:before="240" w:after="120"/>
      </w:pPr>
      <w:r>
        <w:rPr>
          <w:rFonts w:ascii="Calibri" w:hAnsi="Calibri"/>
          <w:b/>
          <w:color w:val="002D62"/>
          <w:sz w:val="28"/>
        </w:rPr>
        <w:t>Grading Scheme</w:t>
      </w:r>
    </w:p>
    <w:p>
      <w:pPr>
        <w:spacing w:after="80"/>
      </w:pPr>
      <w:r>
        <w:rPr>
          <w:rFonts w:ascii="Calibri" w:hAnsi="Calibri"/>
          <w:b w:val="0"/>
          <w:sz w:val="22"/>
        </w:rPr>
        <w:t>The official Khalifa University grading system uses letter grades with pluses and minuses. Passing grades range from A to D; F is failing. Each letter grade is assigned a grade point on a four-point scale as per the guidelines below:</w:t>
      </w:r>
    </w:p>
    <w:p>
      <w:pPr>
        <w:spacing w:after="80"/>
      </w:pPr>
      <w:r>
        <w:rPr>
          <w:rFonts w:ascii="Calibri" w:hAnsi="Calibri"/>
          <w:b/>
          <w:sz w:val="22"/>
        </w:rPr>
        <w:t>For undergraduate programs: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002D62"/>
          </w:tcPr>
          <w:p>
            <w:r>
              <w:rPr>
                <w:rFonts w:ascii="Calibri" w:hAnsi="Calibri"/>
                <w:b/>
                <w:color w:val="FFFFFF"/>
                <w:sz w:val="22"/>
              </w:rPr>
              <w:t>Letter Grade</w:t>
            </w:r>
          </w:p>
        </w:tc>
        <w:tc>
          <w:tcPr>
            <w:tcW w:type="dxa" w:w="2493"/>
            <w:shd w:fill="002D62"/>
          </w:tcPr>
          <w:p>
            <w:r>
              <w:rPr>
                <w:rFonts w:ascii="Calibri" w:hAnsi="Calibri"/>
                <w:b/>
                <w:color w:val="FFFFFF"/>
                <w:sz w:val="22"/>
              </w:rPr>
              <w:t>Grade Point</w:t>
            </w:r>
          </w:p>
        </w:tc>
        <w:tc>
          <w:tcPr>
            <w:tcW w:type="dxa" w:w="2493"/>
            <w:shd w:fill="002D62"/>
          </w:tcPr>
          <w:p>
            <w:r>
              <w:rPr>
                <w:rFonts w:ascii="Calibri" w:hAnsi="Calibri"/>
                <w:b/>
                <w:color w:val="FFFFFF"/>
                <w:sz w:val="22"/>
              </w:rPr>
              <w:t>Grade Range</w:t>
            </w:r>
          </w:p>
        </w:tc>
        <w:tc>
          <w:tcPr>
            <w:tcW w:type="dxa" w:w="2493"/>
            <w:shd w:fill="002D62"/>
          </w:tcPr>
          <w:p>
            <w:r>
              <w:rPr>
                <w:rFonts w:ascii="Calibri" w:hAnsi="Calibri"/>
                <w:b/>
                <w:color w:val="FFFFFF"/>
                <w:sz w:val="22"/>
              </w:rPr>
              <w:t>Description</w:t>
            </w:r>
          </w:p>
        </w:tc>
      </w:tr>
      <w:tr>
        <w:tc>
          <w:tcPr>
            <w:tcW w:type="dxa" w:w="2493"/>
          </w:tcPr>
          <w:p>
            <w:r>
              <w:t>A</w:t>
            </w:r>
          </w:p>
        </w:tc>
        <w:tc>
          <w:tcPr>
            <w:tcW w:type="dxa" w:w="2493"/>
          </w:tcPr>
          <w:p>
            <w:r>
              <w:t>4.00</w:t>
            </w:r>
          </w:p>
        </w:tc>
        <w:tc>
          <w:tcPr>
            <w:tcW w:type="dxa" w:w="2493"/>
          </w:tcPr>
          <w:p>
            <w:r>
              <w:t>From 92.5% to 100%</w:t>
            </w:r>
          </w:p>
        </w:tc>
        <w:tc>
          <w:tcPr>
            <w:tcW w:type="dxa" w:w="2493"/>
          </w:tcPr>
          <w:p>
            <w:r>
              <w:t>Excellent</w:t>
            </w:r>
          </w:p>
        </w:tc>
      </w:tr>
      <w:tr>
        <w:tc>
          <w:tcPr>
            <w:tcW w:type="dxa" w:w="2493"/>
          </w:tcPr>
          <w:p>
            <w:r>
              <w:t>A-</w:t>
            </w:r>
          </w:p>
        </w:tc>
        <w:tc>
          <w:tcPr>
            <w:tcW w:type="dxa" w:w="2493"/>
          </w:tcPr>
          <w:p>
            <w:r>
              <w:t>3.70</w:t>
            </w:r>
          </w:p>
        </w:tc>
        <w:tc>
          <w:tcPr>
            <w:tcW w:type="dxa" w:w="2493"/>
          </w:tcPr>
          <w:p>
            <w:r>
              <w:t>From 89.5% to less than 92.5%</w:t>
            </w:r>
          </w:p>
        </w:tc>
        <w:tc>
          <w:tcPr>
            <w:tcW w:type="dxa" w:w="2493"/>
          </w:tcPr>
          <w:p>
            <w:r>
              <w:t>Very Good</w:t>
            </w:r>
          </w:p>
        </w:tc>
      </w:tr>
      <w:tr>
        <w:tc>
          <w:tcPr>
            <w:tcW w:type="dxa" w:w="2493"/>
          </w:tcPr>
          <w:p>
            <w:r>
              <w:t>B+</w:t>
            </w:r>
          </w:p>
        </w:tc>
        <w:tc>
          <w:tcPr>
            <w:tcW w:type="dxa" w:w="2493"/>
          </w:tcPr>
          <w:p>
            <w:r>
              <w:t>3.30</w:t>
            </w:r>
          </w:p>
        </w:tc>
        <w:tc>
          <w:tcPr>
            <w:tcW w:type="dxa" w:w="2493"/>
          </w:tcPr>
          <w:p>
            <w:r>
              <w:t>From 86.5% to less than 89.5%</w:t>
            </w:r>
          </w:p>
        </w:tc>
        <w:tc>
          <w:tcPr>
            <w:tcW w:type="dxa" w:w="2493"/>
          </w:tcPr>
          <w:p>
            <w:r>
              <w:t>Very Good</w:t>
            </w:r>
          </w:p>
        </w:tc>
      </w:tr>
      <w:tr>
        <w:tc>
          <w:tcPr>
            <w:tcW w:type="dxa" w:w="2493"/>
          </w:tcPr>
          <w:p>
            <w:r>
              <w:t>B</w:t>
            </w:r>
          </w:p>
        </w:tc>
        <w:tc>
          <w:tcPr>
            <w:tcW w:type="dxa" w:w="2493"/>
          </w:tcPr>
          <w:p>
            <w:r>
              <w:t>3.00</w:t>
            </w:r>
          </w:p>
        </w:tc>
        <w:tc>
          <w:tcPr>
            <w:tcW w:type="dxa" w:w="2493"/>
          </w:tcPr>
          <w:p>
            <w:r>
              <w:t>From 82.5% to less than 86.5%</w:t>
            </w:r>
          </w:p>
        </w:tc>
        <w:tc>
          <w:tcPr>
            <w:tcW w:type="dxa" w:w="2493"/>
          </w:tcPr>
          <w:p>
            <w:r>
              <w:t>Good</w:t>
            </w:r>
          </w:p>
        </w:tc>
      </w:tr>
      <w:tr>
        <w:tc>
          <w:tcPr>
            <w:tcW w:type="dxa" w:w="2493"/>
          </w:tcPr>
          <w:p>
            <w:r>
              <w:t>B-</w:t>
            </w:r>
          </w:p>
        </w:tc>
        <w:tc>
          <w:tcPr>
            <w:tcW w:type="dxa" w:w="2493"/>
          </w:tcPr>
          <w:p>
            <w:r>
              <w:t>2.70</w:t>
            </w:r>
          </w:p>
        </w:tc>
        <w:tc>
          <w:tcPr>
            <w:tcW w:type="dxa" w:w="2493"/>
          </w:tcPr>
          <w:p>
            <w:r>
              <w:t>From 79.5% to less than 82.5%</w:t>
            </w:r>
          </w:p>
        </w:tc>
        <w:tc>
          <w:tcPr>
            <w:tcW w:type="dxa" w:w="2493"/>
          </w:tcPr>
          <w:p>
            <w:r>
              <w:t>Good</w:t>
            </w:r>
          </w:p>
        </w:tc>
      </w:tr>
      <w:tr>
        <w:tc>
          <w:tcPr>
            <w:tcW w:type="dxa" w:w="2493"/>
          </w:tcPr>
          <w:p>
            <w:r>
              <w:t>C+</w:t>
            </w:r>
          </w:p>
        </w:tc>
        <w:tc>
          <w:tcPr>
            <w:tcW w:type="dxa" w:w="2493"/>
          </w:tcPr>
          <w:p>
            <w:r>
              <w:t>2.30</w:t>
            </w:r>
          </w:p>
        </w:tc>
        <w:tc>
          <w:tcPr>
            <w:tcW w:type="dxa" w:w="2493"/>
          </w:tcPr>
          <w:p>
            <w:r>
              <w:t>From 76.5% to less than 79.5%</w:t>
            </w:r>
          </w:p>
        </w:tc>
        <w:tc>
          <w:tcPr>
            <w:tcW w:type="dxa" w:w="2493"/>
          </w:tcPr>
          <w:p>
            <w:r>
              <w:t>Satisfactory</w:t>
            </w:r>
          </w:p>
        </w:tc>
      </w:tr>
      <w:tr>
        <w:tc>
          <w:tcPr>
            <w:tcW w:type="dxa" w:w="2493"/>
          </w:tcPr>
          <w:p>
            <w:r>
              <w:t>C</w:t>
            </w:r>
          </w:p>
        </w:tc>
        <w:tc>
          <w:tcPr>
            <w:tcW w:type="dxa" w:w="2493"/>
          </w:tcPr>
          <w:p>
            <w:r>
              <w:t>2.00</w:t>
            </w:r>
          </w:p>
        </w:tc>
        <w:tc>
          <w:tcPr>
            <w:tcW w:type="dxa" w:w="2493"/>
          </w:tcPr>
          <w:p>
            <w:r>
              <w:t>From 72.5% to less than 76.5%</w:t>
            </w:r>
          </w:p>
        </w:tc>
        <w:tc>
          <w:tcPr>
            <w:tcW w:type="dxa" w:w="2493"/>
          </w:tcPr>
          <w:p>
            <w:r>
              <w:t>Satisfactory</w:t>
            </w:r>
          </w:p>
        </w:tc>
      </w:tr>
      <w:tr>
        <w:tc>
          <w:tcPr>
            <w:tcW w:type="dxa" w:w="2493"/>
          </w:tcPr>
          <w:p>
            <w:r>
              <w:t>C-</w:t>
            </w:r>
          </w:p>
        </w:tc>
        <w:tc>
          <w:tcPr>
            <w:tcW w:type="dxa" w:w="2493"/>
          </w:tcPr>
          <w:p>
            <w:r>
              <w:t>1.70</w:t>
            </w:r>
          </w:p>
        </w:tc>
        <w:tc>
          <w:tcPr>
            <w:tcW w:type="dxa" w:w="2493"/>
          </w:tcPr>
          <w:p>
            <w:r>
              <w:t>From 69.5% to less than 72.5%</w:t>
            </w:r>
          </w:p>
        </w:tc>
        <w:tc>
          <w:tcPr>
            <w:tcW w:type="dxa" w:w="2493"/>
          </w:tcPr>
          <w:p>
            <w:r>
              <w:t>Less than Satisfactory</w:t>
            </w:r>
          </w:p>
        </w:tc>
      </w:tr>
      <w:tr>
        <w:tc>
          <w:tcPr>
            <w:tcW w:type="dxa" w:w="2493"/>
          </w:tcPr>
          <w:p>
            <w:r>
              <w:t>D+</w:t>
            </w:r>
          </w:p>
        </w:tc>
        <w:tc>
          <w:tcPr>
            <w:tcW w:type="dxa" w:w="2493"/>
          </w:tcPr>
          <w:p>
            <w:r>
              <w:t>1.30</w:t>
            </w:r>
          </w:p>
        </w:tc>
        <w:tc>
          <w:tcPr>
            <w:tcW w:type="dxa" w:w="2493"/>
          </w:tcPr>
          <w:p>
            <w:r>
              <w:t>From 66.5% to less than 69.5%</w:t>
            </w:r>
          </w:p>
        </w:tc>
        <w:tc>
          <w:tcPr>
            <w:tcW w:type="dxa" w:w="2493"/>
          </w:tcPr>
          <w:p>
            <w:r>
              <w:t>Poor</w:t>
            </w:r>
          </w:p>
        </w:tc>
      </w:tr>
      <w:tr>
        <w:tc>
          <w:tcPr>
            <w:tcW w:type="dxa" w:w="2493"/>
          </w:tcPr>
          <w:p>
            <w:r>
              <w:t>D</w:t>
            </w:r>
          </w:p>
        </w:tc>
        <w:tc>
          <w:tcPr>
            <w:tcW w:type="dxa" w:w="2493"/>
          </w:tcPr>
          <w:p>
            <w:r>
              <w:t>1.00</w:t>
            </w:r>
          </w:p>
        </w:tc>
        <w:tc>
          <w:tcPr>
            <w:tcW w:type="dxa" w:w="2493"/>
          </w:tcPr>
          <w:p>
            <w:r>
              <w:t>From 60% to less than 66.5%</w:t>
            </w:r>
          </w:p>
        </w:tc>
        <w:tc>
          <w:tcPr>
            <w:tcW w:type="dxa" w:w="2493"/>
          </w:tcPr>
          <w:p>
            <w:r>
              <w:t>Poor</w:t>
            </w:r>
          </w:p>
        </w:tc>
      </w:tr>
      <w:tr>
        <w:tc>
          <w:tcPr>
            <w:tcW w:type="dxa" w:w="2493"/>
          </w:tcPr>
          <w:p>
            <w:r>
              <w:t>F</w:t>
            </w:r>
          </w:p>
        </w:tc>
        <w:tc>
          <w:tcPr>
            <w:tcW w:type="dxa" w:w="2493"/>
          </w:tcPr>
          <w:p>
            <w:r>
              <w:t>0.00</w:t>
            </w:r>
          </w:p>
        </w:tc>
        <w:tc>
          <w:tcPr>
            <w:tcW w:type="dxa" w:w="2493"/>
          </w:tcPr>
          <w:p>
            <w:r>
              <w:t>Less than 60%</w:t>
            </w:r>
          </w:p>
        </w:tc>
        <w:tc>
          <w:tcPr>
            <w:tcW w:type="dxa" w:w="2493"/>
          </w:tcPr>
          <w:p>
            <w:r>
              <w:t>Fail</w:t>
            </w:r>
          </w:p>
        </w:tc>
      </w:tr>
    </w:tbl>
    <w:p>
      <w:pPr>
        <w:spacing w:before="240" w:after="120"/>
      </w:pPr>
      <w:r>
        <w:rPr>
          <w:rFonts w:ascii="Calibri" w:hAnsi="Calibri"/>
          <w:b/>
          <w:color w:val="002D62"/>
          <w:sz w:val="28"/>
        </w:rPr>
        <w:t>Academic Integrity Statement</w:t>
      </w:r>
    </w:p>
    <w:p>
      <w:pPr>
        <w:spacing w:after="80"/>
      </w:pPr>
      <w:r>
        <w:rPr>
          <w:rFonts w:ascii="Calibri" w:hAnsi="Calibri"/>
          <w:b w:val="0"/>
          <w:sz w:val="22"/>
        </w:rPr>
        <w:t>“As a Khalifa University student, I will not lie, cheat, steal, or use any unfair means in academic work and will behave according to university rules and UAE societal norms and expectations.” Refer to ACA 3500 Academic Integrity Policy for more details.</w:t>
      </w:r>
    </w:p>
    <w:p>
      <w:pPr>
        <w:spacing w:before="240" w:after="120"/>
      </w:pPr>
      <w:r>
        <w:rPr>
          <w:rFonts w:ascii="Calibri" w:hAnsi="Calibri"/>
          <w:b/>
          <w:color w:val="002D62"/>
          <w:sz w:val="28"/>
        </w:rPr>
        <w:t>Copyright and Plagiarism</w:t>
      </w:r>
    </w:p>
    <w:p>
      <w:pPr>
        <w:spacing w:after="80"/>
      </w:pPr>
      <w:r>
        <w:rPr>
          <w:rFonts w:ascii="Calibri" w:hAnsi="Calibri"/>
          <w:b w:val="0"/>
          <w:sz w:val="22"/>
        </w:rPr>
        <w:t>All students must adhere to the university’s policies on copyright and plagiarism, including the ethical use of generative AI tools. Any use of AI-generated content must be properly attributed and must not violate academic integrity standards.</w:t>
      </w:r>
    </w:p>
    <w:p>
      <w:pPr>
        <w:spacing w:before="240" w:after="120"/>
      </w:pPr>
      <w:r>
        <w:rPr>
          <w:rFonts w:ascii="Calibri" w:hAnsi="Calibri"/>
          <w:b/>
          <w:color w:val="002D62"/>
          <w:sz w:val="28"/>
        </w:rPr>
        <w:t>Programme Design Project — Specification</w:t>
      </w:r>
    </w:p>
    <w:p>
      <w:pPr>
        <w:spacing w:after="80"/>
      </w:pPr>
      <w:r>
        <w:rPr>
          <w:rFonts w:ascii="Calibri" w:hAnsi="Calibri"/>
          <w:b w:val="0"/>
          <w:sz w:val="22"/>
        </w:rPr>
        <w:t>In Weeks 10–12, each student authors a 12-week periodized exercise programme for an assigned client persona drawn from one of four categories: (a) general-population body-composition client, (b) recreational endurance athlete, (c) intermediate strength-sport athlete, or (d) older adult with controlled cardiometabolic disease. Deliverables include: (i) a full needs analysis with PAR-Q+ and ACSM risk-stratification documentation, (ii) a written movement-assessment report identifying compensations and proposed corrective strategies, (iii) macrocycle, mesocycle, and microcycle planning documents with explicit FITT-VP variables, (iv) a session-by-session training log template with load prescriptions and progression criteria, and (v) a one-page client-facing summary written in plain language. Programmes are evaluated using a rubric aligned to NASM-CPT, ACSM-CPT, and NSCA-CSCS scope-of-practice requirements.</w:t>
      </w:r>
    </w:p>
    <w:p>
      <w:pPr>
        <w:spacing w:before="240" w:after="120"/>
      </w:pPr>
      <w:r>
        <w:rPr>
          <w:rFonts w:ascii="Calibri" w:hAnsi="Calibri"/>
          <w:b/>
          <w:color w:val="002D62"/>
          <w:sz w:val="28"/>
        </w:rPr>
        <w:t>Client Case Defense — Specification</w:t>
      </w:r>
    </w:p>
    <w:p>
      <w:pPr>
        <w:spacing w:after="80"/>
      </w:pPr>
      <w:r>
        <w:rPr>
          <w:rFonts w:ascii="Calibri" w:hAnsi="Calibri"/>
          <w:b w:val="0"/>
          <w:sz w:val="22"/>
        </w:rPr>
        <w:t>In Weeks 13–14, each student presents and defends the programme designed in the previous block to a panel comprising the instructor and one or more REPs UAE certified guest practitioners. The 15-minute oral defense requires the student to justify exercise selection, periodization logic, intensity and volume prescriptions, monitoring strategy, and any contraindication-driven modifications. Panelists pose scenario-based questions (e.g., client missed two weeks of training; client reports elevated resting heart rate; client requests a deload). Performance is scored on technical accuracy, communication clarity, professional demeanor, and the ability to revise the programme in real time in response to new information.</w:t>
      </w:r>
    </w:p>
    <w:p>
      <w:pPr>
        <w:spacing w:before="240" w:after="120"/>
      </w:pPr>
      <w:r>
        <w:rPr>
          <w:rFonts w:ascii="Calibri" w:hAnsi="Calibri"/>
          <w:b/>
          <w:color w:val="002D62"/>
          <w:sz w:val="28"/>
        </w:rPr>
        <w:t>Alignment with International Certification Standards</w:t>
      </w:r>
    </w:p>
    <w:p>
      <w:pPr>
        <w:spacing w:after="80"/>
      </w:pPr>
      <w:r>
        <w:rPr>
          <w:rFonts w:ascii="Calibri" w:hAnsi="Calibri"/>
          <w:b w:val="0"/>
          <w:sz w:val="22"/>
        </w:rPr>
        <w:t>Course content and assessment competencies are mapped to the published Job Task Analyses and content outlines of the National Academy of Sports Medicine Certified Personal Trainer (NASM-CPT), the American Council on Exercise Certified Personal Trainer (ACE-CPT), the International Sports Sciences Association Certified Personal Trainer (ISSA-CPT), the American College of Sports Medicine Certified Personal Trainer (ACSM-CPT), the National Strength and Conditioning Association Certified Strength and Conditioning Specialist (NSCA-CSCS), and Register of Exercise Professionals UAE (REPs UAE) Level 3. Successful completion of SPMD 305, together with SPMD 301–304, is intended to position graduates of the Sports &amp; Fitness Coaching track to sit for any of these certification examinations.</w:t>
      </w:r>
    </w:p>
    <w:p>
      <w:pPr>
        <w:spacing w:after="80"/>
      </w:pPr>
      <w:r>
        <w:rPr>
          <w:rFonts w:ascii="Calibri" w:hAnsi="Calibri"/>
          <w:b w:val="0"/>
          <w:sz w:val="22"/>
        </w:rPr>
      </w:r>
    </w:p>
    <w:p>
      <w:pPr>
        <w:spacing w:after="80"/>
      </w:pPr>
      <w:r>
        <w:rPr>
          <w:rFonts w:ascii="Calibri" w:hAnsi="Calibri"/>
          <w:b w:val="0"/>
          <w:i/>
          <w:sz w:val="22"/>
        </w:rPr>
        <w:t>This syllabus must be augmented by a syllabus supplement for students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