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8"/>
          <w:sz w:val="32"/>
        </w:rPr>
        <w:t>SPMD 308: Supervised Coaching Practicum</w:t>
      </w:r>
    </w:p>
    <w:p>
      <w:r>
        <w:rPr>
          <w:i/>
          <w:sz w:val="22"/>
        </w:rPr>
        <w:t>(0 Lecture hours, 120 Laboratory/Field hours, 3 Credits)</w:t>
      </w:r>
    </w:p>
    <w:p/>
    <w:p>
      <w:r>
        <w:rPr>
          <w:b/>
          <w:color w:val="1F3A68"/>
          <w:sz w:val="26"/>
        </w:rPr>
        <w:t>Prerequisites</w:t>
      </w:r>
    </w:p>
    <w:p>
      <w:r>
        <w:rPr>
          <w:b w:val="0"/>
          <w:i w:val="0"/>
          <w:sz w:val="22"/>
        </w:rPr>
        <w:t>SPMD 301: Foundations of Sports Medicine</w:t>
      </w:r>
    </w:p>
    <w:p>
      <w:r>
        <w:rPr>
          <w:b w:val="0"/>
          <w:i w:val="0"/>
          <w:sz w:val="22"/>
        </w:rPr>
        <w:t>SPMD 302: Sports Nutrition &amp; Hydration</w:t>
      </w:r>
    </w:p>
    <w:p>
      <w:r>
        <w:rPr>
          <w:b w:val="0"/>
          <w:i w:val="0"/>
          <w:sz w:val="22"/>
        </w:rPr>
        <w:t>SPMD 305: Exercise Programme Design</w:t>
      </w:r>
    </w:p>
    <w:p>
      <w:r>
        <w:rPr>
          <w:b w:val="0"/>
          <w:i w:val="0"/>
          <w:sz w:val="22"/>
        </w:rPr>
        <w:t>SPMD 306: Group Fitness Instruction</w:t>
      </w:r>
    </w:p>
    <w:p>
      <w:r>
        <w:rPr>
          <w:b/>
          <w:color w:val="1F3A68"/>
          <w:sz w:val="26"/>
        </w:rPr>
        <w:t>Corequisites</w:t>
      </w:r>
    </w:p>
    <w:p>
      <w:r>
        <w:rPr>
          <w:b w:val="0"/>
          <w:i w:val="0"/>
          <w:sz w:val="22"/>
        </w:rPr>
        <w:t>Valid CPR/AED and First Aid certification (American Heart Association Basic Life Support [BLS] for Healthcare Providers, or equivalent provider accepted by REPs UAE) must be current for the entire semester. Acceptable alternatives include the American Red Cross Adult and Pediatric CPR/AED + First Aid certification, the Emirates Red Crescent Authority CPR/AED course, and the European Resuscitation Council Basic Life Support certificate. Students must upload a scanned copy of their current certification card to Blackboard during Week 1; any student whose certification lapses during the semester will be withdrawn from on-site coaching duties until re-certification is verified.</w:t>
      </w:r>
    </w:p>
    <w:p>
      <w:r>
        <w:rPr>
          <w:b/>
          <w:color w:val="1F3A68"/>
          <w:sz w:val="26"/>
        </w:rPr>
        <w:t>Course Catalog Description</w:t>
      </w:r>
    </w:p>
    <w:p>
      <w:r>
        <w:rPr>
          <w:b w:val="0"/>
          <w:i w:val="0"/>
          <w:sz w:val="22"/>
        </w:rPr>
        <w:t>Supervised coaching practicum totaling 120 contact hours at Khalifa University-approved partner sites including the KU Sports Center, commercial fitness facilities (e.g., Fitness First UAE, Gold's Gym Abu Dhabi), corporate wellness programmes, and youth or community sport organizations. Students perform pre-participation screening and fitness assessments, design and deliver individualized and small-group exercise programmes, coach clients across the lifespan and ability spectrum, and document every session in compliance with REPs UAE and Department of Health-Abu Dhabi (DoH) professional standards. A weekly 50-minute reflective seminar at KU integrates field experience with classroom theory from SPMD 301-306 and prepares students for the practical-assessment components of NASM-CPT, ACE-CPT, NSCA-CSCS, and REPs UAE Level 3 certifications. This course is the capstone of the Sports &amp; Fitness Coaching track within the BSc Clinical Nutrition &amp; Dietetics Sports Medicine Minor and bridges classroom theory with industry practice, positioning graduates for immediate employment in the Abu Dhabi fitness sector and for sitting external certification examinations within six months of programme completion.</w:t>
      </w:r>
    </w:p>
    <w:p>
      <w:r>
        <w:rPr>
          <w:b/>
          <w:color w:val="1F3A68"/>
          <w:sz w:val="26"/>
        </w:rPr>
        <w:t>Textbook</w:t>
      </w:r>
    </w:p>
    <w:p>
      <w:r>
        <w:rPr>
          <w:b w:val="0"/>
          <w:i w:val="0"/>
          <w:sz w:val="22"/>
        </w:rPr>
        <w:t>[1] J. W. Coburn and M. H. Malek, Eds., NSCA's Essentials of Personal Training, 3rd ed. Champaign, IL, USA: Human Kinetics, 2022.</w:t>
      </w:r>
    </w:p>
    <w:p>
      <w:r>
        <w:rPr>
          <w:b w:val="0"/>
          <w:i w:val="0"/>
          <w:sz w:val="22"/>
        </w:rPr>
        <w:t>This text is used as the primary reference manual throughout the practicum and aligns directly with the NSCA-CPT and NSCA-CSCS examination blueprints. Students are expected to consult chapter-level guidance before each new client engagement, particularly for screening (Ch. 7), assessment (Ch. 10-13), and programme design (Ch. 14-19).</w:t>
      </w:r>
    </w:p>
    <w:p>
      <w:r>
        <w:rPr>
          <w:b/>
          <w:color w:val="1F3A68"/>
          <w:sz w:val="26"/>
        </w:rPr>
        <w:t>Reference Materials</w:t>
      </w:r>
    </w:p>
    <w:p>
      <w:r>
        <w:rPr>
          <w:b w:val="0"/>
          <w:i w:val="0"/>
          <w:sz w:val="22"/>
        </w:rPr>
        <w:t>[2] Register of Exercise Professionals (REPs) UAE, REPs UAE Code of Ethical Practice, current ed. Abu Dhabi, UAE: REPs UAE, 2024.</w:t>
      </w:r>
    </w:p>
    <w:p>
      <w:r>
        <w:rPr>
          <w:b w:val="0"/>
          <w:i w:val="0"/>
          <w:sz w:val="22"/>
        </w:rPr>
        <w:t>[3] American College of Sports Medicine, ACSM's Guidelines for Exercise Testing and Prescription, 11th ed. Philadelphia, PA, USA: Wolters Kluwer, 2021.</w:t>
      </w:r>
    </w:p>
    <w:p>
      <w:r>
        <w:rPr>
          <w:b w:val="0"/>
          <w:i w:val="0"/>
          <w:sz w:val="22"/>
        </w:rPr>
        <w:t>[4] Department of Health - Abu Dhabi, Professional Standards for Allied Health Practitioners, current ed. Abu Dhabi, UAE: DoH, 2024.</w:t>
      </w:r>
    </w:p>
    <w:p>
      <w:r>
        <w:rPr>
          <w:b w:val="0"/>
          <w:i w:val="0"/>
          <w:sz w:val="22"/>
        </w:rPr>
        <w:t>[5] IDEA Health &amp; Fitness Association, IDEA Code of Ethics for Personal Fitness Trainers. San Diego, CA, USA: IDEA, 2023.</w:t>
      </w:r>
    </w:p>
    <w:p>
      <w:r>
        <w:rPr>
          <w:b w:val="0"/>
          <w:i w:val="0"/>
          <w:sz w:val="22"/>
        </w:rPr>
        <w:t>[6] National Academy of Sports Medicine, NASM Essentials of Personal Fitness Training, 7th ed. Burlington, MA, USA: Jones &amp; Bartlett Learning, 2022.</w:t>
      </w:r>
    </w:p>
    <w:p>
      <w:r>
        <w:rPr>
          <w:b w:val="0"/>
          <w:i w:val="0"/>
          <w:sz w:val="22"/>
        </w:rPr>
        <w:t>[7] American Council on Exercise, ACE Personal Trainer Manual: The Ultimate Resource for Fitness Professionals, 6th ed. San Diego, CA, USA: ACE, 2023.</w:t>
      </w:r>
    </w:p>
    <w:p>
      <w:r>
        <w:rPr>
          <w:b/>
          <w:color w:val="1F3A68"/>
          <w:sz w:val="26"/>
        </w:rPr>
        <w:t>Course Structure &amp; Learning Methodology</w:t>
      </w:r>
    </w:p>
    <w:p>
      <w:r>
        <w:rPr>
          <w:b w:val="0"/>
          <w:i w:val="0"/>
          <w:sz w:val="22"/>
        </w:rPr>
        <w:t>The course is delivered as 120 hours of supervised on-site coaching practice across a 14-week semester (approximately 8-9 hours per week), complemented by a weekly 50-minute reflective seminar held on the KU campus. Each student is matched with a host site and a designated site supervisor who holds REPs UAE Level 3 or equivalent (NASM-CPT, ACE-CPT, NSCA-CSCS, or higher) certification. The site supervisor co-evaluates the student with the KU course director using standardized rubrics aligned to the NCCA-accredited certification competencies. The KU course director conducts three structured site visits (Weeks 4, 9, and 13) to observe live coaching, validate session documentation, audit AED and emergency-response readiness, and confer with the site supervisor on student progression.</w:t>
      </w:r>
    </w:p>
    <w:p>
      <w:r>
        <w:rPr>
          <w:b w:val="0"/>
          <w:i w:val="0"/>
          <w:sz w:val="22"/>
        </w:rPr>
        <w:t>Pedagogically, the practicum is grounded in Kolb's (1984) Experiential Learning Cycle: concrete experience on the gym floor is followed by reflective observation in the seminar, abstract conceptualization through readings and supervisor feedback, and active experimentation in subsequent sessions. The reflective seminar uses Gibbs' (1988) Reflective Cycle to integrate field experiences with theoretical content from SPMD 301-306, examine ethical dilemmas, and rehearse the practical-assessment formats used by NASM-CPT, ACE-CPT, NSCA-CSCS, and REPs UAE Level 3 certifications. Students progress through three scaffolded phases: observation and shadowing (Weeks 1-3), supervised co-coaching (Weeks 4-9), and independent coaching with supervisor oversight (Weeks 10-14).</w:t>
      </w:r>
    </w:p>
    <w:p>
      <w:r>
        <w:rPr>
          <w:b/>
          <w:color w:val="1F3A68"/>
          <w:sz w:val="26"/>
        </w:rPr>
        <w:t>Course Topics (Weekly Reflective Seminar)</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3A68"/>
          </w:tcPr>
          <w:p>
            <w:r>
              <w:rPr>
                <w:b/>
                <w:color w:val="FFFFFF"/>
                <w:sz w:val="21"/>
              </w:rPr>
              <w:t>Week #</w:t>
            </w:r>
          </w:p>
        </w:tc>
        <w:tc>
          <w:tcPr>
            <w:tcW w:type="dxa" w:w="4986"/>
            <w:shd w:val="clear" w:color="auto" w:fill="1F3A68"/>
          </w:tcPr>
          <w:p>
            <w:r>
              <w:rPr>
                <w:b/>
                <w:color w:val="FFFFFF"/>
                <w:sz w:val="21"/>
              </w:rPr>
              <w:t>Seminar Topic</w:t>
            </w:r>
          </w:p>
        </w:tc>
      </w:tr>
      <w:tr>
        <w:tc>
          <w:tcPr>
            <w:tcW w:type="dxa" w:w="4986"/>
          </w:tcPr>
          <w:p>
            <w:r>
              <w:t>01</w:t>
            </w:r>
          </w:p>
        </w:tc>
        <w:tc>
          <w:tcPr>
            <w:tcW w:type="dxa" w:w="4986"/>
          </w:tcPr>
          <w:p>
            <w:r>
              <w:t>Orientation, site assignment, safeguarding, and scope-of-practice for fitness professionals in the UAE</w:t>
            </w:r>
          </w:p>
        </w:tc>
      </w:tr>
      <w:tr>
        <w:tc>
          <w:tcPr>
            <w:tcW w:type="dxa" w:w="4986"/>
          </w:tcPr>
          <w:p>
            <w:r>
              <w:t>02</w:t>
            </w:r>
          </w:p>
        </w:tc>
        <w:tc>
          <w:tcPr>
            <w:tcW w:type="dxa" w:w="4986"/>
          </w:tcPr>
          <w:p>
            <w:r>
              <w:t>Client intake, pre-participation screening (PAR-Q+, ACSM risk stratification), and informed consent</w:t>
            </w:r>
          </w:p>
        </w:tc>
      </w:tr>
      <w:tr>
        <w:tc>
          <w:tcPr>
            <w:tcW w:type="dxa" w:w="4986"/>
          </w:tcPr>
          <w:p>
            <w:r>
              <w:t>03</w:t>
            </w:r>
          </w:p>
        </w:tc>
        <w:tc>
          <w:tcPr>
            <w:tcW w:type="dxa" w:w="4986"/>
          </w:tcPr>
          <w:p>
            <w:r>
              <w:t>Fitness assessment battery: body composition, cardiorespiratory, muscular strength and endurance, and flexibility</w:t>
            </w:r>
          </w:p>
        </w:tc>
      </w:tr>
      <w:tr>
        <w:tc>
          <w:tcPr>
            <w:tcW w:type="dxa" w:w="4986"/>
          </w:tcPr>
          <w:p>
            <w:r>
              <w:t>04</w:t>
            </w:r>
          </w:p>
        </w:tc>
        <w:tc>
          <w:tcPr>
            <w:tcW w:type="dxa" w:w="4986"/>
          </w:tcPr>
          <w:p>
            <w:r>
              <w:t>Programme design for first clients: needs analysis, periodization, and FITT-VP application</w:t>
            </w:r>
          </w:p>
        </w:tc>
      </w:tr>
      <w:tr>
        <w:tc>
          <w:tcPr>
            <w:tcW w:type="dxa" w:w="4986"/>
          </w:tcPr>
          <w:p>
            <w:r>
              <w:t>05</w:t>
            </w:r>
          </w:p>
        </w:tc>
        <w:tc>
          <w:tcPr>
            <w:tcW w:type="dxa" w:w="4986"/>
          </w:tcPr>
          <w:p>
            <w:r>
              <w:t>Coaching cues, exercise demonstration technique, spotting, and manual assistance</w:t>
            </w:r>
          </w:p>
        </w:tc>
      </w:tr>
      <w:tr>
        <w:tc>
          <w:tcPr>
            <w:tcW w:type="dxa" w:w="4986"/>
          </w:tcPr>
          <w:p>
            <w:r>
              <w:t>06</w:t>
            </w:r>
          </w:p>
        </w:tc>
        <w:tc>
          <w:tcPr>
            <w:tcW w:type="dxa" w:w="4986"/>
          </w:tcPr>
          <w:p>
            <w:r>
              <w:t>Behavior change strategies: motivational interviewing, SMART goals, and adherence techniques</w:t>
            </w:r>
          </w:p>
        </w:tc>
      </w:tr>
      <w:tr>
        <w:tc>
          <w:tcPr>
            <w:tcW w:type="dxa" w:w="4986"/>
          </w:tcPr>
          <w:p>
            <w:r>
              <w:t>07</w:t>
            </w:r>
          </w:p>
        </w:tc>
        <w:tc>
          <w:tcPr>
            <w:tcW w:type="dxa" w:w="4986"/>
          </w:tcPr>
          <w:p>
            <w:r>
              <w:t>Mid-practicum review and supervisor 360-degree feedback session</w:t>
            </w:r>
          </w:p>
        </w:tc>
      </w:tr>
      <w:tr>
        <w:tc>
          <w:tcPr>
            <w:tcW w:type="dxa" w:w="4986"/>
          </w:tcPr>
          <w:p>
            <w:r>
              <w:t>08</w:t>
            </w:r>
          </w:p>
        </w:tc>
        <w:tc>
          <w:tcPr>
            <w:tcW w:type="dxa" w:w="4986"/>
          </w:tcPr>
          <w:p>
            <w:r>
              <w:t>Group exercise leadership rotation: cueing, formation control, and music tempo selection</w:t>
            </w:r>
          </w:p>
        </w:tc>
      </w:tr>
      <w:tr>
        <w:tc>
          <w:tcPr>
            <w:tcW w:type="dxa" w:w="4986"/>
          </w:tcPr>
          <w:p>
            <w:r>
              <w:t>09</w:t>
            </w:r>
          </w:p>
        </w:tc>
        <w:tc>
          <w:tcPr>
            <w:tcW w:type="dxa" w:w="4986"/>
          </w:tcPr>
          <w:p>
            <w:r>
              <w:t>Coaching a special-population client (older adult OR pre-diabetic OR youth athlete)</w:t>
            </w:r>
          </w:p>
        </w:tc>
      </w:tr>
      <w:tr>
        <w:tc>
          <w:tcPr>
            <w:tcW w:type="dxa" w:w="4986"/>
          </w:tcPr>
          <w:p>
            <w:r>
              <w:t>10</w:t>
            </w:r>
          </w:p>
        </w:tc>
        <w:tc>
          <w:tcPr>
            <w:tcW w:type="dxa" w:w="4986"/>
          </w:tcPr>
          <w:p>
            <w:r>
              <w:t>Outcome re-assessment, programme adjustment, and progression/regression decision-making</w:t>
            </w:r>
          </w:p>
        </w:tc>
      </w:tr>
      <w:tr>
        <w:tc>
          <w:tcPr>
            <w:tcW w:type="dxa" w:w="4986"/>
          </w:tcPr>
          <w:p>
            <w:r>
              <w:t>11</w:t>
            </w:r>
          </w:p>
        </w:tc>
        <w:tc>
          <w:tcPr>
            <w:tcW w:type="dxa" w:w="4986"/>
          </w:tcPr>
          <w:p>
            <w:r>
              <w:t>Documentation, data privacy, and electronic record-keeping under DoH-Abu Dhabi and UAE PHI rules</w:t>
            </w:r>
          </w:p>
        </w:tc>
      </w:tr>
      <w:tr>
        <w:tc>
          <w:tcPr>
            <w:tcW w:type="dxa" w:w="4986"/>
          </w:tcPr>
          <w:p>
            <w:r>
              <w:t>12</w:t>
            </w:r>
          </w:p>
        </w:tc>
        <w:tc>
          <w:tcPr>
            <w:tcW w:type="dxa" w:w="4986"/>
          </w:tcPr>
          <w:p>
            <w:r>
              <w:t>Business of coaching: scope of practice, referrals to allied health, liability, and insurance</w:t>
            </w:r>
          </w:p>
        </w:tc>
      </w:tr>
      <w:tr>
        <w:tc>
          <w:tcPr>
            <w:tcW w:type="dxa" w:w="4986"/>
          </w:tcPr>
          <w:p>
            <w:r>
              <w:t>13</w:t>
            </w:r>
          </w:p>
        </w:tc>
        <w:tc>
          <w:tcPr>
            <w:tcW w:type="dxa" w:w="4986"/>
          </w:tcPr>
          <w:p>
            <w:r>
              <w:t>Emergency drill (cardiac arrest simulation), AED deployment, and incident-report exercise</w:t>
            </w:r>
          </w:p>
        </w:tc>
      </w:tr>
      <w:tr>
        <w:tc>
          <w:tcPr>
            <w:tcW w:type="dxa" w:w="4986"/>
          </w:tcPr>
          <w:p>
            <w:r>
              <w:t>14</w:t>
            </w:r>
          </w:p>
        </w:tc>
        <w:tc>
          <w:tcPr>
            <w:tcW w:type="dxa" w:w="4986"/>
          </w:tcPr>
          <w:p>
            <w:r>
              <w:t>Final case presentation and ePortfolio defense</w:t>
            </w:r>
          </w:p>
        </w:tc>
      </w:tr>
    </w:tbl>
    <w:p/>
    <w:p>
      <w:r>
        <w:rPr>
          <w:b/>
          <w:color w:val="1F3A68"/>
          <w:sz w:val="26"/>
        </w:rPr>
        <w:t>Field Practicum Hours</w:t>
      </w:r>
    </w:p>
    <w:p>
      <w:r>
        <w:rPr>
          <w:b w:val="0"/>
          <w:i w:val="0"/>
          <w:sz w:val="22"/>
        </w:rPr>
        <w:t>Each student completes a minimum of 120 supervised coaching contact hours over the 14-week practicum. Hours are logged in the standardized KU Session Log and counter-signed weekly by the site supervisor. Hours are partitioned across three competency phases: Observation &amp; Onboarding (Weeks 1-3, 25 hours), Supervised Co-Coaching (Weeks 4-9, 53 hours), and Independent Coaching with Supervisor Oversight (Weeks 10-14, 42 hours). Falsified or unverified hours constitute an academic integrity violation under ACA 3500 and result in automatic course failure.</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68"/>
          </w:tcPr>
          <w:p>
            <w:r>
              <w:rPr>
                <w:b/>
                <w:color w:val="FFFFFF"/>
                <w:sz w:val="21"/>
              </w:rPr>
              <w:t>Week #</w:t>
            </w:r>
          </w:p>
        </w:tc>
        <w:tc>
          <w:tcPr>
            <w:tcW w:type="dxa" w:w="3324"/>
            <w:shd w:val="clear" w:color="auto" w:fill="1F3A68"/>
          </w:tcPr>
          <w:p>
            <w:r>
              <w:rPr>
                <w:b/>
                <w:color w:val="FFFFFF"/>
                <w:sz w:val="21"/>
              </w:rPr>
              <w:t>Target On-Site Hours</w:t>
            </w:r>
          </w:p>
        </w:tc>
        <w:tc>
          <w:tcPr>
            <w:tcW w:type="dxa" w:w="3324"/>
            <w:shd w:val="clear" w:color="auto" w:fill="1F3A68"/>
          </w:tcPr>
          <w:p>
            <w:r>
              <w:rPr>
                <w:b/>
                <w:color w:val="FFFFFF"/>
                <w:sz w:val="21"/>
              </w:rPr>
              <w:t>Weekly Supervisor Check-In Focus</w:t>
            </w:r>
          </w:p>
        </w:tc>
      </w:tr>
      <w:tr>
        <w:tc>
          <w:tcPr>
            <w:tcW w:type="dxa" w:w="3324"/>
          </w:tcPr>
          <w:p>
            <w:r>
              <w:t>01</w:t>
            </w:r>
          </w:p>
        </w:tc>
        <w:tc>
          <w:tcPr>
            <w:tcW w:type="dxa" w:w="3324"/>
          </w:tcPr>
          <w:p>
            <w:r>
              <w:t>8</w:t>
            </w:r>
          </w:p>
        </w:tc>
        <w:tc>
          <w:tcPr>
            <w:tcW w:type="dxa" w:w="3324"/>
          </w:tcPr>
          <w:p>
            <w:r>
              <w:t>Orientation, site walkthrough, shadowing</w:t>
            </w:r>
          </w:p>
        </w:tc>
      </w:tr>
      <w:tr>
        <w:tc>
          <w:tcPr>
            <w:tcW w:type="dxa" w:w="3324"/>
          </w:tcPr>
          <w:p>
            <w:r>
              <w:t>02</w:t>
            </w:r>
          </w:p>
        </w:tc>
        <w:tc>
          <w:tcPr>
            <w:tcW w:type="dxa" w:w="3324"/>
          </w:tcPr>
          <w:p>
            <w:r>
              <w:t>8</w:t>
            </w:r>
          </w:p>
        </w:tc>
        <w:tc>
          <w:tcPr>
            <w:tcW w:type="dxa" w:w="3324"/>
          </w:tcPr>
          <w:p>
            <w:r>
              <w:t>Observe intakes; co-conduct PAR-Q+ screenings</w:t>
            </w:r>
          </w:p>
        </w:tc>
      </w:tr>
      <w:tr>
        <w:tc>
          <w:tcPr>
            <w:tcW w:type="dxa" w:w="3324"/>
          </w:tcPr>
          <w:p>
            <w:r>
              <w:t>03</w:t>
            </w:r>
          </w:p>
        </w:tc>
        <w:tc>
          <w:tcPr>
            <w:tcW w:type="dxa" w:w="3324"/>
          </w:tcPr>
          <w:p>
            <w:r>
              <w:t>9</w:t>
            </w:r>
          </w:p>
        </w:tc>
        <w:tc>
          <w:tcPr>
            <w:tcW w:type="dxa" w:w="3324"/>
          </w:tcPr>
          <w:p>
            <w:r>
              <w:t>Conduct fitness assessments under direct supervision</w:t>
            </w:r>
          </w:p>
        </w:tc>
      </w:tr>
      <w:tr>
        <w:tc>
          <w:tcPr>
            <w:tcW w:type="dxa" w:w="3324"/>
          </w:tcPr>
          <w:p>
            <w:r>
              <w:t>04</w:t>
            </w:r>
          </w:p>
        </w:tc>
        <w:tc>
          <w:tcPr>
            <w:tcW w:type="dxa" w:w="3324"/>
          </w:tcPr>
          <w:p>
            <w:r>
              <w:t>9</w:t>
            </w:r>
          </w:p>
        </w:tc>
        <w:tc>
          <w:tcPr>
            <w:tcW w:type="dxa" w:w="3324"/>
          </w:tcPr>
          <w:p>
            <w:r>
              <w:t>Begin client programme delivery (KU site visit #1)</w:t>
            </w:r>
          </w:p>
        </w:tc>
      </w:tr>
      <w:tr>
        <w:tc>
          <w:tcPr>
            <w:tcW w:type="dxa" w:w="3324"/>
          </w:tcPr>
          <w:p>
            <w:r>
              <w:t>05</w:t>
            </w:r>
          </w:p>
        </w:tc>
        <w:tc>
          <w:tcPr>
            <w:tcW w:type="dxa" w:w="3324"/>
          </w:tcPr>
          <w:p>
            <w:r>
              <w:t>9</w:t>
            </w:r>
          </w:p>
        </w:tc>
        <w:tc>
          <w:tcPr>
            <w:tcW w:type="dxa" w:w="3324"/>
          </w:tcPr>
          <w:p>
            <w:r>
              <w:t>Lead 1:1 sessions; supervisor co-cueing</w:t>
            </w:r>
          </w:p>
        </w:tc>
      </w:tr>
      <w:tr>
        <w:tc>
          <w:tcPr>
            <w:tcW w:type="dxa" w:w="3324"/>
          </w:tcPr>
          <w:p>
            <w:r>
              <w:t>06</w:t>
            </w:r>
          </w:p>
        </w:tc>
        <w:tc>
          <w:tcPr>
            <w:tcW w:type="dxa" w:w="3324"/>
          </w:tcPr>
          <w:p>
            <w:r>
              <w:t>9</w:t>
            </w:r>
          </w:p>
        </w:tc>
        <w:tc>
          <w:tcPr>
            <w:tcW w:type="dxa" w:w="3324"/>
          </w:tcPr>
          <w:p>
            <w:r>
              <w:t>Apply behavior-change techniques in sessions</w:t>
            </w:r>
          </w:p>
        </w:tc>
      </w:tr>
      <w:tr>
        <w:tc>
          <w:tcPr>
            <w:tcW w:type="dxa" w:w="3324"/>
          </w:tcPr>
          <w:p>
            <w:r>
              <w:t>07</w:t>
            </w:r>
          </w:p>
        </w:tc>
        <w:tc>
          <w:tcPr>
            <w:tcW w:type="dxa" w:w="3324"/>
          </w:tcPr>
          <w:p>
            <w:r>
              <w:t>8</w:t>
            </w:r>
          </w:p>
        </w:tc>
        <w:tc>
          <w:tcPr>
            <w:tcW w:type="dxa" w:w="3324"/>
          </w:tcPr>
          <w:p>
            <w:r>
              <w:t>Mid-practicum supervisor evaluation completed</w:t>
            </w:r>
          </w:p>
        </w:tc>
      </w:tr>
      <w:tr>
        <w:tc>
          <w:tcPr>
            <w:tcW w:type="dxa" w:w="3324"/>
          </w:tcPr>
          <w:p>
            <w:r>
              <w:t>08</w:t>
            </w:r>
          </w:p>
        </w:tc>
        <w:tc>
          <w:tcPr>
            <w:tcW w:type="dxa" w:w="3324"/>
          </w:tcPr>
          <w:p>
            <w:r>
              <w:t>9</w:t>
            </w:r>
          </w:p>
        </w:tc>
        <w:tc>
          <w:tcPr>
            <w:tcW w:type="dxa" w:w="3324"/>
          </w:tcPr>
          <w:p>
            <w:r>
              <w:t>Lead small-group fitness component</w:t>
            </w:r>
          </w:p>
        </w:tc>
      </w:tr>
      <w:tr>
        <w:tc>
          <w:tcPr>
            <w:tcW w:type="dxa" w:w="3324"/>
          </w:tcPr>
          <w:p>
            <w:r>
              <w:t>09</w:t>
            </w:r>
          </w:p>
        </w:tc>
        <w:tc>
          <w:tcPr>
            <w:tcW w:type="dxa" w:w="3324"/>
          </w:tcPr>
          <w:p>
            <w:r>
              <w:t>9</w:t>
            </w:r>
          </w:p>
        </w:tc>
        <w:tc>
          <w:tcPr>
            <w:tcW w:type="dxa" w:w="3324"/>
          </w:tcPr>
          <w:p>
            <w:r>
              <w:t>Coach assigned special-population client (KU site visit #2)</w:t>
            </w:r>
          </w:p>
        </w:tc>
      </w:tr>
      <w:tr>
        <w:tc>
          <w:tcPr>
            <w:tcW w:type="dxa" w:w="3324"/>
          </w:tcPr>
          <w:p>
            <w:r>
              <w:t>10</w:t>
            </w:r>
          </w:p>
        </w:tc>
        <w:tc>
          <w:tcPr>
            <w:tcW w:type="dxa" w:w="3324"/>
          </w:tcPr>
          <w:p>
            <w:r>
              <w:t>9</w:t>
            </w:r>
          </w:p>
        </w:tc>
        <w:tc>
          <w:tcPr>
            <w:tcW w:type="dxa" w:w="3324"/>
          </w:tcPr>
          <w:p>
            <w:r>
              <w:t>Re-assess and progress programmes</w:t>
            </w:r>
          </w:p>
        </w:tc>
      </w:tr>
      <w:tr>
        <w:tc>
          <w:tcPr>
            <w:tcW w:type="dxa" w:w="3324"/>
          </w:tcPr>
          <w:p>
            <w:r>
              <w:t>11</w:t>
            </w:r>
          </w:p>
        </w:tc>
        <w:tc>
          <w:tcPr>
            <w:tcW w:type="dxa" w:w="3324"/>
          </w:tcPr>
          <w:p>
            <w:r>
              <w:t>8</w:t>
            </w:r>
          </w:p>
        </w:tc>
        <w:tc>
          <w:tcPr>
            <w:tcW w:type="dxa" w:w="3324"/>
          </w:tcPr>
          <w:p>
            <w:r>
              <w:t>Complete session documentation audit with supervisor</w:t>
            </w:r>
          </w:p>
        </w:tc>
      </w:tr>
      <w:tr>
        <w:tc>
          <w:tcPr>
            <w:tcW w:type="dxa" w:w="3324"/>
          </w:tcPr>
          <w:p>
            <w:r>
              <w:t>12</w:t>
            </w:r>
          </w:p>
        </w:tc>
        <w:tc>
          <w:tcPr>
            <w:tcW w:type="dxa" w:w="3324"/>
          </w:tcPr>
          <w:p>
            <w:r>
              <w:t>9</w:t>
            </w:r>
          </w:p>
        </w:tc>
        <w:tc>
          <w:tcPr>
            <w:tcW w:type="dxa" w:w="3324"/>
          </w:tcPr>
          <w:p>
            <w:r>
              <w:t>Independent coaching of full client caseload</w:t>
            </w:r>
          </w:p>
        </w:tc>
      </w:tr>
      <w:tr>
        <w:tc>
          <w:tcPr>
            <w:tcW w:type="dxa" w:w="3324"/>
          </w:tcPr>
          <w:p>
            <w:r>
              <w:t>13</w:t>
            </w:r>
          </w:p>
        </w:tc>
        <w:tc>
          <w:tcPr>
            <w:tcW w:type="dxa" w:w="3324"/>
          </w:tcPr>
          <w:p>
            <w:r>
              <w:t>8</w:t>
            </w:r>
          </w:p>
        </w:tc>
        <w:tc>
          <w:tcPr>
            <w:tcW w:type="dxa" w:w="3324"/>
          </w:tcPr>
          <w:p>
            <w:r>
              <w:t>Run emergency drill (KU site visit #3); incident-report drafting</w:t>
            </w:r>
          </w:p>
        </w:tc>
      </w:tr>
      <w:tr>
        <w:tc>
          <w:tcPr>
            <w:tcW w:type="dxa" w:w="3324"/>
          </w:tcPr>
          <w:p>
            <w:r>
              <w:t>14</w:t>
            </w:r>
          </w:p>
        </w:tc>
        <w:tc>
          <w:tcPr>
            <w:tcW w:type="dxa" w:w="3324"/>
          </w:tcPr>
          <w:p>
            <w:r>
              <w:t>8</w:t>
            </w:r>
          </w:p>
        </w:tc>
        <w:tc>
          <w:tcPr>
            <w:tcW w:type="dxa" w:w="3324"/>
          </w:tcPr>
          <w:p>
            <w:r>
              <w:t>Final supervisor evaluation; ePortfolio handover</w:t>
            </w:r>
          </w:p>
        </w:tc>
      </w:tr>
      <w:tr>
        <w:tc>
          <w:tcPr>
            <w:tcW w:type="dxa" w:w="3324"/>
          </w:tcPr>
          <w:p>
            <w:r>
              <w:rPr>
                <w:b/>
              </w:rPr>
              <w:t>Total</w:t>
            </w:r>
          </w:p>
        </w:tc>
        <w:tc>
          <w:tcPr>
            <w:tcW w:type="dxa" w:w="3324"/>
          </w:tcPr>
          <w:p>
            <w:r>
              <w:rPr>
                <w:b/>
              </w:rPr>
              <w:t>120</w:t>
            </w:r>
          </w:p>
        </w:tc>
        <w:tc>
          <w:tcPr>
            <w:tcW w:type="dxa" w:w="3324"/>
          </w:tcPr>
          <w:p>
            <w:r>
              <w:rPr>
                <w:b/>
              </w:rPr>
              <w:t>Meets REPs UAE Level 3 / NASM / ACE / NSCA practicum-hour requirement</w:t>
            </w:r>
          </w:p>
        </w:tc>
      </w:tr>
    </w:tbl>
    <w:p/>
    <w:p>
      <w:r>
        <w:rPr>
          <w:b/>
          <w:color w:val="1F3A68"/>
          <w:sz w:val="26"/>
        </w:rPr>
        <w:t>Laboratory / Computing / Digital Resources</w:t>
      </w:r>
    </w:p>
    <w:p>
      <w:r>
        <w:rPr>
          <w:b w:val="0"/>
          <w:i w:val="0"/>
          <w:sz w:val="22"/>
        </w:rPr>
        <w:t>KU Sports Center and approved partner-site facilities, including cardiorespiratory and resistance-training equipment, free-weight platforms, functional-training rigs, body-composition measurement tools (bioelectrical impedance analyzers, skinfold calipers, stadiometers), and AED stations. Digital resources include client-management software (e.g., Trainerize, MyFitnessPal Coach) for programme delivery and adherence tracking; the electronic ePortfolio platform (LinkedIn Learning or PebblePad) for case curation and certification-evidence assembly; the standardized KU Session Log template (paper and digital) for hour verification; the KU Reflective Practice Journal template; and the Blackboard Learning Management System for seminar materials, rubric distribution, supervisor-evaluation submission, and grade reporting. Students must also maintain a current professional indemnity insurance policy approved by the host site, and a personal incident-report kit aligned with DoH-Abu Dhabi documentation requirements.</w:t>
      </w:r>
    </w:p>
    <w:p>
      <w:r>
        <w:rPr>
          <w:b w:val="0"/>
          <w:i w:val="0"/>
          <w:sz w:val="22"/>
        </w:rPr>
        <w:t>Approved partner-site categories from which the KU course director assigns placements include: (i) the KU Sports Center; (ii) commercial fitness facilities operating under REPs UAE-registered management (e.g., Fitness First UAE, Gold's Gym Abu Dhabi); (iii) corporate wellness programmes within ADNOC, Mubadala, and Abu Dhabi Government entities; and (iv) youth or community sport organizations supervised by Abu Dhabi Sports Council (ADSC)-recognized coaches.</w:t>
      </w:r>
    </w:p>
    <w:p>
      <w:r>
        <w:rPr>
          <w:b/>
          <w:color w:val="1F3A68"/>
          <w:sz w:val="26"/>
        </w:rPr>
        <w:t>KU Faculty Site-Visit Protocol</w:t>
      </w:r>
    </w:p>
    <w:p>
      <w:r>
        <w:rPr>
          <w:b w:val="0"/>
          <w:i w:val="0"/>
          <w:sz w:val="22"/>
        </w:rPr>
        <w:t>The KU course director conducts three structured site visits per student during the semester. Each visit lasts approximately 90 minutes and follows a standardized protocol:</w:t>
      </w:r>
    </w:p>
    <w:p>
      <w:r>
        <w:rPr>
          <w:b w:val="0"/>
          <w:i w:val="0"/>
          <w:sz w:val="22"/>
        </w:rPr>
        <w:t>Site Visit 1 (Week 4) — Onboarding Verification. The KU faculty member confirms the student has completed orientation, signed safeguarding and confidentiality agreements, and is operating within scope of practice. The site supervisor is interviewed regarding student punctuality, professionalism, and initial coaching aptitude.</w:t>
      </w:r>
    </w:p>
    <w:p>
      <w:r>
        <w:rPr>
          <w:b w:val="0"/>
          <w:i w:val="0"/>
          <w:sz w:val="22"/>
        </w:rPr>
        <w:t>Site Visit 2 (Week 9) — Live Coaching Observation. The KU faculty member observes a full client session conducted by the student (including warm-up, programme execution, cool-down, and documentation). Observation is scored against the KU Live Coaching Rubric (10 competency domains) and shared with the student and supervisor within 72 hours.</w:t>
      </w:r>
    </w:p>
    <w:p>
      <w:r>
        <w:rPr>
          <w:b w:val="0"/>
          <w:i w:val="0"/>
          <w:sz w:val="22"/>
        </w:rPr>
        <w:t>Site Visit 3 (Week 13) — Emergency Readiness &amp; Documentation Audit. The KU faculty member audits the student's session-log file, incident-report knowledge, AED accessibility, and ePortfolio evidence to confirm readiness for the Week 14 capstone defense.</w:t>
      </w:r>
    </w:p>
    <w:p>
      <w:r>
        <w:rPr>
          <w:b/>
          <w:color w:val="1F3A68"/>
          <w:sz w:val="26"/>
        </w:rPr>
        <w:t>Mapping to Professional Certification Practical Requirements</w:t>
      </w:r>
    </w:p>
    <w:p>
      <w:r>
        <w:rPr>
          <w:b w:val="0"/>
          <w:i w:val="0"/>
          <w:sz w:val="22"/>
        </w:rPr>
        <w:t>The 120 supervised contact hours and assessment package map onto the practical-experience prerequisites of four NCCA-accredited and one regional certification accepted by employers in the UAE fitness sector:</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68"/>
          </w:tcPr>
          <w:p>
            <w:r>
              <w:rPr>
                <w:b/>
                <w:color w:val="FFFFFF"/>
                <w:sz w:val="21"/>
              </w:rPr>
              <w:t>Certification</w:t>
            </w:r>
          </w:p>
        </w:tc>
        <w:tc>
          <w:tcPr>
            <w:tcW w:type="dxa" w:w="3324"/>
            <w:shd w:val="clear" w:color="auto" w:fill="1F3A68"/>
          </w:tcPr>
          <w:p>
            <w:r>
              <w:rPr>
                <w:b/>
                <w:color w:val="FFFFFF"/>
                <w:sz w:val="21"/>
              </w:rPr>
              <w:t>Practical Requirement</w:t>
            </w:r>
          </w:p>
        </w:tc>
        <w:tc>
          <w:tcPr>
            <w:tcW w:type="dxa" w:w="3324"/>
            <w:shd w:val="clear" w:color="auto" w:fill="1F3A68"/>
          </w:tcPr>
          <w:p>
            <w:r>
              <w:rPr>
                <w:b/>
                <w:color w:val="FFFFFF"/>
                <w:sz w:val="21"/>
              </w:rPr>
              <w:t>How SPMD 308 Satisfies It</w:t>
            </w:r>
          </w:p>
        </w:tc>
      </w:tr>
      <w:tr>
        <w:tc>
          <w:tcPr>
            <w:tcW w:type="dxa" w:w="3324"/>
          </w:tcPr>
          <w:p>
            <w:r>
              <w:t>REPs UAE Level 3 (Personal Trainer)</w:t>
            </w:r>
          </w:p>
        </w:tc>
        <w:tc>
          <w:tcPr>
            <w:tcW w:type="dxa" w:w="3324"/>
          </w:tcPr>
          <w:p>
            <w:r>
              <w:t>Minimum 30 hours supervised practical coaching; client case-study portfolio; ethics module.</w:t>
            </w:r>
          </w:p>
        </w:tc>
        <w:tc>
          <w:tcPr>
            <w:tcW w:type="dxa" w:w="3324"/>
          </w:tcPr>
          <w:p>
            <w:r>
              <w:t>Met by Weeks 4-9 supervised co-coaching + Client Programme Portfolio + REPs Code module.</w:t>
            </w:r>
          </w:p>
        </w:tc>
      </w:tr>
      <w:tr>
        <w:tc>
          <w:tcPr>
            <w:tcW w:type="dxa" w:w="3324"/>
          </w:tcPr>
          <w:p>
            <w:r>
              <w:t>NASM-CPT (National Academy of Sports Medicine)</w:t>
            </w:r>
          </w:p>
        </w:tc>
        <w:tc>
          <w:tcPr>
            <w:tcW w:type="dxa" w:w="3324"/>
          </w:tcPr>
          <w:p>
            <w:r>
              <w:t>Recommended 100+ hours supervised practical experience; OPT model application.</w:t>
            </w:r>
          </w:p>
        </w:tc>
        <w:tc>
          <w:tcPr>
            <w:tcW w:type="dxa" w:w="3324"/>
          </w:tcPr>
          <w:p>
            <w:r>
              <w:t>Met by full 120 practicum hours; OPT model applied in Client Programme Portfolio.</w:t>
            </w:r>
          </w:p>
        </w:tc>
      </w:tr>
      <w:tr>
        <w:tc>
          <w:tcPr>
            <w:tcW w:type="dxa" w:w="3324"/>
          </w:tcPr>
          <w:p>
            <w:r>
              <w:t>ACE-CPT (American Council on Exercise)</w:t>
            </w:r>
          </w:p>
        </w:tc>
        <w:tc>
          <w:tcPr>
            <w:tcW w:type="dxa" w:w="3324"/>
          </w:tcPr>
          <w:p>
            <w:r>
              <w:t>Recommended 50+ hours supervised practice; IFT model application; AED-current.</w:t>
            </w:r>
          </w:p>
        </w:tc>
        <w:tc>
          <w:tcPr>
            <w:tcW w:type="dxa" w:w="3324"/>
          </w:tcPr>
          <w:p>
            <w:r>
              <w:t>Met by Weeks 4-14 supervised practice; IFT model addressed in seminar Weeks 4-6; AED corequisite.</w:t>
            </w:r>
          </w:p>
        </w:tc>
      </w:tr>
      <w:tr>
        <w:tc>
          <w:tcPr>
            <w:tcW w:type="dxa" w:w="3324"/>
          </w:tcPr>
          <w:p>
            <w:r>
              <w:t>NSCA-CSCS (Certified Strength &amp; Conditioning Specialist)</w:t>
            </w:r>
          </w:p>
        </w:tc>
        <w:tc>
          <w:tcPr>
            <w:tcW w:type="dxa" w:w="3324"/>
          </w:tcPr>
          <w:p>
            <w:r>
              <w:t>Demonstrated experience designing and supervising strength-conditioning programmes.</w:t>
            </w:r>
          </w:p>
        </w:tc>
        <w:tc>
          <w:tcPr>
            <w:tcW w:type="dxa" w:w="3324"/>
          </w:tcPr>
          <w:p>
            <w:r>
              <w:t>Met by Client Programme Portfolio (3 programmes) + Final Case Presentation.</w:t>
            </w:r>
          </w:p>
        </w:tc>
      </w:tr>
      <w:tr>
        <w:tc>
          <w:tcPr>
            <w:tcW w:type="dxa" w:w="3324"/>
          </w:tcPr>
          <w:p>
            <w:r>
              <w:t>Abu Dhabi Sports Council Coach Endorsement</w:t>
            </w:r>
          </w:p>
        </w:tc>
        <w:tc>
          <w:tcPr>
            <w:tcW w:type="dxa" w:w="3324"/>
          </w:tcPr>
          <w:p>
            <w:r>
              <w:t>Documented supervised coaching with ADSC-recognized coach; incident-response competency.</w:t>
            </w:r>
          </w:p>
        </w:tc>
        <w:tc>
          <w:tcPr>
            <w:tcW w:type="dxa" w:w="3324"/>
          </w:tcPr>
          <w:p>
            <w:r>
              <w:t>Met when placement is at an ADSC-recognized site; Week 13 emergency drill validates response.</w:t>
            </w:r>
          </w:p>
        </w:tc>
      </w:tr>
    </w:tbl>
    <w:p/>
    <w:p>
      <w:r>
        <w:rPr>
          <w:b/>
          <w:color w:val="1F3A68"/>
          <w:sz w:val="24"/>
        </w:rPr>
        <w:t>Course Learning Outcomes (CLO) and Contributions to Program Level BSc Clinical Nutrition &amp; Dietetics Program Learning Outcomes (PLO)*:</w:t>
      </w:r>
    </w:p>
    <w:p>
      <w:r>
        <w:rPr>
          <w:b w:val="0"/>
          <w:i/>
          <w:sz w:val="20"/>
        </w:rPr>
        <w:t>*PLOs can be found in the academic catalog</w:t>
      </w:r>
    </w:p>
    <w:p>
      <w:r>
        <w:rPr>
          <w:b w:val="0"/>
          <w:i/>
          <w:sz w:val="20"/>
        </w:rPr>
        <w:t>#Emphasis level: H: High; M: Medium; L: Low; N: Nothing specific</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3A68"/>
          </w:tcPr>
          <w:p>
            <w:r>
              <w:rPr>
                <w:b/>
                <w:color w:val="FFFFFF"/>
                <w:sz w:val="21"/>
              </w:rPr>
              <w:t>No.</w:t>
            </w:r>
          </w:p>
        </w:tc>
        <w:tc>
          <w:tcPr>
            <w:tcW w:type="dxa" w:w="2493"/>
            <w:shd w:val="clear" w:color="auto" w:fill="1F3A68"/>
          </w:tcPr>
          <w:p>
            <w:r>
              <w:rPr>
                <w:b/>
                <w:color w:val="FFFFFF"/>
                <w:sz w:val="21"/>
              </w:rPr>
              <w:t>CLOs</w:t>
            </w:r>
          </w:p>
        </w:tc>
        <w:tc>
          <w:tcPr>
            <w:tcW w:type="dxa" w:w="2493"/>
            <w:shd w:val="clear" w:color="auto" w:fill="1F3A68"/>
          </w:tcPr>
          <w:p>
            <w:r>
              <w:rPr>
                <w:b/>
                <w:color w:val="FFFFFF"/>
                <w:sz w:val="21"/>
              </w:rPr>
              <w:t>PLOs</w:t>
            </w:r>
          </w:p>
        </w:tc>
        <w:tc>
          <w:tcPr>
            <w:tcW w:type="dxa" w:w="2493"/>
            <w:shd w:val="clear" w:color="auto" w:fill="1F3A68"/>
          </w:tcPr>
          <w:p>
            <w:r>
              <w:rPr>
                <w:b/>
                <w:color w:val="FFFFFF"/>
                <w:sz w:val="21"/>
              </w:rPr>
              <w:t>Emphasis Level#</w:t>
            </w:r>
          </w:p>
        </w:tc>
      </w:tr>
      <w:tr>
        <w:tc>
          <w:tcPr>
            <w:tcW w:type="dxa" w:w="2493"/>
          </w:tcPr>
          <w:p>
            <w:r>
              <w:t>1</w:t>
            </w:r>
          </w:p>
        </w:tc>
        <w:tc>
          <w:tcPr>
            <w:tcW w:type="dxa" w:w="2493"/>
          </w:tcPr>
          <w:p>
            <w:r>
              <w:t>Conduct ethical, safe fitness assessments on real clients in accordance with ACSM Guidelines and REPs UAE standards.</w:t>
            </w:r>
          </w:p>
        </w:tc>
        <w:tc>
          <w:tcPr>
            <w:tcW w:type="dxa" w:w="2493"/>
          </w:tcPr>
          <w:p>
            <w:r>
              <w:t>PLO 5</w:t>
            </w:r>
          </w:p>
        </w:tc>
        <w:tc>
          <w:tcPr>
            <w:tcW w:type="dxa" w:w="2493"/>
          </w:tcPr>
          <w:p>
            <w:r>
              <w:t>H</w:t>
            </w:r>
          </w:p>
        </w:tc>
      </w:tr>
      <w:tr>
        <w:tc>
          <w:tcPr>
            <w:tcW w:type="dxa" w:w="2493"/>
          </w:tcPr>
          <w:p>
            <w:r>
              <w:t>2</w:t>
            </w:r>
          </w:p>
        </w:tc>
        <w:tc>
          <w:tcPr>
            <w:tcW w:type="dxa" w:w="2493"/>
          </w:tcPr>
          <w:p>
            <w:r>
              <w:t>Design and progressively adjust individualized exercise programmes for at least three clients of varying ability across the practicum.</w:t>
            </w:r>
          </w:p>
        </w:tc>
        <w:tc>
          <w:tcPr>
            <w:tcW w:type="dxa" w:w="2493"/>
          </w:tcPr>
          <w:p>
            <w:r>
              <w:t>PLO 2</w:t>
            </w:r>
          </w:p>
        </w:tc>
        <w:tc>
          <w:tcPr>
            <w:tcW w:type="dxa" w:w="2493"/>
          </w:tcPr>
          <w:p>
            <w:r>
              <w:t>H</w:t>
            </w:r>
          </w:p>
        </w:tc>
      </w:tr>
      <w:tr>
        <w:tc>
          <w:tcPr>
            <w:tcW w:type="dxa" w:w="2493"/>
          </w:tcPr>
          <w:p>
            <w:r>
              <w:t>3</w:t>
            </w:r>
          </w:p>
        </w:tc>
        <w:tc>
          <w:tcPr>
            <w:tcW w:type="dxa" w:w="2493"/>
          </w:tcPr>
          <w:p>
            <w:r>
              <w:t>Deliver coaching sessions using evidence-based cueing, spotting, and behavior-change techniques appropriate to client goals and population.</w:t>
            </w:r>
          </w:p>
        </w:tc>
        <w:tc>
          <w:tcPr>
            <w:tcW w:type="dxa" w:w="2493"/>
          </w:tcPr>
          <w:p>
            <w:r>
              <w:t>PLO 4</w:t>
            </w:r>
          </w:p>
        </w:tc>
        <w:tc>
          <w:tcPr>
            <w:tcW w:type="dxa" w:w="2493"/>
          </w:tcPr>
          <w:p>
            <w:r>
              <w:t>H</w:t>
            </w:r>
          </w:p>
        </w:tc>
      </w:tr>
      <w:tr>
        <w:tc>
          <w:tcPr>
            <w:tcW w:type="dxa" w:w="2493"/>
          </w:tcPr>
          <w:p>
            <w:r>
              <w:t>4</w:t>
            </w:r>
          </w:p>
        </w:tc>
        <w:tc>
          <w:tcPr>
            <w:tcW w:type="dxa" w:w="2493"/>
          </w:tcPr>
          <w:p>
            <w:r>
              <w:t>Document client sessions, progress notes, and incident reports in compliance with DoH-Abu Dhabi and REPs UAE professional and data-privacy standards.</w:t>
            </w:r>
          </w:p>
        </w:tc>
        <w:tc>
          <w:tcPr>
            <w:tcW w:type="dxa" w:w="2493"/>
          </w:tcPr>
          <w:p>
            <w:r>
              <w:t>PLO 5</w:t>
            </w:r>
          </w:p>
        </w:tc>
        <w:tc>
          <w:tcPr>
            <w:tcW w:type="dxa" w:w="2493"/>
          </w:tcPr>
          <w:p>
            <w:r>
              <w:t>H</w:t>
            </w:r>
          </w:p>
        </w:tc>
      </w:tr>
      <w:tr>
        <w:tc>
          <w:tcPr>
            <w:tcW w:type="dxa" w:w="2493"/>
          </w:tcPr>
          <w:p>
            <w:r>
              <w:t>5</w:t>
            </w:r>
          </w:p>
        </w:tc>
        <w:tc>
          <w:tcPr>
            <w:tcW w:type="dxa" w:w="2493"/>
          </w:tcPr>
          <w:p>
            <w:r>
              <w:t>Reflect critically on coaching practice using a structured reflective-practice model (Gibbs' Reflective Cycle) and integrate supervisor feedback into subsequent sessions.</w:t>
            </w:r>
          </w:p>
        </w:tc>
        <w:tc>
          <w:tcPr>
            <w:tcW w:type="dxa" w:w="2493"/>
          </w:tcPr>
          <w:p>
            <w:r>
              <w:t>PLO 4</w:t>
            </w:r>
          </w:p>
        </w:tc>
        <w:tc>
          <w:tcPr>
            <w:tcW w:type="dxa" w:w="2493"/>
          </w:tcPr>
          <w:p>
            <w:r>
              <w:t>M</w:t>
            </w:r>
          </w:p>
        </w:tc>
      </w:tr>
    </w:tbl>
    <w:p/>
    <w:p>
      <w:r>
        <w:rPr>
          <w:b/>
          <w:color w:val="1F3A68"/>
          <w:sz w:val="26"/>
        </w:rPr>
        <w:t>Assessment</w:t>
      </w:r>
    </w:p>
    <w:p>
      <w:r>
        <w:rPr>
          <w:b w:val="0"/>
          <w:i w:val="0"/>
          <w:sz w:val="22"/>
        </w:rPr>
        <w:t>All course learning outcomes are assessed using the following assessment tools. The instruments are designed as a competency-based assessment package mirroring the format of the NASM-CPT, ACE-CPT, NSCA-CSCS, and REPs UAE Level 3 practical examinations. Site supervisor evaluations contribute 35% of the final grade (15% mid-practicum + 20% final), ensuring that industry practitioners — not solely academic staff — validate the student's readiness to coach independently. The Final Case Presentation and ePortfolio Defense (25%) functions as the capstone assessment, requiring students to defend the design, delivery, and outcome data of three completed client engagements in front of a panel comprising the KU course director, the site supervisor, and one external assessor.</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3A68"/>
          </w:tcPr>
          <w:p>
            <w:r>
              <w:rPr>
                <w:b/>
                <w:color w:val="FFFFFF"/>
                <w:sz w:val="21"/>
              </w:rPr>
              <w:t>Assessment Instruments</w:t>
            </w:r>
          </w:p>
        </w:tc>
        <w:tc>
          <w:tcPr>
            <w:tcW w:type="dxa" w:w="2493"/>
            <w:shd w:val="clear" w:color="auto" w:fill="1F3A68"/>
          </w:tcPr>
          <w:p>
            <w:r>
              <w:rPr>
                <w:b/>
                <w:color w:val="FFFFFF"/>
                <w:sz w:val="21"/>
              </w:rPr>
              <w:t>Contribution to Course Grade (%)</w:t>
            </w:r>
          </w:p>
        </w:tc>
        <w:tc>
          <w:tcPr>
            <w:tcW w:type="dxa" w:w="2493"/>
            <w:shd w:val="clear" w:color="auto" w:fill="1F3A68"/>
          </w:tcPr>
          <w:p>
            <w:r>
              <w:rPr>
                <w:b/>
                <w:color w:val="FFFFFF"/>
                <w:sz w:val="21"/>
              </w:rPr>
              <w:t>Week #</w:t>
            </w:r>
          </w:p>
        </w:tc>
        <w:tc>
          <w:tcPr>
            <w:tcW w:type="dxa" w:w="2493"/>
            <w:shd w:val="clear" w:color="auto" w:fill="1F3A68"/>
          </w:tcPr>
          <w:p>
            <w:r>
              <w:rPr>
                <w:b/>
                <w:color w:val="FFFFFF"/>
                <w:sz w:val="21"/>
              </w:rPr>
              <w:t>CLO(s)</w:t>
            </w:r>
          </w:p>
        </w:tc>
      </w:tr>
      <w:tr>
        <w:tc>
          <w:tcPr>
            <w:tcW w:type="dxa" w:w="2493"/>
          </w:tcPr>
          <w:p>
            <w:r>
              <w:t>Weekly Session Logs (signed by site supervisor)</w:t>
            </w:r>
          </w:p>
        </w:tc>
        <w:tc>
          <w:tcPr>
            <w:tcW w:type="dxa" w:w="2493"/>
          </w:tcPr>
          <w:p>
            <w:r>
              <w:t>15%</w:t>
            </w:r>
          </w:p>
        </w:tc>
        <w:tc>
          <w:tcPr>
            <w:tcW w:type="dxa" w:w="2493"/>
          </w:tcPr>
          <w:p>
            <w:r>
              <w:t>1-14</w:t>
            </w:r>
          </w:p>
        </w:tc>
        <w:tc>
          <w:tcPr>
            <w:tcW w:type="dxa" w:w="2493"/>
          </w:tcPr>
          <w:p>
            <w:r>
              <w:t>1, 2, 4</w:t>
            </w:r>
          </w:p>
        </w:tc>
      </w:tr>
      <w:tr>
        <w:tc>
          <w:tcPr>
            <w:tcW w:type="dxa" w:w="2493"/>
          </w:tcPr>
          <w:p>
            <w:r>
              <w:t>Mid-Practicum Site Supervisor Evaluation</w:t>
            </w:r>
          </w:p>
        </w:tc>
        <w:tc>
          <w:tcPr>
            <w:tcW w:type="dxa" w:w="2493"/>
          </w:tcPr>
          <w:p>
            <w:r>
              <w:t>15%</w:t>
            </w:r>
          </w:p>
        </w:tc>
        <w:tc>
          <w:tcPr>
            <w:tcW w:type="dxa" w:w="2493"/>
          </w:tcPr>
          <w:p>
            <w:r>
              <w:t>7</w:t>
            </w:r>
          </w:p>
        </w:tc>
        <w:tc>
          <w:tcPr>
            <w:tcW w:type="dxa" w:w="2493"/>
          </w:tcPr>
          <w:p>
            <w:r>
              <w:t>1, 2, 3, 4</w:t>
            </w:r>
          </w:p>
        </w:tc>
      </w:tr>
      <w:tr>
        <w:tc>
          <w:tcPr>
            <w:tcW w:type="dxa" w:w="2493"/>
          </w:tcPr>
          <w:p>
            <w:r>
              <w:t>Reflective Seminar Participation &amp; Journal</w:t>
            </w:r>
          </w:p>
        </w:tc>
        <w:tc>
          <w:tcPr>
            <w:tcW w:type="dxa" w:w="2493"/>
          </w:tcPr>
          <w:p>
            <w:r>
              <w:t>10%</w:t>
            </w:r>
          </w:p>
        </w:tc>
        <w:tc>
          <w:tcPr>
            <w:tcW w:type="dxa" w:w="2493"/>
          </w:tcPr>
          <w:p>
            <w:r>
              <w:t>1-14</w:t>
            </w:r>
          </w:p>
        </w:tc>
        <w:tc>
          <w:tcPr>
            <w:tcW w:type="dxa" w:w="2493"/>
          </w:tcPr>
          <w:p>
            <w:r>
              <w:t>5</w:t>
            </w:r>
          </w:p>
        </w:tc>
      </w:tr>
      <w:tr>
        <w:tc>
          <w:tcPr>
            <w:tcW w:type="dxa" w:w="2493"/>
          </w:tcPr>
          <w:p>
            <w:r>
              <w:t>Client Programme Portfolio (3 individualized programmes)</w:t>
            </w:r>
          </w:p>
        </w:tc>
        <w:tc>
          <w:tcPr>
            <w:tcW w:type="dxa" w:w="2493"/>
          </w:tcPr>
          <w:p>
            <w:r>
              <w:t>15%</w:t>
            </w:r>
          </w:p>
        </w:tc>
        <w:tc>
          <w:tcPr>
            <w:tcW w:type="dxa" w:w="2493"/>
          </w:tcPr>
          <w:p>
            <w:r>
              <w:t>10</w:t>
            </w:r>
          </w:p>
        </w:tc>
        <w:tc>
          <w:tcPr>
            <w:tcW w:type="dxa" w:w="2493"/>
          </w:tcPr>
          <w:p>
            <w:r>
              <w:t>2</w:t>
            </w:r>
          </w:p>
        </w:tc>
      </w:tr>
      <w:tr>
        <w:tc>
          <w:tcPr>
            <w:tcW w:type="dxa" w:w="2493"/>
          </w:tcPr>
          <w:p>
            <w:r>
              <w:t>Final Site Supervisor Evaluation</w:t>
            </w:r>
          </w:p>
        </w:tc>
        <w:tc>
          <w:tcPr>
            <w:tcW w:type="dxa" w:w="2493"/>
          </w:tcPr>
          <w:p>
            <w:r>
              <w:t>20%</w:t>
            </w:r>
          </w:p>
        </w:tc>
        <w:tc>
          <w:tcPr>
            <w:tcW w:type="dxa" w:w="2493"/>
          </w:tcPr>
          <w:p>
            <w:r>
              <w:t>14</w:t>
            </w:r>
          </w:p>
        </w:tc>
        <w:tc>
          <w:tcPr>
            <w:tcW w:type="dxa" w:w="2493"/>
          </w:tcPr>
          <w:p>
            <w:r>
              <w:t>1, 2, 3, 4</w:t>
            </w:r>
          </w:p>
        </w:tc>
      </w:tr>
      <w:tr>
        <w:tc>
          <w:tcPr>
            <w:tcW w:type="dxa" w:w="2493"/>
          </w:tcPr>
          <w:p>
            <w:r>
              <w:t>Final Case Presentation &amp; ePortfolio Defense</w:t>
            </w:r>
          </w:p>
        </w:tc>
        <w:tc>
          <w:tcPr>
            <w:tcW w:type="dxa" w:w="2493"/>
          </w:tcPr>
          <w:p>
            <w:r>
              <w:t>25%</w:t>
            </w:r>
          </w:p>
        </w:tc>
        <w:tc>
          <w:tcPr>
            <w:tcW w:type="dxa" w:w="2493"/>
          </w:tcPr>
          <w:p>
            <w:r>
              <w:t>14</w:t>
            </w:r>
          </w:p>
        </w:tc>
        <w:tc>
          <w:tcPr>
            <w:tcW w:type="dxa" w:w="2493"/>
          </w:tcPr>
          <w:p>
            <w:r>
              <w:t>1, 2, 3, 4, 5</w:t>
            </w:r>
          </w:p>
        </w:tc>
      </w:tr>
      <w:tr>
        <w:tc>
          <w:tcPr>
            <w:tcW w:type="dxa" w:w="2493"/>
          </w:tcPr>
          <w:p>
            <w:r>
              <w:rPr>
                <w:b/>
              </w:rPr>
              <w:t>Total</w:t>
            </w:r>
          </w:p>
        </w:tc>
        <w:tc>
          <w:tcPr>
            <w:tcW w:type="dxa" w:w="2493"/>
          </w:tcPr>
          <w:p>
            <w:r>
              <w:rPr>
                <w:b/>
              </w:rPr>
              <w:t>100%</w:t>
            </w:r>
          </w:p>
        </w:tc>
        <w:tc>
          <w:tcPr>
            <w:tcW w:type="dxa" w:w="2493"/>
          </w:tcPr>
          <w:p>
            <w:r>
              <w:rPr>
                <w:b/>
              </w:rPr>
            </w:r>
          </w:p>
        </w:tc>
        <w:tc>
          <w:tcPr>
            <w:tcW w:type="dxa" w:w="2493"/>
          </w:tcPr>
          <w:p>
            <w:r>
              <w:rPr>
                <w:b/>
              </w:rPr>
            </w:r>
          </w:p>
        </w:tc>
      </w:tr>
    </w:tbl>
    <w:p/>
    <w:p>
      <w:r>
        <w:rPr>
          <w:b/>
          <w:color w:val="1F3A68"/>
          <w:sz w:val="26"/>
        </w:rPr>
        <w:t>Student Responsibilities &amp; Professional Conduct</w:t>
      </w:r>
    </w:p>
    <w:p>
      <w:r>
        <w:rPr>
          <w:b w:val="0"/>
          <w:i w:val="0"/>
          <w:sz w:val="22"/>
        </w:rPr>
        <w:t>Students enrolled in SPMD 308 are guests on host-site premises and represent Khalifa University at all times. The following responsibilities are non-negotiable conditions of continued enrollment:</w:t>
      </w:r>
    </w:p>
    <w:p>
      <w:r>
        <w:rPr>
          <w:b w:val="0"/>
          <w:i w:val="0"/>
          <w:sz w:val="22"/>
        </w:rPr>
        <w:t>1. Attendance: 100% of scheduled on-site hours must be completed. Missed sessions must be made up within two weeks; more than two unexcused absences trigger a programme review.</w:t>
      </w:r>
    </w:p>
    <w:p>
      <w:r>
        <w:rPr>
          <w:b w:val="0"/>
          <w:i w:val="0"/>
          <w:sz w:val="22"/>
        </w:rPr>
        <w:t>2. Dress code: Closed-toe athletic footwear and KU-issued or KU-approved practicum polo with name badge. Personal protective equipment as specified by the host site.</w:t>
      </w:r>
    </w:p>
    <w:p>
      <w:r>
        <w:rPr>
          <w:b w:val="0"/>
          <w:i w:val="0"/>
          <w:sz w:val="22"/>
        </w:rPr>
        <w:t>3. Scope of practice: Students will not provide medical diagnosis, dietary prescription, or rehabilitation services outside the scope of a fitness professional. Any client request outside scope must be referred to the site supervisor and documented.</w:t>
      </w:r>
    </w:p>
    <w:p>
      <w:r>
        <w:rPr>
          <w:b w:val="0"/>
          <w:i w:val="0"/>
          <w:sz w:val="22"/>
        </w:rPr>
        <w:t>4. Confidentiality: All client information is protected under DoH-Abu Dhabi PHI rules and the host site's privacy policy. Photographs, social-media posts, and case-study materials require written client consent on the KU Consent Form.</w:t>
      </w:r>
    </w:p>
    <w:p>
      <w:r>
        <w:rPr>
          <w:b w:val="0"/>
          <w:i w:val="0"/>
          <w:sz w:val="22"/>
        </w:rPr>
        <w:t>5. Safeguarding: Students working with clients under 18 years of age must complete the KU Safeguarding Module prior to the first session and must never coach a minor unsupervised.</w:t>
      </w:r>
    </w:p>
    <w:p>
      <w:r>
        <w:rPr>
          <w:b w:val="0"/>
          <w:i w:val="0"/>
          <w:sz w:val="22"/>
        </w:rPr>
        <w:t>6. Incident reporting: All injuries, near-misses, equipment failures, and adverse events must be documented on the host-site Incident Report Form within 24 hours, copied to the KU course director, and reviewed in the next reflective seminar.</w:t>
      </w:r>
    </w:p>
    <w:p>
      <w:r>
        <w:rPr>
          <w:b w:val="0"/>
          <w:i w:val="0"/>
          <w:sz w:val="22"/>
        </w:rPr>
        <w:t>7. Continuing professional development: Students are required to attend at least one external fitness industry event during the semester (e.g., a REPs UAE-accredited workshop, an ADSC coaching clinic, or a recognized webinar from NASM/ACE/NSCA) and submit a 300-word reflection to the ePortfolio.</w:t>
      </w:r>
    </w:p>
    <w:p>
      <w:r>
        <w:rPr>
          <w:b/>
          <w:color w:val="1F3A68"/>
          <w:sz w:val="26"/>
        </w:rPr>
        <w:t>Grading Scheme</w:t>
      </w:r>
    </w:p>
    <w:p>
      <w:r>
        <w:rPr>
          <w:b w:val="0"/>
          <w:i w:val="0"/>
          <w:sz w:val="22"/>
        </w:rPr>
        <w:t>The official Khalifa University grading system uses letter grades with pluses and minuses. Passing grades range from A to D; F is failing. Each letter grade is assigned a grade point on a four-point scale as per the guidelines below:</w:t>
      </w:r>
    </w:p>
    <w:p>
      <w:r>
        <w:rPr>
          <w:b/>
          <w:i w:val="0"/>
          <w:sz w:val="22"/>
        </w:rPr>
        <w:t>For undergraduate programs: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3A68"/>
          </w:tcPr>
          <w:p>
            <w:r>
              <w:rPr>
                <w:b/>
                <w:color w:val="FFFFFF"/>
                <w:sz w:val="21"/>
              </w:rPr>
              <w:t>Letter Grade</w:t>
            </w:r>
          </w:p>
        </w:tc>
        <w:tc>
          <w:tcPr>
            <w:tcW w:type="dxa" w:w="2493"/>
            <w:shd w:val="clear" w:color="auto" w:fill="1F3A68"/>
          </w:tcPr>
          <w:p>
            <w:r>
              <w:rPr>
                <w:b/>
                <w:color w:val="FFFFFF"/>
                <w:sz w:val="21"/>
              </w:rPr>
              <w:t>Grade Point</w:t>
            </w:r>
          </w:p>
        </w:tc>
        <w:tc>
          <w:tcPr>
            <w:tcW w:type="dxa" w:w="2493"/>
            <w:shd w:val="clear" w:color="auto" w:fill="1F3A68"/>
          </w:tcPr>
          <w:p>
            <w:r>
              <w:rPr>
                <w:b/>
                <w:color w:val="FFFFFF"/>
                <w:sz w:val="21"/>
              </w:rPr>
              <w:t>Grade Range</w:t>
            </w:r>
          </w:p>
        </w:tc>
        <w:tc>
          <w:tcPr>
            <w:tcW w:type="dxa" w:w="2493"/>
            <w:shd w:val="clear" w:color="auto" w:fill="1F3A68"/>
          </w:tcPr>
          <w:p>
            <w:r>
              <w:rPr>
                <w:b/>
                <w:color w:val="FFFFFF"/>
                <w:sz w:val="21"/>
              </w:rPr>
              <w:t>Description</w:t>
            </w:r>
          </w:p>
        </w:tc>
      </w:tr>
      <w:tr>
        <w:tc>
          <w:tcPr>
            <w:tcW w:type="dxa" w:w="2493"/>
          </w:tcPr>
          <w:p>
            <w:r>
              <w:t>A</w:t>
            </w:r>
          </w:p>
        </w:tc>
        <w:tc>
          <w:tcPr>
            <w:tcW w:type="dxa" w:w="2493"/>
          </w:tcPr>
          <w:p>
            <w:r>
              <w:t>4.00</w:t>
            </w:r>
          </w:p>
        </w:tc>
        <w:tc>
          <w:tcPr>
            <w:tcW w:type="dxa" w:w="2493"/>
          </w:tcPr>
          <w:p>
            <w:r>
              <w:t>From 92.5% to 100%</w:t>
            </w:r>
          </w:p>
        </w:tc>
        <w:tc>
          <w:tcPr>
            <w:tcW w:type="dxa" w:w="2493"/>
          </w:tcPr>
          <w:p>
            <w:r>
              <w:t>Excellent</w:t>
            </w:r>
          </w:p>
        </w:tc>
      </w:tr>
      <w:tr>
        <w:tc>
          <w:tcPr>
            <w:tcW w:type="dxa" w:w="2493"/>
          </w:tcPr>
          <w:p>
            <w:r>
              <w:t>A-</w:t>
            </w:r>
          </w:p>
        </w:tc>
        <w:tc>
          <w:tcPr>
            <w:tcW w:type="dxa" w:w="2493"/>
          </w:tcPr>
          <w:p>
            <w:r>
              <w:t>3.70</w:t>
            </w:r>
          </w:p>
        </w:tc>
        <w:tc>
          <w:tcPr>
            <w:tcW w:type="dxa" w:w="2493"/>
          </w:tcPr>
          <w:p>
            <w:r>
              <w:t>From 89.5% to less than 92.5%</w:t>
            </w:r>
          </w:p>
        </w:tc>
        <w:tc>
          <w:tcPr>
            <w:tcW w:type="dxa" w:w="2493"/>
          </w:tcPr>
          <w:p>
            <w:r>
              <w:t>Very Good</w:t>
            </w:r>
          </w:p>
        </w:tc>
      </w:tr>
      <w:tr>
        <w:tc>
          <w:tcPr>
            <w:tcW w:type="dxa" w:w="2493"/>
          </w:tcPr>
          <w:p>
            <w:r>
              <w:t>B+</w:t>
            </w:r>
          </w:p>
        </w:tc>
        <w:tc>
          <w:tcPr>
            <w:tcW w:type="dxa" w:w="2493"/>
          </w:tcPr>
          <w:p>
            <w:r>
              <w:t>3.30</w:t>
            </w:r>
          </w:p>
        </w:tc>
        <w:tc>
          <w:tcPr>
            <w:tcW w:type="dxa" w:w="2493"/>
          </w:tcPr>
          <w:p>
            <w:r>
              <w:t>From 86.5% to less than 89.5%</w:t>
            </w:r>
          </w:p>
        </w:tc>
        <w:tc>
          <w:tcPr>
            <w:tcW w:type="dxa" w:w="2493"/>
          </w:tcPr>
          <w:p>
            <w:r>
              <w:t>Very Good</w:t>
            </w:r>
          </w:p>
        </w:tc>
      </w:tr>
      <w:tr>
        <w:tc>
          <w:tcPr>
            <w:tcW w:type="dxa" w:w="2493"/>
          </w:tcPr>
          <w:p>
            <w:r>
              <w:t>B</w:t>
            </w:r>
          </w:p>
        </w:tc>
        <w:tc>
          <w:tcPr>
            <w:tcW w:type="dxa" w:w="2493"/>
          </w:tcPr>
          <w:p>
            <w:r>
              <w:t>3.00</w:t>
            </w:r>
          </w:p>
        </w:tc>
        <w:tc>
          <w:tcPr>
            <w:tcW w:type="dxa" w:w="2493"/>
          </w:tcPr>
          <w:p>
            <w:r>
              <w:t>From 82.5% to less than 86.5%</w:t>
            </w:r>
          </w:p>
        </w:tc>
        <w:tc>
          <w:tcPr>
            <w:tcW w:type="dxa" w:w="2493"/>
          </w:tcPr>
          <w:p>
            <w:r>
              <w:t>Good</w:t>
            </w:r>
          </w:p>
        </w:tc>
      </w:tr>
      <w:tr>
        <w:tc>
          <w:tcPr>
            <w:tcW w:type="dxa" w:w="2493"/>
          </w:tcPr>
          <w:p>
            <w:r>
              <w:t>B-</w:t>
            </w:r>
          </w:p>
        </w:tc>
        <w:tc>
          <w:tcPr>
            <w:tcW w:type="dxa" w:w="2493"/>
          </w:tcPr>
          <w:p>
            <w:r>
              <w:t>2.70</w:t>
            </w:r>
          </w:p>
        </w:tc>
        <w:tc>
          <w:tcPr>
            <w:tcW w:type="dxa" w:w="2493"/>
          </w:tcPr>
          <w:p>
            <w:r>
              <w:t>From 79.5% to less than 82.5%</w:t>
            </w:r>
          </w:p>
        </w:tc>
        <w:tc>
          <w:tcPr>
            <w:tcW w:type="dxa" w:w="2493"/>
          </w:tcPr>
          <w:p>
            <w:r>
              <w:t>Good</w:t>
            </w:r>
          </w:p>
        </w:tc>
      </w:tr>
      <w:tr>
        <w:tc>
          <w:tcPr>
            <w:tcW w:type="dxa" w:w="2493"/>
          </w:tcPr>
          <w:p>
            <w:r>
              <w:t>C+</w:t>
            </w:r>
          </w:p>
        </w:tc>
        <w:tc>
          <w:tcPr>
            <w:tcW w:type="dxa" w:w="2493"/>
          </w:tcPr>
          <w:p>
            <w:r>
              <w:t>2.30</w:t>
            </w:r>
          </w:p>
        </w:tc>
        <w:tc>
          <w:tcPr>
            <w:tcW w:type="dxa" w:w="2493"/>
          </w:tcPr>
          <w:p>
            <w:r>
              <w:t>From 76.5% to less than 79.5%</w:t>
            </w:r>
          </w:p>
        </w:tc>
        <w:tc>
          <w:tcPr>
            <w:tcW w:type="dxa" w:w="2493"/>
          </w:tcPr>
          <w:p>
            <w:r>
              <w:t>Satisfactory</w:t>
            </w:r>
          </w:p>
        </w:tc>
      </w:tr>
      <w:tr>
        <w:tc>
          <w:tcPr>
            <w:tcW w:type="dxa" w:w="2493"/>
          </w:tcPr>
          <w:p>
            <w:r>
              <w:t>C</w:t>
            </w:r>
          </w:p>
        </w:tc>
        <w:tc>
          <w:tcPr>
            <w:tcW w:type="dxa" w:w="2493"/>
          </w:tcPr>
          <w:p>
            <w:r>
              <w:t>2.00</w:t>
            </w:r>
          </w:p>
        </w:tc>
        <w:tc>
          <w:tcPr>
            <w:tcW w:type="dxa" w:w="2493"/>
          </w:tcPr>
          <w:p>
            <w:r>
              <w:t>From 72.5% to less than 76.5%</w:t>
            </w:r>
          </w:p>
        </w:tc>
        <w:tc>
          <w:tcPr>
            <w:tcW w:type="dxa" w:w="2493"/>
          </w:tcPr>
          <w:p>
            <w:r>
              <w:t>Satisfactory</w:t>
            </w:r>
          </w:p>
        </w:tc>
      </w:tr>
      <w:tr>
        <w:tc>
          <w:tcPr>
            <w:tcW w:type="dxa" w:w="2493"/>
          </w:tcPr>
          <w:p>
            <w:r>
              <w:t>C-</w:t>
            </w:r>
          </w:p>
        </w:tc>
        <w:tc>
          <w:tcPr>
            <w:tcW w:type="dxa" w:w="2493"/>
          </w:tcPr>
          <w:p>
            <w:r>
              <w:t>1.70</w:t>
            </w:r>
          </w:p>
        </w:tc>
        <w:tc>
          <w:tcPr>
            <w:tcW w:type="dxa" w:w="2493"/>
          </w:tcPr>
          <w:p>
            <w:r>
              <w:t>From 69.5% to less than 72.5%</w:t>
            </w:r>
          </w:p>
        </w:tc>
        <w:tc>
          <w:tcPr>
            <w:tcW w:type="dxa" w:w="2493"/>
          </w:tcPr>
          <w:p>
            <w:r>
              <w:t>Less than Satisfactory</w:t>
            </w:r>
          </w:p>
        </w:tc>
      </w:tr>
      <w:tr>
        <w:tc>
          <w:tcPr>
            <w:tcW w:type="dxa" w:w="2493"/>
          </w:tcPr>
          <w:p>
            <w:r>
              <w:t>D</w:t>
            </w:r>
          </w:p>
        </w:tc>
        <w:tc>
          <w:tcPr>
            <w:tcW w:type="dxa" w:w="2493"/>
          </w:tcPr>
          <w:p>
            <w:r>
              <w:t>1.00</w:t>
            </w:r>
          </w:p>
        </w:tc>
        <w:tc>
          <w:tcPr>
            <w:tcW w:type="dxa" w:w="2493"/>
          </w:tcPr>
          <w:p>
            <w:r>
              <w:t>From 59.5% to less than 69.5%</w:t>
            </w:r>
          </w:p>
        </w:tc>
        <w:tc>
          <w:tcPr>
            <w:tcW w:type="dxa" w:w="2493"/>
          </w:tcPr>
          <w:p>
            <w:r>
              <w:t>Poor</w:t>
            </w:r>
          </w:p>
        </w:tc>
      </w:tr>
      <w:tr>
        <w:tc>
          <w:tcPr>
            <w:tcW w:type="dxa" w:w="2493"/>
          </w:tcPr>
          <w:p>
            <w:r>
              <w:t>F</w:t>
            </w:r>
          </w:p>
        </w:tc>
        <w:tc>
          <w:tcPr>
            <w:tcW w:type="dxa" w:w="2493"/>
          </w:tcPr>
          <w:p>
            <w:r>
              <w:t>0.00</w:t>
            </w:r>
          </w:p>
        </w:tc>
        <w:tc>
          <w:tcPr>
            <w:tcW w:type="dxa" w:w="2493"/>
          </w:tcPr>
          <w:p>
            <w:r>
              <w:t>Less than 59.5%</w:t>
            </w:r>
          </w:p>
        </w:tc>
        <w:tc>
          <w:tcPr>
            <w:tcW w:type="dxa" w:w="2493"/>
          </w:tcPr>
          <w:p>
            <w:r>
              <w:t>Fail</w:t>
            </w:r>
          </w:p>
        </w:tc>
      </w:tr>
    </w:tbl>
    <w:p/>
    <w:p>
      <w:r>
        <w:rPr>
          <w:b/>
          <w:color w:val="1F3A68"/>
          <w:sz w:val="26"/>
        </w:rPr>
        <w:t>Site Supervisor Evaluation Rubric Overview</w:t>
      </w:r>
    </w:p>
    <w:p>
      <w:r>
        <w:rPr>
          <w:b w:val="0"/>
          <w:i w:val="0"/>
          <w:sz w:val="22"/>
        </w:rPr>
        <w:t>Both the mid-practicum (Week 7) and final (Week 14) site supervisor evaluations use the standardized KU Coaching Practicum Rubric, which scores ten competency domains on a 1-5 scale: (1) Punctuality and professionalism; (2) Client rapport and communication; (3) Pre-participation screening accuracy; (4) Fitness assessment technique; (5) Programme design quality; (6) Exercise demonstration and cueing; (7) Spotting and safety supervision; (8) Behavior change facilitation; (9) Documentation completeness and accuracy; and (10) Adherence to scope of practice and professional ethics. The supervisor adds a narrative comment for each domain and a global recommendation regarding the student's readiness to coach independently in the UAE fitness sector.</w:t>
      </w:r>
    </w:p>
    <w:p>
      <w:r>
        <w:rPr>
          <w:b/>
          <w:color w:val="1F3A68"/>
          <w:sz w:val="26"/>
        </w:rPr>
        <w:t>Academic Integrity Statement</w:t>
      </w:r>
    </w:p>
    <w:p>
      <w:r>
        <w:rPr>
          <w:b w:val="0"/>
          <w:i w:val="0"/>
          <w:sz w:val="22"/>
        </w:rPr>
        <w:t>“As a Khalifa University student, I will not lie, cheat, steal, or use any unfair means in academic work and will behave according to university rules and UAE societal norms and expectations.” Refer to ACA 3500 Academic Integrity Policy for more details.</w:t>
      </w:r>
    </w:p>
    <w:p>
      <w:r>
        <w:rPr>
          <w:b/>
          <w:color w:val="1F3A68"/>
          <w:sz w:val="26"/>
        </w:rPr>
        <w:t>Copyright and Plagiarism</w:t>
      </w:r>
    </w:p>
    <w:p>
      <w:r>
        <w:rPr>
          <w:b w:val="0"/>
          <w:i w:val="0"/>
          <w:sz w:val="22"/>
        </w:rPr>
        <w:t>All students must adhere to the university’s policies on copyright and plagiarism, including the ethical use of generative AI tools. Any use of AI-generated content must be properly attributed and must not violate academic integrity standards. In SPMD 308, AI tools may not be used to fabricate session data, generate fictitious client interactions, or compose reflective journal entries describing experiences the student did not actually have. AI-assisted preparation of programme templates is permitted provided the student discloses the tool, the prompt, and the manual modifications applied.</w:t>
      </w:r>
    </w:p>
    <w:p/>
    <w:p>
      <w:r>
        <w:rPr>
          <w:b w:val="0"/>
          <w:i/>
          <w:sz w:val="22"/>
        </w:rPr>
        <w:t>This syllabus must be augmented by a syllabus supplement for students.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