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SPMD 302a: Exercise Physiology Laboratory</w:t>
      </w:r>
    </w:p>
    <w:p>
      <w:pPr/>
      <w:r>
        <w:t>(0 Lecture hours, 2 Laboratory hours, 1 Credit)</w:t>
      </w:r>
    </w:p>
    <w:p/>
    <w:p>
      <w:pPr/>
      <w:r>
        <w:rPr>
          <w:b/>
        </w:rPr>
        <w:t>Prerequisites</w:t>
      </w:r>
    </w:p>
    <w:p>
      <w:pPr/>
      <w:r>
        <w:t>BIOL 207</w:t>
      </w:r>
    </w:p>
    <w:p>
      <w:pPr/>
      <w:r>
        <w:t>SPMD 301</w:t>
      </w:r>
    </w:p>
    <w:p/>
    <w:p>
      <w:pPr/>
      <w:r>
        <w:rPr>
          <w:b/>
        </w:rPr>
        <w:t>Corequisites</w:t>
      </w:r>
    </w:p>
    <w:p>
      <w:pPr/>
      <w:r>
        <w:t>SPMD 302</w:t>
      </w:r>
    </w:p>
    <w:p/>
    <w:p>
      <w:pPr/>
      <w:r>
        <w:rPr>
          <w:b/>
        </w:rPr>
        <w:t>Course Catalog Description</w:t>
      </w:r>
    </w:p>
    <w:p>
      <w:pPr/>
      <w:r>
        <w:t>This laboratory course is the companion to SPMD 302 (Exercise Physiology) and provides hands-on practice with the assessment methods that underpin exercise prescription. Students perform indirect calorimetry and VO₂max testing on metabolic carts, determine lactate thresholds, measure anaerobic power via the Wingate and vertical-jump protocols, apply heart-rate and rating-of-perceived-exertion monitoring, conduct body-composition assessment by skinfolds, bioelectrical impedance, and air-displacement plethysmography, and complete submaximal aerobic capacity prediction protocols. Each session emphasizes ACSM-compliant safety, informed consent, and standardized reporting suitable for the practical-skill components of the ACSM-CPT, NSCA-CSCS, and REPs UAE Level 3 credentials.</w:t>
      </w:r>
    </w:p>
    <w:p/>
    <w:p>
      <w:pPr/>
      <w:r>
        <w:rPr>
          <w:b/>
        </w:rPr>
        <w:t>Textbook</w:t>
      </w:r>
    </w:p>
    <w:p>
      <w:pPr/>
      <w:r>
        <w:t>[1] American College of Sports Medicine, ACSM's Guidelines for Exercise Testing and Prescription, 11th ed. Philadelphia, PA: Wolters Kluwer, 2022.</w:t>
      </w:r>
    </w:p>
    <w:p/>
    <w:p>
      <w:pPr/>
      <w:r>
        <w:rPr>
          <w:b/>
        </w:rPr>
        <w:t>Reference Materials</w:t>
      </w:r>
    </w:p>
    <w:p>
      <w:pPr/>
      <w:r>
        <w:t>[2] P. J. Maud and C. Foster, Eds., Physiological Assessment of Human Fitness, 2nd ed. Champaign, IL: Human Kinetics, 2006.</w:t>
      </w:r>
    </w:p>
    <w:p>
      <w:pPr/>
      <w:r>
        <w:t>[3] V. H. Heyward and A. L. Gibson, Advanced Fitness Assessment and Exercise Prescription, 7th ed. Champaign, IL: Human Kinetics, 2014.</w:t>
      </w:r>
    </w:p>
    <w:p>
      <w:pPr/>
      <w:r>
        <w:t>[4] W. L. Kenney, J. H. Wilmore, and D. L. Costill, Physiology of Sport and Exercise, 8th ed. Champaign, IL: Human Kinetics, 2022.</w:t>
      </w:r>
    </w:p>
    <w:p/>
    <w:p>
      <w:pPr/>
      <w:r>
        <w:rPr>
          <w:b/>
        </w:rPr>
        <w:t>Course Structure &amp; Learning Methodology</w:t>
      </w:r>
    </w:p>
    <w:p>
      <w:pPr/>
      <w:r>
        <w:t>The course consists of one 2-hour laboratory session per week. Each session includes a 10-minute pre-lab safety briefing, 75 minutes of hands-on assessment with students rotating through tester, subject, recorder, and spotter roles in small groups, and a 30-minute data-analysis and lab-notebook block. Lecture content is delivered in the companion course SPMD 302. The lab is staffed by the lab director plus one graduate teaching assistant per 12 students.</w:t>
      </w:r>
    </w:p>
    <w:p/>
    <w:p>
      <w:pPr/>
      <w:r>
        <w:rPr>
          <w:b/>
        </w:rPr>
        <w:t>Laboratories/Tutorials</w:t>
      </w:r>
    </w:p>
    <w:tbl>
      <w:tblPr>
        <w:tblStyle w:val="TableGrid"/>
        <w:tblW w:type="auto" w:w="0"/>
        <w:tblLook w:firstColumn="1" w:firstRow="1" w:lastColumn="0" w:lastRow="0" w:noHBand="0" w:noVBand="1" w:val="04A0"/>
      </w:tblPr>
      <w:tblGrid>
        <w:gridCol w:w="4320"/>
        <w:gridCol w:w="4320"/>
      </w:tblGrid>
      <w:tr>
        <w:tc>
          <w:tcPr>
            <w:tcW w:type="dxa" w:w="4320"/>
          </w:tcPr>
          <w:p>
            <w:r>
              <w:rPr>
                <w:b/>
              </w:rPr>
              <w:t>Week #</w:t>
            </w:r>
          </w:p>
        </w:tc>
        <w:tc>
          <w:tcPr>
            <w:tcW w:type="dxa" w:w="4320"/>
          </w:tcPr>
          <w:p>
            <w:r>
              <w:rPr>
                <w:b/>
              </w:rPr>
              <w:t>Topics</w:t>
            </w:r>
          </w:p>
        </w:tc>
      </w:tr>
      <w:tr>
        <w:tc>
          <w:tcPr>
            <w:tcW w:type="dxa" w:w="4320"/>
          </w:tcPr>
          <w:p>
            <w:r>
              <w:t>01</w:t>
            </w:r>
          </w:p>
        </w:tc>
        <w:tc>
          <w:tcPr>
            <w:tcW w:type="dxa" w:w="4320"/>
          </w:tcPr>
          <w:p>
            <w:r>
              <w:t>Lab safety, informed consent, PAR-Q+, and baseline anthropometrics</w:t>
            </w:r>
          </w:p>
        </w:tc>
      </w:tr>
      <w:tr>
        <w:tc>
          <w:tcPr>
            <w:tcW w:type="dxa" w:w="4320"/>
          </w:tcPr>
          <w:p>
            <w:r>
              <w:t>02</w:t>
            </w:r>
          </w:p>
        </w:tc>
        <w:tc>
          <w:tcPr>
            <w:tcW w:type="dxa" w:w="4320"/>
          </w:tcPr>
          <w:p>
            <w:r>
              <w:t>Resting metabolic rate via indirect calorimetry</w:t>
            </w:r>
          </w:p>
        </w:tc>
      </w:tr>
      <w:tr>
        <w:tc>
          <w:tcPr>
            <w:tcW w:type="dxa" w:w="4320"/>
          </w:tcPr>
          <w:p>
            <w:r>
              <w:t>03</w:t>
            </w:r>
          </w:p>
        </w:tc>
        <w:tc>
          <w:tcPr>
            <w:tcW w:type="dxa" w:w="4320"/>
          </w:tcPr>
          <w:p>
            <w:r>
              <w:t>Submaximal aerobic capacity: YMCA cycle ergometer test</w:t>
            </w:r>
          </w:p>
        </w:tc>
      </w:tr>
      <w:tr>
        <w:tc>
          <w:tcPr>
            <w:tcW w:type="dxa" w:w="4320"/>
          </w:tcPr>
          <w:p>
            <w:r>
              <w:t>04</w:t>
            </w:r>
          </w:p>
        </w:tc>
        <w:tc>
          <w:tcPr>
            <w:tcW w:type="dxa" w:w="4320"/>
          </w:tcPr>
          <w:p>
            <w:r>
              <w:t>Submaximal aerobic capacity: Rockport 1-mile walk test</w:t>
            </w:r>
          </w:p>
        </w:tc>
      </w:tr>
      <w:tr>
        <w:tc>
          <w:tcPr>
            <w:tcW w:type="dxa" w:w="4320"/>
          </w:tcPr>
          <w:p>
            <w:r>
              <w:t>05</w:t>
            </w:r>
          </w:p>
        </w:tc>
        <w:tc>
          <w:tcPr>
            <w:tcW w:type="dxa" w:w="4320"/>
          </w:tcPr>
          <w:p>
            <w:r>
              <w:t>VO₂max: graded treadmill protocol (Bruce / modified Bruce)</w:t>
            </w:r>
          </w:p>
        </w:tc>
      </w:tr>
      <w:tr>
        <w:tc>
          <w:tcPr>
            <w:tcW w:type="dxa" w:w="4320"/>
          </w:tcPr>
          <w:p>
            <w:r>
              <w:t>06</w:t>
            </w:r>
          </w:p>
        </w:tc>
        <w:tc>
          <w:tcPr>
            <w:tcW w:type="dxa" w:w="4320"/>
          </w:tcPr>
          <w:p>
            <w:r>
              <w:t>VO₂max: graded cycle ergometer protocol</w:t>
            </w:r>
          </w:p>
        </w:tc>
      </w:tr>
      <w:tr>
        <w:tc>
          <w:tcPr>
            <w:tcW w:type="dxa" w:w="4320"/>
          </w:tcPr>
          <w:p>
            <w:r>
              <w:t>07</w:t>
            </w:r>
          </w:p>
        </w:tc>
        <w:tc>
          <w:tcPr>
            <w:tcW w:type="dxa" w:w="4320"/>
          </w:tcPr>
          <w:p>
            <w:r>
              <w:t>Lactate threshold determination</w:t>
            </w:r>
          </w:p>
        </w:tc>
      </w:tr>
      <w:tr>
        <w:tc>
          <w:tcPr>
            <w:tcW w:type="dxa" w:w="4320"/>
          </w:tcPr>
          <w:p>
            <w:r>
              <w:t>08</w:t>
            </w:r>
          </w:p>
        </w:tc>
        <w:tc>
          <w:tcPr>
            <w:tcW w:type="dxa" w:w="4320"/>
          </w:tcPr>
          <w:p>
            <w:r>
              <w:t>Mid-semester practical skills check</w:t>
            </w:r>
          </w:p>
        </w:tc>
      </w:tr>
      <w:tr>
        <w:tc>
          <w:tcPr>
            <w:tcW w:type="dxa" w:w="4320"/>
          </w:tcPr>
          <w:p>
            <w:r>
              <w:t>09</w:t>
            </w:r>
          </w:p>
        </w:tc>
        <w:tc>
          <w:tcPr>
            <w:tcW w:type="dxa" w:w="4320"/>
          </w:tcPr>
          <w:p>
            <w:r>
              <w:t>Anaerobic power: Wingate 30-second cycle test</w:t>
            </w:r>
          </w:p>
        </w:tc>
      </w:tr>
      <w:tr>
        <w:tc>
          <w:tcPr>
            <w:tcW w:type="dxa" w:w="4320"/>
          </w:tcPr>
          <w:p>
            <w:r>
              <w:t>10</w:t>
            </w:r>
          </w:p>
        </w:tc>
        <w:tc>
          <w:tcPr>
            <w:tcW w:type="dxa" w:w="4320"/>
          </w:tcPr>
          <w:p>
            <w:r>
              <w:t>Anaerobic power: vertical jump (Sargent and countermovement)</w:t>
            </w:r>
          </w:p>
        </w:tc>
      </w:tr>
      <w:tr>
        <w:tc>
          <w:tcPr>
            <w:tcW w:type="dxa" w:w="4320"/>
          </w:tcPr>
          <w:p>
            <w:r>
              <w:t>11</w:t>
            </w:r>
          </w:p>
        </w:tc>
        <w:tc>
          <w:tcPr>
            <w:tcW w:type="dxa" w:w="4320"/>
          </w:tcPr>
          <w:p>
            <w:r>
              <w:t>Body composition: skinfolds (7-site Jackson–Pollock)</w:t>
            </w:r>
          </w:p>
        </w:tc>
      </w:tr>
      <w:tr>
        <w:tc>
          <w:tcPr>
            <w:tcW w:type="dxa" w:w="4320"/>
          </w:tcPr>
          <w:p>
            <w:r>
              <w:t>12</w:t>
            </w:r>
          </w:p>
        </w:tc>
        <w:tc>
          <w:tcPr>
            <w:tcW w:type="dxa" w:w="4320"/>
          </w:tcPr>
          <w:p>
            <w:r>
              <w:t>Body composition: bioelectrical impedance and air-displacement plethysmography</w:t>
            </w:r>
          </w:p>
        </w:tc>
      </w:tr>
      <w:tr>
        <w:tc>
          <w:tcPr>
            <w:tcW w:type="dxa" w:w="4320"/>
          </w:tcPr>
          <w:p>
            <w:r>
              <w:t>13</w:t>
            </w:r>
          </w:p>
        </w:tc>
        <w:tc>
          <w:tcPr>
            <w:tcW w:type="dxa" w:w="4320"/>
          </w:tcPr>
          <w:p>
            <w:r>
              <w:t>Thermoregulation lab: heat stress and hydration tracking</w:t>
            </w:r>
          </w:p>
        </w:tc>
      </w:tr>
      <w:tr>
        <w:tc>
          <w:tcPr>
            <w:tcW w:type="dxa" w:w="4320"/>
          </w:tcPr>
          <w:p>
            <w:r>
              <w:t>14</w:t>
            </w:r>
          </w:p>
        </w:tc>
        <w:tc>
          <w:tcPr>
            <w:tcW w:type="dxa" w:w="4320"/>
          </w:tcPr>
          <w:p>
            <w:r>
              <w:t>Final practical examination (assessment chosen by lottery)</w:t>
            </w:r>
          </w:p>
        </w:tc>
      </w:tr>
    </w:tbl>
    <w:p/>
    <w:p>
      <w:pPr/>
      <w:r>
        <w:rPr>
          <w:b/>
        </w:rPr>
        <w:t>Laboratory and/or Computing/Digital Resources</w:t>
      </w:r>
    </w:p>
    <w:p>
      <w:pPr/>
      <w:r>
        <w:t>Metabolic cart (Parvo Medics TrueOne or Cosmed Quark), cycle ergometers (Lode/Monark), motorized treadmill, portable lactate analyzer (Lactate Pro 2), air-displacement plethysmograph (BodPod) or DEXA, BIA scale (InBody), Polar HR telemetry chest straps, Harpenden skinfold calipers, vertical-jump mat (Just Jump or Vertec), environmental chamber where available, KU ExPhys lab notebook template, statistical software (SPSS or Jamovi), and Blackboard LMS.</w:t>
      </w:r>
    </w:p>
    <w:p/>
    <w:p>
      <w:pPr/>
      <w:r>
        <w:rPr>
          <w:b/>
        </w:rPr>
        <w:t>Course Learning Outcomes (CLO) and Contributions Program Level BSc Clinical Nutrition and Dietetics Program Learning Outcomes (PLO)*:</w:t>
      </w:r>
    </w:p>
    <w:p>
      <w:pPr/>
      <w:r>
        <w:t>*PLOs can be found in the academic catalog</w:t>
      </w:r>
    </w:p>
    <w:p>
      <w:pPr/>
      <w:r>
        <w:t>#Emphasis level: H: High; M: Medium; L: Low; N: Nothing specific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CLOs</w:t>
            </w:r>
          </w:p>
        </w:tc>
        <w:tc>
          <w:tcPr>
            <w:tcW w:type="dxa" w:w="2160"/>
          </w:tcPr>
          <w:p>
            <w:r>
              <w:rPr>
                <w:b/>
              </w:rPr>
              <w:t>PLOs</w:t>
            </w:r>
          </w:p>
        </w:tc>
        <w:tc>
          <w:tcPr>
            <w:tcW w:type="dxa" w:w="2160"/>
          </w:tcPr>
          <w:p>
            <w:r>
              <w:rPr>
                <w:b/>
              </w:rPr>
              <w:t>Emphasis Level#</w:t>
            </w:r>
          </w:p>
        </w:tc>
      </w:tr>
      <w:tr>
        <w:tc>
          <w:tcPr>
            <w:tcW w:type="dxa" w:w="2160"/>
          </w:tcPr>
          <w:p>
            <w:r>
              <w:t>1</w:t>
            </w:r>
          </w:p>
        </w:tc>
        <w:tc>
          <w:tcPr>
            <w:tcW w:type="dxa" w:w="2160"/>
          </w:tcPr>
          <w:p>
            <w:r>
              <w:t>Conduct ACSM-compliant exercise-physiology assessments safely and reliably across cardiorespiratory, anaerobic, and body-composition domains</w:t>
            </w:r>
          </w:p>
        </w:tc>
        <w:tc>
          <w:tcPr>
            <w:tcW w:type="dxa" w:w="2160"/>
          </w:tcPr>
          <w:p>
            <w:r>
              <w:t>3, 5</w:t>
            </w:r>
          </w:p>
        </w:tc>
        <w:tc>
          <w:tcPr>
            <w:tcW w:type="dxa" w:w="2160"/>
          </w:tcPr>
          <w:p>
            <w:r>
              <w:t>H, M</w:t>
            </w:r>
          </w:p>
        </w:tc>
      </w:tr>
      <w:tr>
        <w:tc>
          <w:tcPr>
            <w:tcW w:type="dxa" w:w="2160"/>
          </w:tcPr>
          <w:p>
            <w:r>
              <w:t>2</w:t>
            </w:r>
          </w:p>
        </w:tc>
        <w:tc>
          <w:tcPr>
            <w:tcW w:type="dxa" w:w="2160"/>
          </w:tcPr>
          <w:p>
            <w:r>
              <w:t>Analyze and interpret physiological data including VO₂, heart rate, lactate, and RPE to characterize the exercise response</w:t>
            </w:r>
          </w:p>
        </w:tc>
        <w:tc>
          <w:tcPr>
            <w:tcW w:type="dxa" w:w="2160"/>
          </w:tcPr>
          <w:p>
            <w:r>
              <w:t>1, 3</w:t>
            </w:r>
          </w:p>
        </w:tc>
        <w:tc>
          <w:tcPr>
            <w:tcW w:type="dxa" w:w="2160"/>
          </w:tcPr>
          <w:p>
            <w:r>
              <w:t>H, H</w:t>
            </w:r>
          </w:p>
        </w:tc>
      </w:tr>
      <w:tr>
        <w:tc>
          <w:tcPr>
            <w:tcW w:type="dxa" w:w="2160"/>
          </w:tcPr>
          <w:p>
            <w:r>
              <w:t>3</w:t>
            </w:r>
          </w:p>
        </w:tc>
        <w:tc>
          <w:tcPr>
            <w:tcW w:type="dxa" w:w="2160"/>
          </w:tcPr>
          <w:p>
            <w:r>
              <w:t>Apply bioenergetic and cardiorespiratory principles to predict and explain assessment results across populations</w:t>
            </w:r>
          </w:p>
        </w:tc>
        <w:tc>
          <w:tcPr>
            <w:tcW w:type="dxa" w:w="2160"/>
          </w:tcPr>
          <w:p>
            <w:r>
              <w:t>1, 3</w:t>
            </w:r>
          </w:p>
        </w:tc>
        <w:tc>
          <w:tcPr>
            <w:tcW w:type="dxa" w:w="2160"/>
          </w:tcPr>
          <w:p>
            <w:r>
              <w:t>H, H</w:t>
            </w:r>
          </w:p>
        </w:tc>
      </w:tr>
      <w:tr>
        <w:tc>
          <w:tcPr>
            <w:tcW w:type="dxa" w:w="2160"/>
          </w:tcPr>
          <w:p>
            <w:r>
              <w:t>4</w:t>
            </w:r>
          </w:p>
        </w:tc>
        <w:tc>
          <w:tcPr>
            <w:tcW w:type="dxa" w:w="2160"/>
          </w:tcPr>
          <w:p>
            <w:r>
              <w:t>Document laboratory procedures and results in compliance with ACSM and REPs UAE professional standards</w:t>
            </w:r>
          </w:p>
        </w:tc>
        <w:tc>
          <w:tcPr>
            <w:tcW w:type="dxa" w:w="2160"/>
          </w:tcPr>
          <w:p>
            <w:r>
              <w:t>4, 5</w:t>
            </w:r>
          </w:p>
        </w:tc>
        <w:tc>
          <w:tcPr>
            <w:tcW w:type="dxa" w:w="2160"/>
          </w:tcPr>
          <w:p>
            <w:r>
              <w:t>M, H</w:t>
            </w:r>
          </w:p>
        </w:tc>
      </w:tr>
      <w:tr>
        <w:tc>
          <w:tcPr>
            <w:tcW w:type="dxa" w:w="2160"/>
          </w:tcPr>
          <w:p>
            <w:r>
              <w:t>5</w:t>
            </w:r>
          </w:p>
        </w:tc>
        <w:tc>
          <w:tcPr>
            <w:tcW w:type="dxa" w:w="2160"/>
          </w:tcPr>
          <w:p>
            <w:r>
              <w:t>Communicate findings effectively in formal lab reports and oral debriefs with peers and supervisors</w:t>
            </w:r>
          </w:p>
        </w:tc>
        <w:tc>
          <w:tcPr>
            <w:tcW w:type="dxa" w:w="2160"/>
          </w:tcPr>
          <w:p>
            <w:r>
              <w:t>4</w:t>
            </w:r>
          </w:p>
        </w:tc>
        <w:tc>
          <w:tcPr>
            <w:tcW w:type="dxa" w:w="2160"/>
          </w:tcPr>
          <w:p>
            <w:r>
              <w:t>H</w:t>
            </w:r>
          </w:p>
        </w:tc>
      </w:tr>
    </w:tbl>
    <w:p/>
    <w:p>
      <w:pPr/>
      <w:r>
        <w:rPr>
          <w:b/>
        </w:rPr>
        <w:t>Assessment</w:t>
      </w:r>
    </w:p>
    <w:p>
      <w:pPr/>
      <w:r>
        <w:t>All course learning outcomes are assessed using the following assessment tools.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Assessment Instruments</w:t>
            </w:r>
          </w:p>
        </w:tc>
        <w:tc>
          <w:tcPr>
            <w:tcW w:type="dxa" w:w="2160"/>
          </w:tcPr>
          <w:p>
            <w:r>
              <w:rPr>
                <w:b/>
              </w:rPr>
              <w:t>Contribution to Course Grade (%)</w:t>
            </w:r>
          </w:p>
        </w:tc>
        <w:tc>
          <w:tcPr>
            <w:tcW w:type="dxa" w:w="2160"/>
          </w:tcPr>
          <w:p>
            <w:r>
              <w:rPr>
                <w:b/>
              </w:rPr>
              <w:t>Week #</w:t>
            </w:r>
          </w:p>
        </w:tc>
        <w:tc>
          <w:tcPr>
            <w:tcW w:type="dxa" w:w="2160"/>
          </w:tcPr>
          <w:p>
            <w:r>
              <w:rPr>
                <w:b/>
              </w:rPr>
              <w:t>CLO(s)</w:t>
            </w:r>
          </w:p>
        </w:tc>
      </w:tr>
      <w:tr>
        <w:tc>
          <w:tcPr>
            <w:tcW w:type="dxa" w:w="2160"/>
          </w:tcPr>
          <w:p>
            <w:r>
              <w:t>Weekly Lab Notebook Entries</w:t>
            </w:r>
          </w:p>
        </w:tc>
        <w:tc>
          <w:tcPr>
            <w:tcW w:type="dxa" w:w="2160"/>
          </w:tcPr>
          <w:p>
            <w:r>
              <w:t>20%</w:t>
            </w:r>
          </w:p>
        </w:tc>
        <w:tc>
          <w:tcPr>
            <w:tcW w:type="dxa" w:w="2160"/>
          </w:tcPr>
          <w:p>
            <w:r>
              <w:t>1–14</w:t>
            </w:r>
          </w:p>
        </w:tc>
        <w:tc>
          <w:tcPr>
            <w:tcW w:type="dxa" w:w="2160"/>
          </w:tcPr>
          <w:p>
            <w:r>
              <w:t>1, 2, 4</w:t>
            </w:r>
          </w:p>
        </w:tc>
      </w:tr>
      <w:tr>
        <w:tc>
          <w:tcPr>
            <w:tcW w:type="dxa" w:w="2160"/>
          </w:tcPr>
          <w:p>
            <w:r>
              <w:t>Lab Report 1 — VO₂max</w:t>
            </w:r>
          </w:p>
        </w:tc>
        <w:tc>
          <w:tcPr>
            <w:tcW w:type="dxa" w:w="2160"/>
          </w:tcPr>
          <w:p>
            <w:r>
              <w:t>15%</w:t>
            </w:r>
          </w:p>
        </w:tc>
        <w:tc>
          <w:tcPr>
            <w:tcW w:type="dxa" w:w="2160"/>
          </w:tcPr>
          <w:p>
            <w:r>
              <w:t>6</w:t>
            </w:r>
          </w:p>
        </w:tc>
        <w:tc>
          <w:tcPr>
            <w:tcW w:type="dxa" w:w="2160"/>
          </w:tcPr>
          <w:p>
            <w:r>
              <w:t>1, 2, 3</w:t>
            </w:r>
          </w:p>
        </w:tc>
      </w:tr>
      <w:tr>
        <w:tc>
          <w:tcPr>
            <w:tcW w:type="dxa" w:w="2160"/>
          </w:tcPr>
          <w:p>
            <w:r>
              <w:t>Lab Report 2 — Body Composition</w:t>
            </w:r>
          </w:p>
        </w:tc>
        <w:tc>
          <w:tcPr>
            <w:tcW w:type="dxa" w:w="2160"/>
          </w:tcPr>
          <w:p>
            <w:r>
              <w:t>15%</w:t>
            </w:r>
          </w:p>
        </w:tc>
        <w:tc>
          <w:tcPr>
            <w:tcW w:type="dxa" w:w="2160"/>
          </w:tcPr>
          <w:p>
            <w:r>
              <w:t>12</w:t>
            </w:r>
          </w:p>
        </w:tc>
        <w:tc>
          <w:tcPr>
            <w:tcW w:type="dxa" w:w="2160"/>
          </w:tcPr>
          <w:p>
            <w:r>
              <w:t>1, 2, 3, 5</w:t>
            </w:r>
          </w:p>
        </w:tc>
      </w:tr>
      <w:tr>
        <w:tc>
          <w:tcPr>
            <w:tcW w:type="dxa" w:w="2160"/>
          </w:tcPr>
          <w:p>
            <w:r>
              <w:t>Mid-Semester Practical Skills Check</w:t>
            </w:r>
          </w:p>
        </w:tc>
        <w:tc>
          <w:tcPr>
            <w:tcW w:type="dxa" w:w="2160"/>
          </w:tcPr>
          <w:p>
            <w:r>
              <w:t>15%</w:t>
            </w:r>
          </w:p>
        </w:tc>
        <w:tc>
          <w:tcPr>
            <w:tcW w:type="dxa" w:w="2160"/>
          </w:tcPr>
          <w:p>
            <w:r>
              <w:t>8</w:t>
            </w:r>
          </w:p>
        </w:tc>
        <w:tc>
          <w:tcPr>
            <w:tcW w:type="dxa" w:w="2160"/>
          </w:tcPr>
          <w:p>
            <w:r>
              <w:t>1</w:t>
            </w:r>
          </w:p>
        </w:tc>
      </w:tr>
      <w:tr>
        <w:tc>
          <w:tcPr>
            <w:tcW w:type="dxa" w:w="2160"/>
          </w:tcPr>
          <w:p>
            <w:r>
              <w:t>Lab Safety and Participation</w:t>
            </w:r>
          </w:p>
        </w:tc>
        <w:tc>
          <w:tcPr>
            <w:tcW w:type="dxa" w:w="2160"/>
          </w:tcPr>
          <w:p>
            <w:r>
              <w:t>5%</w:t>
            </w:r>
          </w:p>
        </w:tc>
        <w:tc>
          <w:tcPr>
            <w:tcW w:type="dxa" w:w="2160"/>
          </w:tcPr>
          <w:p>
            <w:r>
              <w:t>1–14</w:t>
            </w:r>
          </w:p>
        </w:tc>
        <w:tc>
          <w:tcPr>
            <w:tcW w:type="dxa" w:w="2160"/>
          </w:tcPr>
          <w:p>
            <w:r>
              <w:t>4</w:t>
            </w:r>
          </w:p>
        </w:tc>
      </w:tr>
      <w:tr>
        <w:tc>
          <w:tcPr>
            <w:tcW w:type="dxa" w:w="2160"/>
          </w:tcPr>
          <w:p>
            <w:r>
              <w:t>Final Practical Examination</w:t>
            </w:r>
          </w:p>
        </w:tc>
        <w:tc>
          <w:tcPr>
            <w:tcW w:type="dxa" w:w="2160"/>
          </w:tcPr>
          <w:p>
            <w:r>
              <w:t>30%</w:t>
            </w:r>
          </w:p>
        </w:tc>
        <w:tc>
          <w:tcPr>
            <w:tcW w:type="dxa" w:w="2160"/>
          </w:tcPr>
          <w:p>
            <w:r>
              <w:t>14</w:t>
            </w:r>
          </w:p>
        </w:tc>
        <w:tc>
          <w:tcPr>
            <w:tcW w:type="dxa" w:w="2160"/>
          </w:tcPr>
          <w:p>
            <w:r>
              <w:t>1, 2, 3, 4, 5</w:t>
            </w:r>
          </w:p>
        </w:tc>
      </w:tr>
    </w:tbl>
    <w:p/>
    <w:p>
      <w:pPr/>
      <w:r>
        <w:rPr>
          <w:b/>
        </w:rPr>
        <w:t>Grading Scheme</w:t>
      </w:r>
    </w:p>
    <w:p>
      <w:pPr/>
      <w:r>
        <w:t>The official Khalifa University grading system uses letter grades with pluses and minuses. Passing grades range from A to D; F is failing. Each letter grade is assigned a grade point on a four-point scale, used to calculate the semester and cumulative grade point average (GPA).</w:t>
      </w:r>
    </w:p>
    <w:p>
      <w:pPr>
        <w:pStyle w:val="NoSpacing"/>
      </w:pPr>
      <w:r>
        <w:t>For undergraduate programs: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Letter Grade</w:t>
            </w:r>
          </w:p>
        </w:tc>
        <w:tc>
          <w:tcPr>
            <w:tcW w:type="dxa" w:w="2160"/>
          </w:tcPr>
          <w:p>
            <w:r>
              <w:rPr>
                <w:b/>
              </w:rPr>
              <w:t>Grade Point</w:t>
            </w:r>
          </w:p>
        </w:tc>
        <w:tc>
          <w:tcPr>
            <w:tcW w:type="dxa" w:w="2160"/>
          </w:tcPr>
          <w:p>
            <w:r>
              <w:rPr>
                <w:b/>
              </w:rPr>
              <w:t>Grade Range</w:t>
            </w:r>
          </w:p>
        </w:tc>
        <w:tc>
          <w:tcPr>
            <w:tcW w:type="dxa" w:w="2160"/>
          </w:tcPr>
          <w:p>
            <w:r>
              <w:rPr>
                <w:b/>
              </w:rPr>
              <w:t>Description</w:t>
            </w:r>
          </w:p>
        </w:tc>
      </w:tr>
      <w:tr>
        <w:tc>
          <w:tcPr>
            <w:tcW w:type="dxa" w:w="2160"/>
          </w:tcPr>
          <w:p>
            <w:r>
              <w:t>A</w:t>
            </w:r>
          </w:p>
        </w:tc>
        <w:tc>
          <w:tcPr>
            <w:tcW w:type="dxa" w:w="2160"/>
          </w:tcPr>
          <w:p>
            <w:r>
              <w:t>4.00</w:t>
            </w:r>
          </w:p>
        </w:tc>
        <w:tc>
          <w:tcPr>
            <w:tcW w:type="dxa" w:w="2160"/>
          </w:tcPr>
          <w:p>
            <w:r>
              <w:t>From 92.5% to 100%</w:t>
            </w:r>
          </w:p>
        </w:tc>
        <w:tc>
          <w:tcPr>
            <w:tcW w:type="dxa" w:w="2160"/>
          </w:tcPr>
          <w:p>
            <w:r>
              <w:t>Excellent</w:t>
            </w:r>
          </w:p>
        </w:tc>
      </w:tr>
      <w:tr>
        <w:tc>
          <w:tcPr>
            <w:tcW w:type="dxa" w:w="2160"/>
          </w:tcPr>
          <w:p>
            <w:r>
              <w:t>A-</w:t>
            </w:r>
          </w:p>
        </w:tc>
        <w:tc>
          <w:tcPr>
            <w:tcW w:type="dxa" w:w="2160"/>
          </w:tcPr>
          <w:p>
            <w:r>
              <w:t>3.70</w:t>
            </w:r>
          </w:p>
        </w:tc>
        <w:tc>
          <w:tcPr>
            <w:tcW w:type="dxa" w:w="2160"/>
          </w:tcPr>
          <w:p>
            <w:r>
              <w:t>From 89.5% to less than 92.5%</w:t>
            </w:r>
          </w:p>
        </w:tc>
        <w:tc>
          <w:tcPr>
            <w:tcW w:type="dxa" w:w="2160"/>
          </w:tcPr>
          <w:p>
            <w:r>
              <w:t>Very Good</w:t>
            </w:r>
          </w:p>
        </w:tc>
      </w:tr>
      <w:tr>
        <w:tc>
          <w:tcPr>
            <w:tcW w:type="dxa" w:w="2160"/>
          </w:tcPr>
          <w:p>
            <w:r>
              <w:t>B+</w:t>
            </w:r>
          </w:p>
        </w:tc>
        <w:tc>
          <w:tcPr>
            <w:tcW w:type="dxa" w:w="2160"/>
          </w:tcPr>
          <w:p>
            <w:r>
              <w:t>3.30</w:t>
            </w:r>
          </w:p>
        </w:tc>
        <w:tc>
          <w:tcPr>
            <w:tcW w:type="dxa" w:w="2160"/>
          </w:tcPr>
          <w:p>
            <w:r>
              <w:t>From 86.5% to less than 89.5%</w:t>
            </w:r>
          </w:p>
        </w:tc>
        <w:tc>
          <w:tcPr>
            <w:tcW w:type="dxa" w:w="2160"/>
          </w:tcPr>
          <w:p>
            <w:r>
              <w:t>Very Good</w:t>
            </w:r>
          </w:p>
        </w:tc>
      </w:tr>
      <w:tr>
        <w:tc>
          <w:tcPr>
            <w:tcW w:type="dxa" w:w="2160"/>
          </w:tcPr>
          <w:p>
            <w:r>
              <w:t>B</w:t>
            </w:r>
          </w:p>
        </w:tc>
        <w:tc>
          <w:tcPr>
            <w:tcW w:type="dxa" w:w="2160"/>
          </w:tcPr>
          <w:p>
            <w:r>
              <w:t>3.00</w:t>
            </w:r>
          </w:p>
        </w:tc>
        <w:tc>
          <w:tcPr>
            <w:tcW w:type="dxa" w:w="2160"/>
          </w:tcPr>
          <w:p>
            <w:r>
              <w:t>From 82.5% to less than 86.5%</w:t>
            </w:r>
          </w:p>
        </w:tc>
        <w:tc>
          <w:tcPr>
            <w:tcW w:type="dxa" w:w="2160"/>
          </w:tcPr>
          <w:p>
            <w:r>
              <w:t>Good</w:t>
            </w:r>
          </w:p>
        </w:tc>
      </w:tr>
      <w:tr>
        <w:tc>
          <w:tcPr>
            <w:tcW w:type="dxa" w:w="2160"/>
          </w:tcPr>
          <w:p>
            <w:r>
              <w:t>B-</w:t>
            </w:r>
          </w:p>
        </w:tc>
        <w:tc>
          <w:tcPr>
            <w:tcW w:type="dxa" w:w="2160"/>
          </w:tcPr>
          <w:p>
            <w:r>
              <w:t>2.70</w:t>
            </w:r>
          </w:p>
        </w:tc>
        <w:tc>
          <w:tcPr>
            <w:tcW w:type="dxa" w:w="2160"/>
          </w:tcPr>
          <w:p>
            <w:r>
              <w:t>From 79.5% to less than 82.5%</w:t>
            </w:r>
          </w:p>
        </w:tc>
        <w:tc>
          <w:tcPr>
            <w:tcW w:type="dxa" w:w="2160"/>
          </w:tcPr>
          <w:p>
            <w:r>
              <w:t>Good</w:t>
            </w:r>
          </w:p>
        </w:tc>
      </w:tr>
      <w:tr>
        <w:tc>
          <w:tcPr>
            <w:tcW w:type="dxa" w:w="2160"/>
          </w:tcPr>
          <w:p>
            <w:r>
              <w:t>C+</w:t>
            </w:r>
          </w:p>
        </w:tc>
        <w:tc>
          <w:tcPr>
            <w:tcW w:type="dxa" w:w="2160"/>
          </w:tcPr>
          <w:p>
            <w:r>
              <w:t>2.30</w:t>
            </w:r>
          </w:p>
        </w:tc>
        <w:tc>
          <w:tcPr>
            <w:tcW w:type="dxa" w:w="2160"/>
          </w:tcPr>
          <w:p>
            <w:r>
              <w:t>From 76.5% to less than 79.5%</w:t>
            </w:r>
          </w:p>
        </w:tc>
        <w:tc>
          <w:tcPr>
            <w:tcW w:type="dxa" w:w="2160"/>
          </w:tcPr>
          <w:p>
            <w:r>
              <w:t>Satisfactory</w:t>
            </w:r>
          </w:p>
        </w:tc>
      </w:tr>
      <w:tr>
        <w:tc>
          <w:tcPr>
            <w:tcW w:type="dxa" w:w="2160"/>
          </w:tcPr>
          <w:p>
            <w:r>
              <w:t>C</w:t>
            </w:r>
          </w:p>
        </w:tc>
        <w:tc>
          <w:tcPr>
            <w:tcW w:type="dxa" w:w="2160"/>
          </w:tcPr>
          <w:p>
            <w:r>
              <w:t>2.00</w:t>
            </w:r>
          </w:p>
        </w:tc>
        <w:tc>
          <w:tcPr>
            <w:tcW w:type="dxa" w:w="2160"/>
          </w:tcPr>
          <w:p>
            <w:r>
              <w:t>From 72.5% to less than 76.5%</w:t>
            </w:r>
          </w:p>
        </w:tc>
        <w:tc>
          <w:tcPr>
            <w:tcW w:type="dxa" w:w="2160"/>
          </w:tcPr>
          <w:p>
            <w:r>
              <w:t>Satisfactory</w:t>
            </w:r>
          </w:p>
        </w:tc>
      </w:tr>
      <w:tr>
        <w:tc>
          <w:tcPr>
            <w:tcW w:type="dxa" w:w="2160"/>
          </w:tcPr>
          <w:p>
            <w:r>
              <w:t>C-</w:t>
            </w:r>
          </w:p>
        </w:tc>
        <w:tc>
          <w:tcPr>
            <w:tcW w:type="dxa" w:w="2160"/>
          </w:tcPr>
          <w:p>
            <w:r>
              <w:t>1.70</w:t>
            </w:r>
          </w:p>
        </w:tc>
        <w:tc>
          <w:tcPr>
            <w:tcW w:type="dxa" w:w="2160"/>
          </w:tcPr>
          <w:p>
            <w:r>
              <w:t>From 69.5% to less than 72.5%</w:t>
            </w:r>
          </w:p>
        </w:tc>
        <w:tc>
          <w:tcPr>
            <w:tcW w:type="dxa" w:w="2160"/>
          </w:tcPr>
          <w:p>
            <w:r>
              <w:t>Less than Satisfactory</w:t>
            </w:r>
          </w:p>
        </w:tc>
      </w:tr>
      <w:tr>
        <w:tc>
          <w:tcPr>
            <w:tcW w:type="dxa" w:w="2160"/>
          </w:tcPr>
          <w:p>
            <w:r>
              <w:t>D</w:t>
            </w:r>
          </w:p>
        </w:tc>
        <w:tc>
          <w:tcPr>
            <w:tcW w:type="dxa" w:w="2160"/>
          </w:tcPr>
          <w:p>
            <w:r>
              <w:t>1.00</w:t>
            </w:r>
          </w:p>
        </w:tc>
        <w:tc>
          <w:tcPr>
            <w:tcW w:type="dxa" w:w="2160"/>
          </w:tcPr>
          <w:p>
            <w:r>
              <w:t>From 59.5% to less than 69.5%</w:t>
            </w:r>
          </w:p>
        </w:tc>
        <w:tc>
          <w:tcPr>
            <w:tcW w:type="dxa" w:w="2160"/>
          </w:tcPr>
          <w:p>
            <w:r>
              <w:t>Poor</w:t>
            </w:r>
          </w:p>
        </w:tc>
      </w:tr>
      <w:tr>
        <w:tc>
          <w:tcPr>
            <w:tcW w:type="dxa" w:w="2160"/>
          </w:tcPr>
          <w:p>
            <w:r>
              <w:t>F</w:t>
            </w:r>
          </w:p>
        </w:tc>
        <w:tc>
          <w:tcPr>
            <w:tcW w:type="dxa" w:w="2160"/>
          </w:tcPr>
          <w:p>
            <w:r>
              <w:t>0.00</w:t>
            </w:r>
          </w:p>
        </w:tc>
        <w:tc>
          <w:tcPr>
            <w:tcW w:type="dxa" w:w="2160"/>
          </w:tcPr>
          <w:p>
            <w:r>
              <w:t>Less than 59.5%</w:t>
            </w:r>
          </w:p>
        </w:tc>
        <w:tc>
          <w:tcPr>
            <w:tcW w:type="dxa" w:w="2160"/>
          </w:tcPr>
          <w:p>
            <w:r>
              <w:t>Fail</w:t>
            </w:r>
          </w:p>
        </w:tc>
      </w:tr>
    </w:tbl>
    <w:p/>
    <w:p>
      <w:pPr>
        <w:pStyle w:val="NoSpacing"/>
      </w:pPr>
      <w:r>
        <w:rPr>
          <w:b/>
        </w:rPr>
        <w:t>Academic Integrity Statement</w:t>
      </w:r>
    </w:p>
    <w:p>
      <w:pPr>
        <w:pStyle w:val="NoSpacing"/>
      </w:pPr>
      <w:r>
        <w:t>"As a Khalifa University student, I will not lie, cheat, steal, or use any unfair means in academic work and will behave according to university rules and UAE societal norms and expectations." Refer to the Student Code of Conduct for further details.</w:t>
      </w:r>
    </w:p>
    <w:p/>
    <w:p>
      <w:pPr>
        <w:pStyle w:val="NoSpacing"/>
      </w:pPr>
      <w:r>
        <w:rPr>
          <w:b/>
        </w:rPr>
        <w:t>Copyright and Plagiarism</w:t>
      </w:r>
    </w:p>
    <w:p>
      <w:pPr>
        <w:pStyle w:val="NoSpacing"/>
      </w:pPr>
      <w:r>
        <w:t>All students must adhere to the university's policies on copyright and plagiarism, including the ethical use of generative AI tools. Any use of AI-generated content must be properly attributed and must comply with the course instructor's permitted-use guidelines. Unauthorized use of copyrighted materials or undisclosed AI assistance constitutes academic misconduct and is subject to disciplinary action under the Student Code of Conduct.</w:t>
      </w:r>
    </w:p>
    <w:p/>
    <w:p>
      <w:pPr>
        <w:pStyle w:val="NoSpacing"/>
      </w:pPr>
      <w:r>
        <w:t>This syllabus must be augmented by a syllabus supplement for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