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SPMD 305: Exercise Programme Design</w:t>
      </w:r>
    </w:p>
    <w:p>
      <w:pPr/>
      <w:r>
        <w:t>(3 Lecture hours, 0 Laboratory hours, 3 Credits)</w:t>
      </w:r>
    </w:p>
    <w:p/>
    <w:p>
      <w:pPr/>
      <w:r>
        <w:rPr>
          <w:b/>
        </w:rPr>
        <w:t>Prerequisites</w:t>
      </w:r>
    </w:p>
    <w:p>
      <w:pPr/>
      <w:r>
        <w:t>SPMD 301</w:t>
      </w:r>
    </w:p>
    <w:p>
      <w:pPr/>
      <w:r>
        <w:t>SPMD 302</w:t>
      </w:r>
    </w:p>
    <w:p/>
    <w:p>
      <w:pPr/>
      <w:r>
        <w:rPr>
          <w:b/>
        </w:rPr>
        <w:t>Course Catalog Description</w:t>
      </w:r>
    </w:p>
    <w:p>
      <w:pPr/>
      <w:r>
        <w:t>This course develops the practical and theoretical foundations of evidence-based exercise programme design across the lifespan. Students conduct comprehensive needs analyses; apply ACSM risk-stratification and the PAR-Q+; integrate the NASM Optimum Performance Training (OPT) model and linear, undulating, and block periodization; and manipulate FITT-VP variables to design cardiorespiratory, resistance, flexibility, and power programmes for healthy adults, youth, older adults, pregnant clients, and clients with chronic disease. Programme rationale is communicated in writing and orally, and outcomes are monitored using objective and subjective metrics. Content aligns with the NASM-CPT, ACE-CPT, NSCA-CSCS, ACSM-CPT, and REPs UAE Level 3 competency frameworks.</w:t>
      </w:r>
    </w:p>
    <w:p/>
    <w:p>
      <w:pPr/>
      <w:r>
        <w:rPr>
          <w:b/>
        </w:rPr>
        <w:t>Textbook</w:t>
      </w:r>
    </w:p>
    <w:p>
      <w:pPr/>
      <w:r>
        <w:t>[1] G. G. Haff and N. T. Triplett, Eds., Essentials of Strength Training and Conditioning, 5th ed. Champaign, IL: Human Kinetics, 2024.</w:t>
      </w:r>
    </w:p>
    <w:p/>
    <w:p>
      <w:pPr/>
      <w:r>
        <w:rPr>
          <w:b/>
        </w:rPr>
        <w:t>Reference Materials</w:t>
      </w:r>
    </w:p>
    <w:p>
      <w:pPr/>
      <w:r>
        <w:t>[2] B. A. Sutton, Ed., NASM Essentials of Personal Fitness Training, 7th ed. Burlington, MA: Jones &amp; Bartlett Learning, 2022.</w:t>
      </w:r>
    </w:p>
    <w:p>
      <w:pPr/>
      <w:r>
        <w:t>[3] American College of Sports Medicine, ACSM's Guidelines for Exercise Testing and Prescription, 11th ed. Philadelphia, PA: Wolters Kluwer, 2022.</w:t>
      </w:r>
    </w:p>
    <w:p>
      <w:pPr/>
      <w:r>
        <w:t>[4] T. O. Bompa and C. Buzzichelli, Periodization: Theory and Methodology of Training, 6th ed. Champaign, IL: Human Kinetics, 2019.</w:t>
      </w:r>
    </w:p>
    <w:p/>
    <w:p>
      <w:pPr/>
      <w:r>
        <w:rPr>
          <w:b/>
        </w:rPr>
        <w:t>Course Structure &amp; Learning Methodology</w:t>
      </w:r>
    </w:p>
    <w:p>
      <w:pPr/>
      <w:r>
        <w:t>The course consists of 3 hours of interactive lecture per week. Delivery includes case-based lectures, programme-design workshops, peer review of student-authored programmes, video analysis of coaching cues, and guest sessions from REPs UAE certified coaches. Students build a portfolio of three client programmes across the semester and defend their design choices in a Week 13–14 oral case defense.</w:t>
      </w:r>
    </w:p>
    <w:p/>
    <w:p>
      <w:pPr>
        <w:pStyle w:val="NoSpacing"/>
      </w:pPr>
      <w:r>
        <w:rPr>
          <w:b/>
        </w:rPr>
        <w:t>Course Topics</w:t>
      </w:r>
    </w:p>
    <w:p/>
    <w:tbl>
      <w:tblPr>
        <w:tblStyle w:val="TableGrid"/>
        <w:tblW w:type="auto" w:w="0"/>
        <w:tblLook w:firstColumn="1" w:firstRow="1" w:lastColumn="0" w:lastRow="0" w:noHBand="0" w:noVBand="1" w:val="04A0"/>
      </w:tblPr>
      <w:tblGrid>
        <w:gridCol w:w="4320"/>
        <w:gridCol w:w="4320"/>
      </w:tblGrid>
      <w:tr>
        <w:tc>
          <w:tcPr>
            <w:tcW w:type="dxa" w:w="4320"/>
          </w:tcPr>
          <w:p>
            <w:r>
              <w:rPr>
                <w:b/>
              </w:rPr>
              <w:t>Week #</w:t>
            </w:r>
          </w:p>
        </w:tc>
        <w:tc>
          <w:tcPr>
            <w:tcW w:type="dxa" w:w="4320"/>
          </w:tcPr>
          <w:p>
            <w:r>
              <w:rPr>
                <w:b/>
              </w:rPr>
              <w:t>Topics</w:t>
            </w:r>
          </w:p>
        </w:tc>
      </w:tr>
      <w:tr>
        <w:tc>
          <w:tcPr>
            <w:tcW w:type="dxa" w:w="4320"/>
          </w:tcPr>
          <w:p>
            <w:r>
              <w:t>01</w:t>
            </w:r>
          </w:p>
        </w:tc>
        <w:tc>
          <w:tcPr>
            <w:tcW w:type="dxa" w:w="4320"/>
          </w:tcPr>
          <w:p>
            <w:r>
              <w:t>Introduction to exercise programme design; scope of practice for fitness coaches</w:t>
            </w:r>
          </w:p>
        </w:tc>
      </w:tr>
      <w:tr>
        <w:tc>
          <w:tcPr>
            <w:tcW w:type="dxa" w:w="4320"/>
          </w:tcPr>
          <w:p>
            <w:r>
              <w:t>02</w:t>
            </w:r>
          </w:p>
        </w:tc>
        <w:tc>
          <w:tcPr>
            <w:tcW w:type="dxa" w:w="4320"/>
          </w:tcPr>
          <w:p>
            <w:r>
              <w:t>Health screening and risk stratification (PAR-Q+, ACSM stratification, medical clearance)</w:t>
            </w:r>
          </w:p>
        </w:tc>
      </w:tr>
      <w:tr>
        <w:tc>
          <w:tcPr>
            <w:tcW w:type="dxa" w:w="4320"/>
          </w:tcPr>
          <w:p>
            <w:r>
              <w:t>03</w:t>
            </w:r>
          </w:p>
        </w:tc>
        <w:tc>
          <w:tcPr>
            <w:tcW w:type="dxa" w:w="4320"/>
          </w:tcPr>
          <w:p>
            <w:r>
              <w:t>Movement assessment (NASM OPT, CHEK, FMS) and postural analysis</w:t>
            </w:r>
          </w:p>
        </w:tc>
      </w:tr>
      <w:tr>
        <w:tc>
          <w:tcPr>
            <w:tcW w:type="dxa" w:w="4320"/>
          </w:tcPr>
          <w:p>
            <w:r>
              <w:t>04</w:t>
            </w:r>
          </w:p>
        </w:tc>
        <w:tc>
          <w:tcPr>
            <w:tcW w:type="dxa" w:w="4320"/>
          </w:tcPr>
          <w:p>
            <w:r>
              <w:t>Cardiorespiratory programme design (FITT-VP, HR zones, ventilatory thresholds)</w:t>
            </w:r>
          </w:p>
        </w:tc>
      </w:tr>
      <w:tr>
        <w:tc>
          <w:tcPr>
            <w:tcW w:type="dxa" w:w="4320"/>
          </w:tcPr>
          <w:p>
            <w:r>
              <w:t>05</w:t>
            </w:r>
          </w:p>
        </w:tc>
        <w:tc>
          <w:tcPr>
            <w:tcW w:type="dxa" w:w="4320"/>
          </w:tcPr>
          <w:p>
            <w:r>
              <w:t>Resistance training principles (specificity, overload, variation, individualization)</w:t>
            </w:r>
          </w:p>
        </w:tc>
      </w:tr>
      <w:tr>
        <w:tc>
          <w:tcPr>
            <w:tcW w:type="dxa" w:w="4320"/>
          </w:tcPr>
          <w:p>
            <w:r>
              <w:t>06</w:t>
            </w:r>
          </w:p>
        </w:tc>
        <w:tc>
          <w:tcPr>
            <w:tcW w:type="dxa" w:w="4320"/>
          </w:tcPr>
          <w:p>
            <w:r>
              <w:t>NASM OPT model phases 1–3: stabilization, strength endurance, hypertrophy</w:t>
            </w:r>
          </w:p>
        </w:tc>
      </w:tr>
      <w:tr>
        <w:tc>
          <w:tcPr>
            <w:tcW w:type="dxa" w:w="4320"/>
          </w:tcPr>
          <w:p>
            <w:r>
              <w:t>07</w:t>
            </w:r>
          </w:p>
        </w:tc>
        <w:tc>
          <w:tcPr>
            <w:tcW w:type="dxa" w:w="4320"/>
          </w:tcPr>
          <w:p>
            <w:r>
              <w:t>NASM OPT model phases 4–5: maximal strength, power development</w:t>
            </w:r>
          </w:p>
        </w:tc>
      </w:tr>
      <w:tr>
        <w:tc>
          <w:tcPr>
            <w:tcW w:type="dxa" w:w="4320"/>
          </w:tcPr>
          <w:p>
            <w:r>
              <w:t>08</w:t>
            </w:r>
          </w:p>
        </w:tc>
        <w:tc>
          <w:tcPr>
            <w:tcW w:type="dxa" w:w="4320"/>
          </w:tcPr>
          <w:p>
            <w:r>
              <w:t>Periodization models: linear, undulating, block, conjugate</w:t>
            </w:r>
          </w:p>
        </w:tc>
      </w:tr>
      <w:tr>
        <w:tc>
          <w:tcPr>
            <w:tcW w:type="dxa" w:w="4320"/>
          </w:tcPr>
          <w:p>
            <w:r>
              <w:t>09</w:t>
            </w:r>
          </w:p>
        </w:tc>
        <w:tc>
          <w:tcPr>
            <w:tcW w:type="dxa" w:w="4320"/>
          </w:tcPr>
          <w:p>
            <w:r>
              <w:t>Flexibility and mobility programme design</w:t>
            </w:r>
          </w:p>
        </w:tc>
      </w:tr>
      <w:tr>
        <w:tc>
          <w:tcPr>
            <w:tcW w:type="dxa" w:w="4320"/>
          </w:tcPr>
          <w:p>
            <w:r>
              <w:t>10</w:t>
            </w:r>
          </w:p>
        </w:tc>
        <w:tc>
          <w:tcPr>
            <w:tcW w:type="dxa" w:w="4320"/>
          </w:tcPr>
          <w:p>
            <w:r>
              <w:t>Programming for body composition and metabolic health</w:t>
            </w:r>
          </w:p>
        </w:tc>
      </w:tr>
      <w:tr>
        <w:tc>
          <w:tcPr>
            <w:tcW w:type="dxa" w:w="4320"/>
          </w:tcPr>
          <w:p>
            <w:r>
              <w:t>11</w:t>
            </w:r>
          </w:p>
        </w:tc>
        <w:tc>
          <w:tcPr>
            <w:tcW w:type="dxa" w:w="4320"/>
          </w:tcPr>
          <w:p>
            <w:r>
              <w:t>Programming for athletic and sport performance</w:t>
            </w:r>
          </w:p>
        </w:tc>
      </w:tr>
      <w:tr>
        <w:tc>
          <w:tcPr>
            <w:tcW w:type="dxa" w:w="4320"/>
          </w:tcPr>
          <w:p>
            <w:r>
              <w:t>12</w:t>
            </w:r>
          </w:p>
        </w:tc>
        <w:tc>
          <w:tcPr>
            <w:tcW w:type="dxa" w:w="4320"/>
          </w:tcPr>
          <w:p>
            <w:r>
              <w:t>Special populations I: youth and older adults</w:t>
            </w:r>
          </w:p>
        </w:tc>
      </w:tr>
      <w:tr>
        <w:tc>
          <w:tcPr>
            <w:tcW w:type="dxa" w:w="4320"/>
          </w:tcPr>
          <w:p>
            <w:r>
              <w:t>13</w:t>
            </w:r>
          </w:p>
        </w:tc>
        <w:tc>
          <w:tcPr>
            <w:tcW w:type="dxa" w:w="4320"/>
          </w:tcPr>
          <w:p>
            <w:r>
              <w:t>Special populations II: pregnancy, chronic disease, return-to-activity</w:t>
            </w:r>
          </w:p>
        </w:tc>
      </w:tr>
      <w:tr>
        <w:tc>
          <w:tcPr>
            <w:tcW w:type="dxa" w:w="4320"/>
          </w:tcPr>
          <w:p>
            <w:r>
              <w:t>14</w:t>
            </w:r>
          </w:p>
        </w:tc>
        <w:tc>
          <w:tcPr>
            <w:tcW w:type="dxa" w:w="4320"/>
          </w:tcPr>
          <w:p>
            <w:r>
              <w:t>Monitoring, progression, regression, and programme adjustment</w:t>
            </w:r>
          </w:p>
        </w:tc>
      </w:tr>
      <w:tr>
        <w:tc>
          <w:tcPr>
            <w:tcW w:type="dxa" w:w="4320"/>
          </w:tcPr>
          <w:p>
            <w:r>
              <w:t>15</w:t>
            </w:r>
          </w:p>
        </w:tc>
        <w:tc>
          <w:tcPr>
            <w:tcW w:type="dxa" w:w="4320"/>
          </w:tcPr>
          <w:p>
            <w:r>
              <w:t>Programme defense and course review</w:t>
            </w:r>
          </w:p>
        </w:tc>
      </w:tr>
    </w:tbl>
    <w:p/>
    <w:p>
      <w:pPr/>
      <w:r>
        <w:rPr>
          <w:b/>
        </w:rPr>
        <w:t>Laboratory and/or Computing/Digital Resources</w:t>
      </w:r>
    </w:p>
    <w:p>
      <w:pPr/>
      <w:r>
        <w:t>Programme-design software (TrainHeroic, BridgeAthletic free tiers), heart-rate calculators, 1RM calculators, ACSM metabolic calculators, Polar HR telemetry, sample programme templates, and Blackboard Learning Management System.</w:t>
      </w:r>
    </w:p>
    <w:p/>
    <w:p>
      <w:pPr/>
      <w:r>
        <w:rPr>
          <w:b/>
        </w:rPr>
        <w:t>Course Learning Outcomes (CLO) and Contributions Program Level BSc Clinical Nutrition and Dietetics Program Learning Outcomes (PLO)*:</w:t>
      </w:r>
    </w:p>
    <w:p>
      <w:pPr/>
      <w:r>
        <w:t>*PLOs can be found in the academic catalog</w:t>
      </w:r>
    </w:p>
    <w:p>
      <w:pPr/>
      <w:r>
        <w:t>#Emphasis level: H: High; M: Medium; L: Low; N: Nothing specific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CLOs</w:t>
            </w:r>
          </w:p>
        </w:tc>
        <w:tc>
          <w:tcPr>
            <w:tcW w:type="dxa" w:w="2160"/>
          </w:tcPr>
          <w:p>
            <w:r>
              <w:rPr>
                <w:b/>
              </w:rPr>
              <w:t>PLOs</w:t>
            </w:r>
          </w:p>
        </w:tc>
        <w:tc>
          <w:tcPr>
            <w:tcW w:type="dxa" w:w="2160"/>
          </w:tcPr>
          <w:p>
            <w:r>
              <w:rPr>
                <w:b/>
              </w:rPr>
              <w:t>Emphasis Level#</w:t>
            </w:r>
          </w:p>
        </w:tc>
      </w:tr>
      <w:tr>
        <w:tc>
          <w:tcPr>
            <w:tcW w:type="dxa" w:w="2160"/>
          </w:tcPr>
          <w:p>
            <w:r>
              <w:t>1</w:t>
            </w:r>
          </w:p>
        </w:tc>
        <w:tc>
          <w:tcPr>
            <w:tcW w:type="dxa" w:w="2160"/>
          </w:tcPr>
          <w:p>
            <w:r>
              <w:t>Conduct comprehensive needs analyses including health-history screening, movement assessment, and goal setting to characterize client readiness and risk</w:t>
            </w:r>
          </w:p>
        </w:tc>
        <w:tc>
          <w:tcPr>
            <w:tcW w:type="dxa" w:w="2160"/>
          </w:tcPr>
          <w:p>
            <w:r>
              <w:t>1, 2</w:t>
            </w:r>
          </w:p>
        </w:tc>
        <w:tc>
          <w:tcPr>
            <w:tcW w:type="dxa" w:w="2160"/>
          </w:tcPr>
          <w:p>
            <w:r>
              <w:t>H, H</w:t>
            </w:r>
          </w:p>
        </w:tc>
      </w:tr>
      <w:tr>
        <w:tc>
          <w:tcPr>
            <w:tcW w:type="dxa" w:w="2160"/>
          </w:tcPr>
          <w:p>
            <w:r>
              <w:t>2</w:t>
            </w:r>
          </w:p>
        </w:tc>
        <w:tc>
          <w:tcPr>
            <w:tcW w:type="dxa" w:w="2160"/>
          </w:tcPr>
          <w:p>
            <w:r>
              <w:t>Design evidence-based periodized exercise programmes for cardiorespiratory, resistance, flexibility, and power goals using the OPT and linear/undulating/block models</w:t>
            </w:r>
          </w:p>
        </w:tc>
        <w:tc>
          <w:tcPr>
            <w:tcW w:type="dxa" w:w="2160"/>
          </w:tcPr>
          <w:p>
            <w:r>
              <w:t>2</w:t>
            </w:r>
          </w:p>
        </w:tc>
        <w:tc>
          <w:tcPr>
            <w:tcW w:type="dxa" w:w="2160"/>
          </w:tcPr>
          <w:p>
            <w:r>
              <w:t>H</w:t>
            </w:r>
          </w:p>
        </w:tc>
      </w:tr>
      <w:tr>
        <w:tc>
          <w:tcPr>
            <w:tcW w:type="dxa" w:w="2160"/>
          </w:tcPr>
          <w:p>
            <w:r>
              <w:t>3</w:t>
            </w:r>
          </w:p>
        </w:tc>
        <w:tc>
          <w:tcPr>
            <w:tcW w:type="dxa" w:w="2160"/>
          </w:tcPr>
          <w:p>
            <w:r>
              <w:t>Apply FITT-VP variables to manipulate programme intensity, volume, frequency, and progression in response to monitoring data</w:t>
            </w:r>
          </w:p>
        </w:tc>
        <w:tc>
          <w:tcPr>
            <w:tcW w:type="dxa" w:w="2160"/>
          </w:tcPr>
          <w:p>
            <w:r>
              <w:t>1, 2</w:t>
            </w:r>
          </w:p>
        </w:tc>
        <w:tc>
          <w:tcPr>
            <w:tcW w:type="dxa" w:w="2160"/>
          </w:tcPr>
          <w:p>
            <w:r>
              <w:t>H, H</w:t>
            </w:r>
          </w:p>
        </w:tc>
      </w:tr>
      <w:tr>
        <w:tc>
          <w:tcPr>
            <w:tcW w:type="dxa" w:w="2160"/>
          </w:tcPr>
          <w:p>
            <w:r>
              <w:t>4</w:t>
            </w:r>
          </w:p>
        </w:tc>
        <w:tc>
          <w:tcPr>
            <w:tcW w:type="dxa" w:w="2160"/>
          </w:tcPr>
          <w:p>
            <w:r>
              <w:t>Modify exercise programmes to safely meet the needs of special populations including youth, older adults, pregnant clients, and clients with chronic disease</w:t>
            </w:r>
          </w:p>
        </w:tc>
        <w:tc>
          <w:tcPr>
            <w:tcW w:type="dxa" w:w="2160"/>
          </w:tcPr>
          <w:p>
            <w:r>
              <w:t>2, 5</w:t>
            </w:r>
          </w:p>
        </w:tc>
        <w:tc>
          <w:tcPr>
            <w:tcW w:type="dxa" w:w="2160"/>
          </w:tcPr>
          <w:p>
            <w:r>
              <w:t>H, M</w:t>
            </w:r>
          </w:p>
        </w:tc>
      </w:tr>
      <w:tr>
        <w:tc>
          <w:tcPr>
            <w:tcW w:type="dxa" w:w="2160"/>
          </w:tcPr>
          <w:p>
            <w:r>
              <w:t>5</w:t>
            </w:r>
          </w:p>
        </w:tc>
        <w:tc>
          <w:tcPr>
            <w:tcW w:type="dxa" w:w="2160"/>
          </w:tcPr>
          <w:p>
            <w:r>
              <w:t>Communicate programme rationale and progress to clients, coaches, and the interprofessional team in writing and orally</w:t>
            </w:r>
          </w:p>
        </w:tc>
        <w:tc>
          <w:tcPr>
            <w:tcW w:type="dxa" w:w="2160"/>
          </w:tcPr>
          <w:p>
            <w:r>
              <w:t>4</w:t>
            </w:r>
          </w:p>
        </w:tc>
        <w:tc>
          <w:tcPr>
            <w:tcW w:type="dxa" w:w="2160"/>
          </w:tcPr>
          <w:p>
            <w:r>
              <w:t>H</w:t>
            </w:r>
          </w:p>
        </w:tc>
      </w:tr>
    </w:tbl>
    <w:p/>
    <w:p>
      <w:pPr/>
      <w:r>
        <w:rPr>
          <w:b/>
        </w:rPr>
        <w:t>Assessment</w:t>
      </w:r>
    </w:p>
    <w:p>
      <w:pPr/>
      <w:r>
        <w:t>All course learning outcomes are assessed using the following assessment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Assessment Instruments</w:t>
            </w:r>
          </w:p>
        </w:tc>
        <w:tc>
          <w:tcPr>
            <w:tcW w:type="dxa" w:w="2160"/>
          </w:tcPr>
          <w:p>
            <w:r>
              <w:rPr>
                <w:b/>
              </w:rPr>
              <w:t>Contribution to Course Grade (%)</w:t>
            </w:r>
          </w:p>
        </w:tc>
        <w:tc>
          <w:tcPr>
            <w:tcW w:type="dxa" w:w="2160"/>
          </w:tcPr>
          <w:p>
            <w:r>
              <w:rPr>
                <w:b/>
              </w:rPr>
              <w:t>Week #</w:t>
            </w:r>
          </w:p>
        </w:tc>
        <w:tc>
          <w:tcPr>
            <w:tcW w:type="dxa" w:w="2160"/>
          </w:tcPr>
          <w:p>
            <w:r>
              <w:rPr>
                <w:b/>
              </w:rPr>
              <w:t>CLO(s)</w:t>
            </w:r>
          </w:p>
        </w:tc>
      </w:tr>
      <w:tr>
        <w:tc>
          <w:tcPr>
            <w:tcW w:type="dxa" w:w="2160"/>
          </w:tcPr>
          <w:p>
            <w:r>
              <w:t>Quiz 1</w:t>
            </w:r>
          </w:p>
        </w:tc>
        <w:tc>
          <w:tcPr>
            <w:tcW w:type="dxa" w:w="2160"/>
          </w:tcPr>
          <w:p>
            <w:r>
              <w:t>7%</w:t>
            </w:r>
          </w:p>
        </w:tc>
        <w:tc>
          <w:tcPr>
            <w:tcW w:type="dxa" w:w="2160"/>
          </w:tcPr>
          <w:p>
            <w:r>
              <w:t>5</w:t>
            </w:r>
          </w:p>
        </w:tc>
        <w:tc>
          <w:tcPr>
            <w:tcW w:type="dxa" w:w="2160"/>
          </w:tcPr>
          <w:p>
            <w:r>
              <w:t>1, 3</w:t>
            </w:r>
          </w:p>
        </w:tc>
      </w:tr>
      <w:tr>
        <w:tc>
          <w:tcPr>
            <w:tcW w:type="dxa" w:w="2160"/>
          </w:tcPr>
          <w:p>
            <w:r>
              <w:t>Quiz 2</w:t>
            </w:r>
          </w:p>
        </w:tc>
        <w:tc>
          <w:tcPr>
            <w:tcW w:type="dxa" w:w="2160"/>
          </w:tcPr>
          <w:p>
            <w:r>
              <w:t>8%</w:t>
            </w:r>
          </w:p>
        </w:tc>
        <w:tc>
          <w:tcPr>
            <w:tcW w:type="dxa" w:w="2160"/>
          </w:tcPr>
          <w:p>
            <w:r>
              <w:t>11</w:t>
            </w:r>
          </w:p>
        </w:tc>
        <w:tc>
          <w:tcPr>
            <w:tcW w:type="dxa" w:w="2160"/>
          </w:tcPr>
          <w:p>
            <w:r>
              <w:t>2, 4</w:t>
            </w:r>
          </w:p>
        </w:tc>
      </w:tr>
      <w:tr>
        <w:tc>
          <w:tcPr>
            <w:tcW w:type="dxa" w:w="2160"/>
          </w:tcPr>
          <w:p>
            <w:r>
              <w:t>Semester Examination</w:t>
            </w:r>
          </w:p>
        </w:tc>
        <w:tc>
          <w:tcPr>
            <w:tcW w:type="dxa" w:w="2160"/>
          </w:tcPr>
          <w:p>
            <w:r>
              <w:t>20%</w:t>
            </w:r>
          </w:p>
        </w:tc>
        <w:tc>
          <w:tcPr>
            <w:tcW w:type="dxa" w:w="2160"/>
          </w:tcPr>
          <w:p>
            <w:r>
              <w:t>8</w:t>
            </w:r>
          </w:p>
        </w:tc>
        <w:tc>
          <w:tcPr>
            <w:tcW w:type="dxa" w:w="2160"/>
          </w:tcPr>
          <w:p>
            <w:r>
              <w:t>1, 2, 3</w:t>
            </w:r>
          </w:p>
        </w:tc>
      </w:tr>
      <w:tr>
        <w:tc>
          <w:tcPr>
            <w:tcW w:type="dxa" w:w="2160"/>
          </w:tcPr>
          <w:p>
            <w:r>
              <w:t>Programme Design Project</w:t>
            </w:r>
          </w:p>
        </w:tc>
        <w:tc>
          <w:tcPr>
            <w:tcW w:type="dxa" w:w="2160"/>
          </w:tcPr>
          <w:p>
            <w:r>
              <w:t>20%</w:t>
            </w:r>
          </w:p>
        </w:tc>
        <w:tc>
          <w:tcPr>
            <w:tcW w:type="dxa" w:w="2160"/>
          </w:tcPr>
          <w:p>
            <w:r>
              <w:t>10–12</w:t>
            </w:r>
          </w:p>
        </w:tc>
        <w:tc>
          <w:tcPr>
            <w:tcW w:type="dxa" w:w="2160"/>
          </w:tcPr>
          <w:p>
            <w:r>
              <w:t>2, 4</w:t>
            </w:r>
          </w:p>
        </w:tc>
      </w:tr>
      <w:tr>
        <w:tc>
          <w:tcPr>
            <w:tcW w:type="dxa" w:w="2160"/>
          </w:tcPr>
          <w:p>
            <w:r>
              <w:t>Client Case Defense</w:t>
            </w:r>
          </w:p>
        </w:tc>
        <w:tc>
          <w:tcPr>
            <w:tcW w:type="dxa" w:w="2160"/>
          </w:tcPr>
          <w:p>
            <w:r>
              <w:t>20%</w:t>
            </w:r>
          </w:p>
        </w:tc>
        <w:tc>
          <w:tcPr>
            <w:tcW w:type="dxa" w:w="2160"/>
          </w:tcPr>
          <w:p>
            <w:r>
              <w:t>13–14</w:t>
            </w:r>
          </w:p>
        </w:tc>
        <w:tc>
          <w:tcPr>
            <w:tcW w:type="dxa" w:w="2160"/>
          </w:tcPr>
          <w:p>
            <w:r>
              <w:t>2, 4, 5</w:t>
            </w:r>
          </w:p>
        </w:tc>
      </w:tr>
      <w:tr>
        <w:tc>
          <w:tcPr>
            <w:tcW w:type="dxa" w:w="2160"/>
          </w:tcPr>
          <w:p>
            <w:r>
              <w:t>Final Examination</w:t>
            </w:r>
          </w:p>
        </w:tc>
        <w:tc>
          <w:tcPr>
            <w:tcW w:type="dxa" w:w="2160"/>
          </w:tcPr>
          <w:p>
            <w:r>
              <w:t>25%</w:t>
            </w:r>
          </w:p>
        </w:tc>
        <w:tc>
          <w:tcPr>
            <w:tcW w:type="dxa" w:w="2160"/>
          </w:tcPr>
          <w:p>
            <w:r>
              <w:t>TBA</w:t>
            </w:r>
          </w:p>
        </w:tc>
        <w:tc>
          <w:tcPr>
            <w:tcW w:type="dxa" w:w="2160"/>
          </w:tcPr>
          <w:p>
            <w:r>
              <w:t>1, 2, 3, 4, 5</w:t>
            </w:r>
          </w:p>
        </w:tc>
      </w:tr>
    </w:tbl>
    <w:p/>
    <w:p>
      <w:pPr/>
      <w:r>
        <w:rPr>
          <w:b/>
        </w:rPr>
        <w:t>Grading Scheme</w:t>
      </w:r>
    </w:p>
    <w:p>
      <w:pPr/>
      <w:r>
        <w:t>The official Khalifa University grading system uses letter grades with pluses and minuses. Passing grades range from A to D; F is failing. Each letter grade is assigned a grade point on a four-point scale, used to calculate the semester and cumulative grade point average (GPA).</w:t>
      </w:r>
    </w:p>
    <w:p>
      <w:pPr>
        <w:pStyle w:val="NoSpacing"/>
      </w:pPr>
      <w:r>
        <w:t>For undergraduate programs: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Letter Grade</w:t>
            </w:r>
          </w:p>
        </w:tc>
        <w:tc>
          <w:tcPr>
            <w:tcW w:type="dxa" w:w="2160"/>
          </w:tcPr>
          <w:p>
            <w:r>
              <w:rPr>
                <w:b/>
              </w:rPr>
              <w:t>Grade Point</w:t>
            </w:r>
          </w:p>
        </w:tc>
        <w:tc>
          <w:tcPr>
            <w:tcW w:type="dxa" w:w="2160"/>
          </w:tcPr>
          <w:p>
            <w:r>
              <w:rPr>
                <w:b/>
              </w:rPr>
              <w:t>Grade Range</w:t>
            </w:r>
          </w:p>
        </w:tc>
        <w:tc>
          <w:tcPr>
            <w:tcW w:type="dxa" w:w="2160"/>
          </w:tcPr>
          <w:p>
            <w:r>
              <w:rPr>
                <w:b/>
              </w:rPr>
              <w:t>Description</w:t>
            </w:r>
          </w:p>
        </w:tc>
      </w:tr>
      <w:tr>
        <w:tc>
          <w:tcPr>
            <w:tcW w:type="dxa" w:w="2160"/>
          </w:tcPr>
          <w:p>
            <w:r>
              <w:t>A</w:t>
            </w:r>
          </w:p>
        </w:tc>
        <w:tc>
          <w:tcPr>
            <w:tcW w:type="dxa" w:w="2160"/>
          </w:tcPr>
          <w:p>
            <w:r>
              <w:t>4.00</w:t>
            </w:r>
          </w:p>
        </w:tc>
        <w:tc>
          <w:tcPr>
            <w:tcW w:type="dxa" w:w="2160"/>
          </w:tcPr>
          <w:p>
            <w:r>
              <w:t>From 92.5% to 100%</w:t>
            </w:r>
          </w:p>
        </w:tc>
        <w:tc>
          <w:tcPr>
            <w:tcW w:type="dxa" w:w="2160"/>
          </w:tcPr>
          <w:p>
            <w:r>
              <w:t>Excellent</w:t>
            </w:r>
          </w:p>
        </w:tc>
      </w:tr>
      <w:tr>
        <w:tc>
          <w:tcPr>
            <w:tcW w:type="dxa" w:w="2160"/>
          </w:tcPr>
          <w:p>
            <w:r>
              <w:t>A-</w:t>
            </w:r>
          </w:p>
        </w:tc>
        <w:tc>
          <w:tcPr>
            <w:tcW w:type="dxa" w:w="2160"/>
          </w:tcPr>
          <w:p>
            <w:r>
              <w:t>3.70</w:t>
            </w:r>
          </w:p>
        </w:tc>
        <w:tc>
          <w:tcPr>
            <w:tcW w:type="dxa" w:w="2160"/>
          </w:tcPr>
          <w:p>
            <w:r>
              <w:t>From 89.5% to less than 92.5%</w:t>
            </w:r>
          </w:p>
        </w:tc>
        <w:tc>
          <w:tcPr>
            <w:tcW w:type="dxa" w:w="2160"/>
          </w:tcPr>
          <w:p>
            <w:r>
              <w:t>Very Good</w:t>
            </w:r>
          </w:p>
        </w:tc>
      </w:tr>
      <w:tr>
        <w:tc>
          <w:tcPr>
            <w:tcW w:type="dxa" w:w="2160"/>
          </w:tcPr>
          <w:p>
            <w:r>
              <w:t>B+</w:t>
            </w:r>
          </w:p>
        </w:tc>
        <w:tc>
          <w:tcPr>
            <w:tcW w:type="dxa" w:w="2160"/>
          </w:tcPr>
          <w:p>
            <w:r>
              <w:t>3.30</w:t>
            </w:r>
          </w:p>
        </w:tc>
        <w:tc>
          <w:tcPr>
            <w:tcW w:type="dxa" w:w="2160"/>
          </w:tcPr>
          <w:p>
            <w:r>
              <w:t>From 86.5% to less than 89.5%</w:t>
            </w:r>
          </w:p>
        </w:tc>
        <w:tc>
          <w:tcPr>
            <w:tcW w:type="dxa" w:w="2160"/>
          </w:tcPr>
          <w:p>
            <w:r>
              <w:t>Very Good</w:t>
            </w:r>
          </w:p>
        </w:tc>
      </w:tr>
      <w:tr>
        <w:tc>
          <w:tcPr>
            <w:tcW w:type="dxa" w:w="2160"/>
          </w:tcPr>
          <w:p>
            <w:r>
              <w:t>B</w:t>
            </w:r>
          </w:p>
        </w:tc>
        <w:tc>
          <w:tcPr>
            <w:tcW w:type="dxa" w:w="2160"/>
          </w:tcPr>
          <w:p>
            <w:r>
              <w:t>3.00</w:t>
            </w:r>
          </w:p>
        </w:tc>
        <w:tc>
          <w:tcPr>
            <w:tcW w:type="dxa" w:w="2160"/>
          </w:tcPr>
          <w:p>
            <w:r>
              <w:t>From 82.5% to less than 86.5%</w:t>
            </w:r>
          </w:p>
        </w:tc>
        <w:tc>
          <w:tcPr>
            <w:tcW w:type="dxa" w:w="2160"/>
          </w:tcPr>
          <w:p>
            <w:r>
              <w:t>Good</w:t>
            </w:r>
          </w:p>
        </w:tc>
      </w:tr>
      <w:tr>
        <w:tc>
          <w:tcPr>
            <w:tcW w:type="dxa" w:w="2160"/>
          </w:tcPr>
          <w:p>
            <w:r>
              <w:t>B-</w:t>
            </w:r>
          </w:p>
        </w:tc>
        <w:tc>
          <w:tcPr>
            <w:tcW w:type="dxa" w:w="2160"/>
          </w:tcPr>
          <w:p>
            <w:r>
              <w:t>2.70</w:t>
            </w:r>
          </w:p>
        </w:tc>
        <w:tc>
          <w:tcPr>
            <w:tcW w:type="dxa" w:w="2160"/>
          </w:tcPr>
          <w:p>
            <w:r>
              <w:t>From 79.5% to less than 82.5%</w:t>
            </w:r>
          </w:p>
        </w:tc>
        <w:tc>
          <w:tcPr>
            <w:tcW w:type="dxa" w:w="2160"/>
          </w:tcPr>
          <w:p>
            <w:r>
              <w:t>Good</w:t>
            </w:r>
          </w:p>
        </w:tc>
      </w:tr>
      <w:tr>
        <w:tc>
          <w:tcPr>
            <w:tcW w:type="dxa" w:w="2160"/>
          </w:tcPr>
          <w:p>
            <w:r>
              <w:t>C+</w:t>
            </w:r>
          </w:p>
        </w:tc>
        <w:tc>
          <w:tcPr>
            <w:tcW w:type="dxa" w:w="2160"/>
          </w:tcPr>
          <w:p>
            <w:r>
              <w:t>2.30</w:t>
            </w:r>
          </w:p>
        </w:tc>
        <w:tc>
          <w:tcPr>
            <w:tcW w:type="dxa" w:w="2160"/>
          </w:tcPr>
          <w:p>
            <w:r>
              <w:t>From 76.5% to less than 79.5%</w:t>
            </w:r>
          </w:p>
        </w:tc>
        <w:tc>
          <w:tcPr>
            <w:tcW w:type="dxa" w:w="2160"/>
          </w:tcPr>
          <w:p>
            <w:r>
              <w:t>Satisfactory</w:t>
            </w:r>
          </w:p>
        </w:tc>
      </w:tr>
      <w:tr>
        <w:tc>
          <w:tcPr>
            <w:tcW w:type="dxa" w:w="2160"/>
          </w:tcPr>
          <w:p>
            <w:r>
              <w:t>C</w:t>
            </w:r>
          </w:p>
        </w:tc>
        <w:tc>
          <w:tcPr>
            <w:tcW w:type="dxa" w:w="2160"/>
          </w:tcPr>
          <w:p>
            <w:r>
              <w:t>2.00</w:t>
            </w:r>
          </w:p>
        </w:tc>
        <w:tc>
          <w:tcPr>
            <w:tcW w:type="dxa" w:w="2160"/>
          </w:tcPr>
          <w:p>
            <w:r>
              <w:t>From 72.5% to less than 76.5%</w:t>
            </w:r>
          </w:p>
        </w:tc>
        <w:tc>
          <w:tcPr>
            <w:tcW w:type="dxa" w:w="2160"/>
          </w:tcPr>
          <w:p>
            <w:r>
              <w:t>Satisfactory</w:t>
            </w:r>
          </w:p>
        </w:tc>
      </w:tr>
      <w:tr>
        <w:tc>
          <w:tcPr>
            <w:tcW w:type="dxa" w:w="2160"/>
          </w:tcPr>
          <w:p>
            <w:r>
              <w:t>C-</w:t>
            </w:r>
          </w:p>
        </w:tc>
        <w:tc>
          <w:tcPr>
            <w:tcW w:type="dxa" w:w="2160"/>
          </w:tcPr>
          <w:p>
            <w:r>
              <w:t>1.70</w:t>
            </w:r>
          </w:p>
        </w:tc>
        <w:tc>
          <w:tcPr>
            <w:tcW w:type="dxa" w:w="2160"/>
          </w:tcPr>
          <w:p>
            <w:r>
              <w:t>From 69.5% to less than 72.5%</w:t>
            </w:r>
          </w:p>
        </w:tc>
        <w:tc>
          <w:tcPr>
            <w:tcW w:type="dxa" w:w="2160"/>
          </w:tcPr>
          <w:p>
            <w:r>
              <w:t>Less than Satisfactory</w:t>
            </w:r>
          </w:p>
        </w:tc>
      </w:tr>
      <w:tr>
        <w:tc>
          <w:tcPr>
            <w:tcW w:type="dxa" w:w="2160"/>
          </w:tcPr>
          <w:p>
            <w:r>
              <w:t>D</w:t>
            </w:r>
          </w:p>
        </w:tc>
        <w:tc>
          <w:tcPr>
            <w:tcW w:type="dxa" w:w="2160"/>
          </w:tcPr>
          <w:p>
            <w:r>
              <w:t>1.00</w:t>
            </w:r>
          </w:p>
        </w:tc>
        <w:tc>
          <w:tcPr>
            <w:tcW w:type="dxa" w:w="2160"/>
          </w:tcPr>
          <w:p>
            <w:r>
              <w:t>From 59.5% to less than 69.5%</w:t>
            </w:r>
          </w:p>
        </w:tc>
        <w:tc>
          <w:tcPr>
            <w:tcW w:type="dxa" w:w="2160"/>
          </w:tcPr>
          <w:p>
            <w:r>
              <w:t>Poor</w:t>
            </w:r>
          </w:p>
        </w:tc>
      </w:tr>
      <w:tr>
        <w:tc>
          <w:tcPr>
            <w:tcW w:type="dxa" w:w="2160"/>
          </w:tcPr>
          <w:p>
            <w:r>
              <w:t>F</w:t>
            </w:r>
          </w:p>
        </w:tc>
        <w:tc>
          <w:tcPr>
            <w:tcW w:type="dxa" w:w="2160"/>
          </w:tcPr>
          <w:p>
            <w:r>
              <w:t>0.00</w:t>
            </w:r>
          </w:p>
        </w:tc>
        <w:tc>
          <w:tcPr>
            <w:tcW w:type="dxa" w:w="2160"/>
          </w:tcPr>
          <w:p>
            <w:r>
              <w:t>Less than 59.5%</w:t>
            </w:r>
          </w:p>
        </w:tc>
        <w:tc>
          <w:tcPr>
            <w:tcW w:type="dxa" w:w="2160"/>
          </w:tcPr>
          <w:p>
            <w:r>
              <w:t>Fail</w:t>
            </w:r>
          </w:p>
        </w:tc>
      </w:tr>
    </w:tbl>
    <w:p/>
    <w:p>
      <w:pPr>
        <w:pStyle w:val="NoSpacing"/>
      </w:pPr>
      <w:r>
        <w:rPr>
          <w:b/>
        </w:rPr>
        <w:t>Academic Integrity Statement</w:t>
      </w:r>
    </w:p>
    <w:p>
      <w:pPr>
        <w:pStyle w:val="NoSpacing"/>
      </w:pPr>
      <w:r>
        <w:t>"As a Khalifa University student, I will not lie, cheat, steal, or use any unfair means in academic work and will behave according to university rules and UAE societal norms and expectations." Refer to the Student Code of Conduct for further details.</w:t>
      </w:r>
    </w:p>
    <w:p/>
    <w:p>
      <w:pPr>
        <w:pStyle w:val="NoSpacing"/>
      </w:pPr>
      <w:r>
        <w:rPr>
          <w:b/>
        </w:rPr>
        <w:t>Copyright and Plagiarism</w:t>
      </w:r>
    </w:p>
    <w:p>
      <w:pPr>
        <w:pStyle w:val="NoSpacing"/>
      </w:pPr>
      <w:r>
        <w:t>All students must adhere to the university's policies on copyright and plagiarism, including the ethical use of generative AI tools. Any use of AI-generated content must be properly attributed and must comply with the course instructor's permitted-use guidelines. Unauthorized use of copyrighted materials or undisclosed AI assistance constitutes academic misconduct and is subject to disciplinary action under the Student Code of Conduct.</w:t>
      </w:r>
    </w:p>
    <w:p/>
    <w:p>
      <w:pPr>
        <w:pStyle w:val="NoSpacing"/>
      </w:pPr>
      <w:r>
        <w:t>This syllabus must be augmented by a syllabus supplement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