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SPMD 306: Group Fitness Instruction</w:t>
      </w:r>
    </w:p>
    <w:p>
      <w:pPr/>
      <w:r>
        <w:t>(2 Lecture hours, 2 Laboratory hours, 3 Credits)</w:t>
      </w:r>
    </w:p>
    <w:p/>
    <w:p>
      <w:pPr/>
      <w:r>
        <w:rPr>
          <w:b/>
        </w:rPr>
        <w:t>Prerequisites</w:t>
      </w:r>
    </w:p>
    <w:p>
      <w:pPr/>
      <w:r>
        <w:t>SPMD 301</w:t>
      </w:r>
    </w:p>
    <w:p/>
    <w:p>
      <w:pPr/>
      <w:r>
        <w:rPr>
          <w:b/>
        </w:rPr>
        <w:t>Course Catalog Description</w:t>
      </w:r>
    </w:p>
    <w:p>
      <w:pPr/>
      <w:r>
        <w:t>This course develops competence in leading safe, effective, and inclusive group fitness classes across multiple formats including HIIT, indoor cycling, aqua fitness, mind-body, dance fitness, and strength-based group training. Students learn class design, 32-count music phrasing, visual/verbal/tactile cueing, modifications and regressions for mixed-ability participants, motivational communication, group safety screening, and emergency response. Studio sessions emphasize teach-back practice, peer-coaching critique, and video self-review. Content aligns with the ACE Group Fitness Instructor (ACE-GFI), AFAA Group Fitness, ACSM-GEI, and REPs UAE Level 3 Group Exercise competency frameworks, and prepares students for the practical-assessment component of those credentials.</w:t>
      </w:r>
    </w:p>
    <w:p/>
    <w:p>
      <w:pPr/>
      <w:r>
        <w:rPr>
          <w:b/>
        </w:rPr>
        <w:t>Textbook</w:t>
      </w:r>
    </w:p>
    <w:p>
      <w:pPr/>
      <w:r>
        <w:t>[1] American Council on Exercise, ACE Group Fitness Instructor Handbook, 3rd ed. San Diego, CA: American Council on Exercise, 2024.</w:t>
      </w:r>
    </w:p>
    <w:p/>
    <w:p>
      <w:pPr/>
      <w:r>
        <w:rPr>
          <w:b/>
        </w:rPr>
        <w:t>Reference Materials</w:t>
      </w:r>
    </w:p>
    <w:p>
      <w:pPr/>
      <w:r>
        <w:t>[2] C. M. Kennedy-Armbruster and M. M. Yoke, Methods of Group Exercise Instruction, 4th ed. Champaign, IL: Human Kinetics, 2020.</w:t>
      </w:r>
    </w:p>
    <w:p>
      <w:pPr/>
      <w:r>
        <w:t>[3] Athletics and Fitness Association of America, AFAA Principles of Group Fitness Instruction, 2022 ed. Sherman Oaks, CA: AFAA, 2022.</w:t>
      </w:r>
    </w:p>
    <w:p>
      <w:pPr/>
      <w:r>
        <w:t>[4] American College of Sports Medicine, ACSM's Resources for the Group Exercise Instructor. Philadelphia, PA: Wolters Kluwer, 2022.</w:t>
      </w:r>
    </w:p>
    <w:p/>
    <w:p>
      <w:pPr/>
      <w:r>
        <w:rPr>
          <w:b/>
        </w:rPr>
        <w:t>Course Structure &amp; Learning Methodology</w:t>
      </w:r>
    </w:p>
    <w:p>
      <w:pPr/>
      <w:r>
        <w:t>The course consists of 2 hours of lecture and 2 hours of studio practice per week. Lectures cover class-design theory, music and cueing fundamentals, scope of practice, and group safety. Studio sessions are hands-on: students rotate as instructor, participant, and peer reviewer; record their teach-backs for self-analysis; and complete a Week-14 mock REPs-UAE practical assessment graded by a certified instructor.</w:t>
      </w:r>
    </w:p>
    <w:p/>
    <w:p>
      <w:pPr>
        <w:pStyle w:val="NoSpacing"/>
      </w:pPr>
      <w:r>
        <w:rPr>
          <w:b/>
        </w:rPr>
        <w:t>Course Topics</w:t>
      </w:r>
    </w:p>
    <w:p/>
    <w:tbl>
      <w:tblPr>
        <w:tblStyle w:val="TableGrid"/>
        <w:tblW w:type="auto" w:w="0"/>
        <w:tblLook w:firstColumn="1" w:firstRow="1" w:lastColumn="0" w:lastRow="0" w:noHBand="0" w:noVBand="1" w:val="04A0"/>
      </w:tblPr>
      <w:tblGrid>
        <w:gridCol w:w="4320"/>
        <w:gridCol w:w="4320"/>
      </w:tblGrid>
      <w:tr>
        <w:tc>
          <w:tcPr>
            <w:tcW w:type="dxa" w:w="4320"/>
          </w:tcPr>
          <w:p>
            <w:r>
              <w:rPr>
                <w:b/>
              </w:rPr>
              <w:t>Week #</w:t>
            </w:r>
          </w:p>
        </w:tc>
        <w:tc>
          <w:tcPr>
            <w:tcW w:type="dxa" w:w="4320"/>
          </w:tcPr>
          <w:p>
            <w:r>
              <w:rPr>
                <w:b/>
              </w:rPr>
              <w:t>Topics</w:t>
            </w:r>
          </w:p>
        </w:tc>
      </w:tr>
      <w:tr>
        <w:tc>
          <w:tcPr>
            <w:tcW w:type="dxa" w:w="4320"/>
          </w:tcPr>
          <w:p>
            <w:r>
              <w:t>01</w:t>
            </w:r>
          </w:p>
        </w:tc>
        <w:tc>
          <w:tcPr>
            <w:tcW w:type="dxa" w:w="4320"/>
          </w:tcPr>
          <w:p>
            <w:r>
              <w:t>Foundations of group exercise; REPs UAE scope of practice and code of conduct</w:t>
            </w:r>
          </w:p>
        </w:tc>
      </w:tr>
      <w:tr>
        <w:tc>
          <w:tcPr>
            <w:tcW w:type="dxa" w:w="4320"/>
          </w:tcPr>
          <w:p>
            <w:r>
              <w:t>02</w:t>
            </w:r>
          </w:p>
        </w:tc>
        <w:tc>
          <w:tcPr>
            <w:tcW w:type="dxa" w:w="4320"/>
          </w:tcPr>
          <w:p>
            <w:r>
              <w:t>Class design and choreography fundamentals; 32-count music phrasing</w:t>
            </w:r>
          </w:p>
        </w:tc>
      </w:tr>
      <w:tr>
        <w:tc>
          <w:tcPr>
            <w:tcW w:type="dxa" w:w="4320"/>
          </w:tcPr>
          <w:p>
            <w:r>
              <w:t>03</w:t>
            </w:r>
          </w:p>
        </w:tc>
        <w:tc>
          <w:tcPr>
            <w:tcW w:type="dxa" w:w="4320"/>
          </w:tcPr>
          <w:p>
            <w:r>
              <w:t>Cueing methods: visual, verbal, and tactile</w:t>
            </w:r>
          </w:p>
        </w:tc>
      </w:tr>
      <w:tr>
        <w:tc>
          <w:tcPr>
            <w:tcW w:type="dxa" w:w="4320"/>
          </w:tcPr>
          <w:p>
            <w:r>
              <w:t>04</w:t>
            </w:r>
          </w:p>
        </w:tc>
        <w:tc>
          <w:tcPr>
            <w:tcW w:type="dxa" w:w="4320"/>
          </w:tcPr>
          <w:p>
            <w:r>
              <w:t>Music selection, BPM ranges, copyright, and licensed catalogues</w:t>
            </w:r>
          </w:p>
        </w:tc>
      </w:tr>
      <w:tr>
        <w:tc>
          <w:tcPr>
            <w:tcW w:type="dxa" w:w="4320"/>
          </w:tcPr>
          <w:p>
            <w:r>
              <w:t>05</w:t>
            </w:r>
          </w:p>
        </w:tc>
        <w:tc>
          <w:tcPr>
            <w:tcW w:type="dxa" w:w="4320"/>
          </w:tcPr>
          <w:p>
            <w:r>
              <w:t>HIIT class design and intensity management</w:t>
            </w:r>
          </w:p>
        </w:tc>
      </w:tr>
      <w:tr>
        <w:tc>
          <w:tcPr>
            <w:tcW w:type="dxa" w:w="4320"/>
          </w:tcPr>
          <w:p>
            <w:r>
              <w:t>06</w:t>
            </w:r>
          </w:p>
        </w:tc>
        <w:tc>
          <w:tcPr>
            <w:tcW w:type="dxa" w:w="4320"/>
          </w:tcPr>
          <w:p>
            <w:r>
              <w:t>Indoor cycling class format and bike fit</w:t>
            </w:r>
          </w:p>
        </w:tc>
      </w:tr>
      <w:tr>
        <w:tc>
          <w:tcPr>
            <w:tcW w:type="dxa" w:w="4320"/>
          </w:tcPr>
          <w:p>
            <w:r>
              <w:t>07</w:t>
            </w:r>
          </w:p>
        </w:tc>
        <w:tc>
          <w:tcPr>
            <w:tcW w:type="dxa" w:w="4320"/>
          </w:tcPr>
          <w:p>
            <w:r>
              <w:t>Aqua fitness fundamentals and special considerations</w:t>
            </w:r>
          </w:p>
        </w:tc>
      </w:tr>
      <w:tr>
        <w:tc>
          <w:tcPr>
            <w:tcW w:type="dxa" w:w="4320"/>
          </w:tcPr>
          <w:p>
            <w:r>
              <w:t>08</w:t>
            </w:r>
          </w:p>
        </w:tc>
        <w:tc>
          <w:tcPr>
            <w:tcW w:type="dxa" w:w="4320"/>
          </w:tcPr>
          <w:p>
            <w:r>
              <w:t>Mind-body formats: yoga and Pilates foundations</w:t>
            </w:r>
          </w:p>
        </w:tc>
      </w:tr>
      <w:tr>
        <w:tc>
          <w:tcPr>
            <w:tcW w:type="dxa" w:w="4320"/>
          </w:tcPr>
          <w:p>
            <w:r>
              <w:t>09</w:t>
            </w:r>
          </w:p>
        </w:tc>
        <w:tc>
          <w:tcPr>
            <w:tcW w:type="dxa" w:w="4320"/>
          </w:tcPr>
          <w:p>
            <w:r>
              <w:t>Strength-based group training (BodyPump-style); equipment safety</w:t>
            </w:r>
          </w:p>
        </w:tc>
      </w:tr>
      <w:tr>
        <w:tc>
          <w:tcPr>
            <w:tcW w:type="dxa" w:w="4320"/>
          </w:tcPr>
          <w:p>
            <w:r>
              <w:t>10</w:t>
            </w:r>
          </w:p>
        </w:tc>
        <w:tc>
          <w:tcPr>
            <w:tcW w:type="dxa" w:w="4320"/>
          </w:tcPr>
          <w:p>
            <w:r>
              <w:t>Dance fitness (Zumba-style); cultural sensitivity and choreography ethics</w:t>
            </w:r>
          </w:p>
        </w:tc>
      </w:tr>
      <w:tr>
        <w:tc>
          <w:tcPr>
            <w:tcW w:type="dxa" w:w="4320"/>
          </w:tcPr>
          <w:p>
            <w:r>
              <w:t>11</w:t>
            </w:r>
          </w:p>
        </w:tc>
        <w:tc>
          <w:tcPr>
            <w:tcW w:type="dxa" w:w="4320"/>
          </w:tcPr>
          <w:p>
            <w:r>
              <w:t>Modifications and regressions for mixed-ability participants</w:t>
            </w:r>
          </w:p>
        </w:tc>
      </w:tr>
      <w:tr>
        <w:tc>
          <w:tcPr>
            <w:tcW w:type="dxa" w:w="4320"/>
          </w:tcPr>
          <w:p>
            <w:r>
              <w:t>12</w:t>
            </w:r>
          </w:p>
        </w:tc>
        <w:tc>
          <w:tcPr>
            <w:tcW w:type="dxa" w:w="4320"/>
          </w:tcPr>
          <w:p>
            <w:r>
              <w:t>Group dynamics, motivation, and behaviour-change techniques</w:t>
            </w:r>
          </w:p>
        </w:tc>
      </w:tr>
      <w:tr>
        <w:tc>
          <w:tcPr>
            <w:tcW w:type="dxa" w:w="4320"/>
          </w:tcPr>
          <w:p>
            <w:r>
              <w:t>13</w:t>
            </w:r>
          </w:p>
        </w:tc>
        <w:tc>
          <w:tcPr>
            <w:tcW w:type="dxa" w:w="4320"/>
          </w:tcPr>
          <w:p>
            <w:r>
              <w:t>Emergency response, incident reporting, and risk management in group settings</w:t>
            </w:r>
          </w:p>
        </w:tc>
      </w:tr>
      <w:tr>
        <w:tc>
          <w:tcPr>
            <w:tcW w:type="dxa" w:w="4320"/>
          </w:tcPr>
          <w:p>
            <w:r>
              <w:t>14</w:t>
            </w:r>
          </w:p>
        </w:tc>
        <w:tc>
          <w:tcPr>
            <w:tcW w:type="dxa" w:w="4320"/>
          </w:tcPr>
          <w:p>
            <w:r>
              <w:t>Final teaching demonstrations and instructor portfolio review</w:t>
            </w:r>
          </w:p>
        </w:tc>
      </w:tr>
    </w:tbl>
    <w:p/>
    <w:p>
      <w:pPr/>
      <w:r>
        <w:rPr>
          <w:b/>
        </w:rPr>
        <w:t>Laboratories/Tutorials</w:t>
      </w:r>
    </w:p>
    <w:tbl>
      <w:tblPr>
        <w:tblStyle w:val="TableGrid"/>
        <w:tblW w:type="auto" w:w="0"/>
        <w:tblLook w:firstColumn="1" w:firstRow="1" w:lastColumn="0" w:lastRow="0" w:noHBand="0" w:noVBand="1" w:val="04A0"/>
      </w:tblPr>
      <w:tblGrid>
        <w:gridCol w:w="4320"/>
        <w:gridCol w:w="4320"/>
      </w:tblGrid>
      <w:tr>
        <w:tc>
          <w:tcPr>
            <w:tcW w:type="dxa" w:w="4320"/>
          </w:tcPr>
          <w:p>
            <w:r>
              <w:rPr>
                <w:b/>
              </w:rPr>
              <w:t>Week #</w:t>
            </w:r>
          </w:p>
        </w:tc>
        <w:tc>
          <w:tcPr>
            <w:tcW w:type="dxa" w:w="4320"/>
          </w:tcPr>
          <w:p>
            <w:r>
              <w:rPr>
                <w:b/>
              </w:rPr>
              <w:t>Topics</w:t>
            </w:r>
          </w:p>
        </w:tc>
      </w:tr>
      <w:tr>
        <w:tc>
          <w:tcPr>
            <w:tcW w:type="dxa" w:w="4320"/>
          </w:tcPr>
          <w:p>
            <w:r>
              <w:t>01</w:t>
            </w:r>
          </w:p>
        </w:tc>
        <w:tc>
          <w:tcPr>
            <w:tcW w:type="dxa" w:w="4320"/>
          </w:tcPr>
          <w:p>
            <w:r>
              <w:t>Studio orientation; participant intake; class-floor safety procedures</w:t>
            </w:r>
          </w:p>
        </w:tc>
      </w:tr>
      <w:tr>
        <w:tc>
          <w:tcPr>
            <w:tcW w:type="dxa" w:w="4320"/>
          </w:tcPr>
          <w:p>
            <w:r>
              <w:t>02</w:t>
            </w:r>
          </w:p>
        </w:tc>
        <w:tc>
          <w:tcPr>
            <w:tcW w:type="dxa" w:w="4320"/>
          </w:tcPr>
          <w:p>
            <w:r>
              <w:t>Choreography practice; building 32-count combinations</w:t>
            </w:r>
          </w:p>
        </w:tc>
      </w:tr>
      <w:tr>
        <w:tc>
          <w:tcPr>
            <w:tcW w:type="dxa" w:w="4320"/>
          </w:tcPr>
          <w:p>
            <w:r>
              <w:t>03</w:t>
            </w:r>
          </w:p>
        </w:tc>
        <w:tc>
          <w:tcPr>
            <w:tcW w:type="dxa" w:w="4320"/>
          </w:tcPr>
          <w:p>
            <w:r>
              <w:t>Cueing teach-back; visual/verbal/tactile drill rotations</w:t>
            </w:r>
          </w:p>
        </w:tc>
      </w:tr>
      <w:tr>
        <w:tc>
          <w:tcPr>
            <w:tcW w:type="dxa" w:w="4320"/>
          </w:tcPr>
          <w:p>
            <w:r>
              <w:t>04</w:t>
            </w:r>
          </w:p>
        </w:tc>
        <w:tc>
          <w:tcPr>
            <w:tcW w:type="dxa" w:w="4320"/>
          </w:tcPr>
          <w:p>
            <w:r>
              <w:t>Music-and-movement matching workshop; BPM-phrase alignment drills</w:t>
            </w:r>
          </w:p>
        </w:tc>
      </w:tr>
      <w:tr>
        <w:tc>
          <w:tcPr>
            <w:tcW w:type="dxa" w:w="4320"/>
          </w:tcPr>
          <w:p>
            <w:r>
              <w:t>05</w:t>
            </w:r>
          </w:p>
        </w:tc>
        <w:tc>
          <w:tcPr>
            <w:tcW w:type="dxa" w:w="4320"/>
          </w:tcPr>
          <w:p>
            <w:r>
              <w:t>HIIT class teach-back (peer-coached and recorded)</w:t>
            </w:r>
          </w:p>
        </w:tc>
      </w:tr>
      <w:tr>
        <w:tc>
          <w:tcPr>
            <w:tcW w:type="dxa" w:w="4320"/>
          </w:tcPr>
          <w:p>
            <w:r>
              <w:t>06</w:t>
            </w:r>
          </w:p>
        </w:tc>
        <w:tc>
          <w:tcPr>
            <w:tcW w:type="dxa" w:w="4320"/>
          </w:tcPr>
          <w:p>
            <w:r>
              <w:t>Indoor cycling teach-back; cadence and resistance cues</w:t>
            </w:r>
          </w:p>
        </w:tc>
      </w:tr>
      <w:tr>
        <w:tc>
          <w:tcPr>
            <w:tcW w:type="dxa" w:w="4320"/>
          </w:tcPr>
          <w:p>
            <w:r>
              <w:t>07</w:t>
            </w:r>
          </w:p>
        </w:tc>
        <w:tc>
          <w:tcPr>
            <w:tcW w:type="dxa" w:w="4320"/>
          </w:tcPr>
          <w:p>
            <w:r>
              <w:t>Aqua fitness practical (pool session at KU Sports Center)</w:t>
            </w:r>
          </w:p>
        </w:tc>
      </w:tr>
      <w:tr>
        <w:tc>
          <w:tcPr>
            <w:tcW w:type="dxa" w:w="4320"/>
          </w:tcPr>
          <w:p>
            <w:r>
              <w:t>08</w:t>
            </w:r>
          </w:p>
        </w:tc>
        <w:tc>
          <w:tcPr>
            <w:tcW w:type="dxa" w:w="4320"/>
          </w:tcPr>
          <w:p>
            <w:r>
              <w:t>Mid-semester studio teach-back; instructor evaluated</w:t>
            </w:r>
          </w:p>
        </w:tc>
      </w:tr>
      <w:tr>
        <w:tc>
          <w:tcPr>
            <w:tcW w:type="dxa" w:w="4320"/>
          </w:tcPr>
          <w:p>
            <w:r>
              <w:t>09</w:t>
            </w:r>
          </w:p>
        </w:tc>
        <w:tc>
          <w:tcPr>
            <w:tcW w:type="dxa" w:w="4320"/>
          </w:tcPr>
          <w:p>
            <w:r>
              <w:t>Mind-body teach-back; breath cueing and tactile adjustments</w:t>
            </w:r>
          </w:p>
        </w:tc>
      </w:tr>
      <w:tr>
        <w:tc>
          <w:tcPr>
            <w:tcW w:type="dxa" w:w="4320"/>
          </w:tcPr>
          <w:p>
            <w:r>
              <w:t>10</w:t>
            </w:r>
          </w:p>
        </w:tc>
        <w:tc>
          <w:tcPr>
            <w:tcW w:type="dxa" w:w="4320"/>
          </w:tcPr>
          <w:p>
            <w:r>
              <w:t>Strength-group teach-back; spotting and equipment management</w:t>
            </w:r>
          </w:p>
        </w:tc>
      </w:tr>
      <w:tr>
        <w:tc>
          <w:tcPr>
            <w:tcW w:type="dxa" w:w="4320"/>
          </w:tcPr>
          <w:p>
            <w:r>
              <w:t>11</w:t>
            </w:r>
          </w:p>
        </w:tc>
        <w:tc>
          <w:tcPr>
            <w:tcW w:type="dxa" w:w="4320"/>
          </w:tcPr>
          <w:p>
            <w:r>
              <w:t>Dance fitness teach-back; choreography retention practice</w:t>
            </w:r>
          </w:p>
        </w:tc>
      </w:tr>
      <w:tr>
        <w:tc>
          <w:tcPr>
            <w:tcW w:type="dxa" w:w="4320"/>
          </w:tcPr>
          <w:p>
            <w:r>
              <w:t>12</w:t>
            </w:r>
          </w:p>
        </w:tc>
        <w:tc>
          <w:tcPr>
            <w:tcW w:type="dxa" w:w="4320"/>
          </w:tcPr>
          <w:p>
            <w:r>
              <w:t>Inclusive-class workshop: regressions for older adults, prenatal, beginner</w:t>
            </w:r>
          </w:p>
        </w:tc>
      </w:tr>
      <w:tr>
        <w:tc>
          <w:tcPr>
            <w:tcW w:type="dxa" w:w="4320"/>
          </w:tcPr>
          <w:p>
            <w:r>
              <w:t>13</w:t>
            </w:r>
          </w:p>
        </w:tc>
        <w:tc>
          <w:tcPr>
            <w:tcW w:type="dxa" w:w="4320"/>
          </w:tcPr>
          <w:p>
            <w:r>
              <w:t>Emergency drill: simulated incident and AED response</w:t>
            </w:r>
          </w:p>
        </w:tc>
      </w:tr>
      <w:tr>
        <w:tc>
          <w:tcPr>
            <w:tcW w:type="dxa" w:w="4320"/>
          </w:tcPr>
          <w:p>
            <w:r>
              <w:t>14</w:t>
            </w:r>
          </w:p>
        </w:tc>
        <w:tc>
          <w:tcPr>
            <w:tcW w:type="dxa" w:w="4320"/>
          </w:tcPr>
          <w:p>
            <w:r>
              <w:t>Final practical teaching demonstration (mock REPs-UAE assessment)</w:t>
            </w:r>
          </w:p>
        </w:tc>
      </w:tr>
    </w:tbl>
    <w:p/>
    <w:p>
      <w:pPr/>
      <w:r>
        <w:rPr>
          <w:b/>
        </w:rPr>
        <w:t>Laboratory and/or Computing/Digital Resources</w:t>
      </w:r>
    </w:p>
    <w:p>
      <w:pPr/>
      <w:r>
        <w:t>Group exercise studio, sound system, KU-licensed BPM-tagged music library, heart-rate telemetry, full-length mirrors, mats, dumbbells, kettlebells, step platforms, indoor cycles, yoga props, pool access at the KU Sports Center, video-review platform, and Blackboard LMS.</w:t>
      </w:r>
    </w:p>
    <w:p/>
    <w:p>
      <w:pPr/>
      <w:r>
        <w:rPr>
          <w:b/>
        </w:rPr>
        <w:t>Course Learning Outcomes (CLO) and Contributions Program Level BSc Clinical Nutrition and Dietetics Program Learning Outcomes (PLO)*:</w:t>
      </w:r>
    </w:p>
    <w:p>
      <w:pPr/>
      <w:r>
        <w:t>*PLOs can be found in the academic catalog</w:t>
      </w:r>
    </w:p>
    <w:p>
      <w:pPr/>
      <w:r>
        <w:t>#Emphasis level: H: High; M: Medium; L: Low; N: Nothing specific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CLOs</w:t>
            </w:r>
          </w:p>
        </w:tc>
        <w:tc>
          <w:tcPr>
            <w:tcW w:type="dxa" w:w="2160"/>
          </w:tcPr>
          <w:p>
            <w:r>
              <w:rPr>
                <w:b/>
              </w:rPr>
              <w:t>PLOs</w:t>
            </w:r>
          </w:p>
        </w:tc>
        <w:tc>
          <w:tcPr>
            <w:tcW w:type="dxa" w:w="2160"/>
          </w:tcPr>
          <w:p>
            <w:r>
              <w:rPr>
                <w:b/>
              </w:rPr>
              <w:t>Emphasis Level#</w:t>
            </w:r>
          </w:p>
        </w:tc>
      </w:tr>
      <w:tr>
        <w:tc>
          <w:tcPr>
            <w:tcW w:type="dxa" w:w="2160"/>
          </w:tcPr>
          <w:p>
            <w:r>
              <w:t>1</w:t>
            </w:r>
          </w:p>
        </w:tc>
        <w:tc>
          <w:tcPr>
            <w:tcW w:type="dxa" w:w="2160"/>
          </w:tcPr>
          <w:p>
            <w:r>
              <w:t>Design safe, effective, and inclusive group fitness classes across multiple formats including HIIT, cycling, aqua, mind-body, dance, and strength</w:t>
            </w:r>
          </w:p>
        </w:tc>
        <w:tc>
          <w:tcPr>
            <w:tcW w:type="dxa" w:w="2160"/>
          </w:tcPr>
          <w:p>
            <w:r>
              <w:t>2</w:t>
            </w:r>
          </w:p>
        </w:tc>
        <w:tc>
          <w:tcPr>
            <w:tcW w:type="dxa" w:w="2160"/>
          </w:tcPr>
          <w:p>
            <w:r>
              <w:t>H</w:t>
            </w:r>
          </w:p>
        </w:tc>
      </w:tr>
      <w:tr>
        <w:tc>
          <w:tcPr>
            <w:tcW w:type="dxa" w:w="2160"/>
          </w:tcPr>
          <w:p>
            <w:r>
              <w:t>2</w:t>
            </w:r>
          </w:p>
        </w:tc>
        <w:tc>
          <w:tcPr>
            <w:tcW w:type="dxa" w:w="2160"/>
          </w:tcPr>
          <w:p>
            <w:r>
              <w:t>Demonstrate evidence-based cueing, music phrasing, and choreography in live teach-back settings</w:t>
            </w:r>
          </w:p>
        </w:tc>
        <w:tc>
          <w:tcPr>
            <w:tcW w:type="dxa" w:w="2160"/>
          </w:tcPr>
          <w:p>
            <w:r>
              <w:t>4</w:t>
            </w:r>
          </w:p>
        </w:tc>
        <w:tc>
          <w:tcPr>
            <w:tcW w:type="dxa" w:w="2160"/>
          </w:tcPr>
          <w:p>
            <w:r>
              <w:t>H</w:t>
            </w:r>
          </w:p>
        </w:tc>
      </w:tr>
      <w:tr>
        <w:tc>
          <w:tcPr>
            <w:tcW w:type="dxa" w:w="2160"/>
          </w:tcPr>
          <w:p>
            <w:r>
              <w:t>3</w:t>
            </w:r>
          </w:p>
        </w:tc>
        <w:tc>
          <w:tcPr>
            <w:tcW w:type="dxa" w:w="2160"/>
          </w:tcPr>
          <w:p>
            <w:r>
              <w:t>Apply modifications and regressions to safely include participants of varying ability, age, and clinical status</w:t>
            </w:r>
          </w:p>
        </w:tc>
        <w:tc>
          <w:tcPr>
            <w:tcW w:type="dxa" w:w="2160"/>
          </w:tcPr>
          <w:p>
            <w:r>
              <w:t>2, 4</w:t>
            </w:r>
          </w:p>
        </w:tc>
        <w:tc>
          <w:tcPr>
            <w:tcW w:type="dxa" w:w="2160"/>
          </w:tcPr>
          <w:p>
            <w:r>
              <w:t>H, M</w:t>
            </w:r>
          </w:p>
        </w:tc>
      </w:tr>
      <w:tr>
        <w:tc>
          <w:tcPr>
            <w:tcW w:type="dxa" w:w="2160"/>
          </w:tcPr>
          <w:p>
            <w:r>
              <w:t>4</w:t>
            </w:r>
          </w:p>
        </w:tc>
        <w:tc>
          <w:tcPr>
            <w:tcW w:type="dxa" w:w="2160"/>
          </w:tcPr>
          <w:p>
            <w:r>
              <w:t>Communicate professionally and inclusively to motivate diverse groups and build participant adherence</w:t>
            </w:r>
          </w:p>
        </w:tc>
        <w:tc>
          <w:tcPr>
            <w:tcW w:type="dxa" w:w="2160"/>
          </w:tcPr>
          <w:p>
            <w:r>
              <w:t>4</w:t>
            </w:r>
          </w:p>
        </w:tc>
        <w:tc>
          <w:tcPr>
            <w:tcW w:type="dxa" w:w="2160"/>
          </w:tcPr>
          <w:p>
            <w:r>
              <w:t>H</w:t>
            </w:r>
          </w:p>
        </w:tc>
      </w:tr>
      <w:tr>
        <w:tc>
          <w:tcPr>
            <w:tcW w:type="dxa" w:w="2160"/>
          </w:tcPr>
          <w:p>
            <w:r>
              <w:t>5</w:t>
            </w:r>
          </w:p>
        </w:tc>
        <w:tc>
          <w:tcPr>
            <w:tcW w:type="dxa" w:w="2160"/>
          </w:tcPr>
          <w:p>
            <w:r>
              <w:t>Apply the REPs UAE Code of Ethical Practice, participant safety screening, and emergency-response protocols in group settings</w:t>
            </w:r>
          </w:p>
        </w:tc>
        <w:tc>
          <w:tcPr>
            <w:tcW w:type="dxa" w:w="2160"/>
          </w:tcPr>
          <w:p>
            <w:r>
              <w:t>5</w:t>
            </w:r>
          </w:p>
        </w:tc>
        <w:tc>
          <w:tcPr>
            <w:tcW w:type="dxa" w:w="2160"/>
          </w:tcPr>
          <w:p>
            <w:r>
              <w:t>H</w:t>
            </w:r>
          </w:p>
        </w:tc>
      </w:tr>
    </w:tbl>
    <w:p/>
    <w:p>
      <w:pPr/>
      <w:r>
        <w:rPr>
          <w:b/>
        </w:rPr>
        <w:t>Assessment</w:t>
      </w:r>
    </w:p>
    <w:p>
      <w:pPr/>
      <w:r>
        <w:t>All course learning outcomes are assessed using the following assessment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Assessment Instruments</w:t>
            </w:r>
          </w:p>
        </w:tc>
        <w:tc>
          <w:tcPr>
            <w:tcW w:type="dxa" w:w="2160"/>
          </w:tcPr>
          <w:p>
            <w:r>
              <w:rPr>
                <w:b/>
              </w:rPr>
              <w:t>Contribution to Course Grade (%)</w:t>
            </w:r>
          </w:p>
        </w:tc>
        <w:tc>
          <w:tcPr>
            <w:tcW w:type="dxa" w:w="2160"/>
          </w:tcPr>
          <w:p>
            <w:r>
              <w:rPr>
                <w:b/>
              </w:rPr>
              <w:t>Week #</w:t>
            </w:r>
          </w:p>
        </w:tc>
        <w:tc>
          <w:tcPr>
            <w:tcW w:type="dxa" w:w="2160"/>
          </w:tcPr>
          <w:p>
            <w:r>
              <w:rPr>
                <w:b/>
              </w:rPr>
              <w:t>CLO(s)</w:t>
            </w:r>
          </w:p>
        </w:tc>
      </w:tr>
      <w:tr>
        <w:tc>
          <w:tcPr>
            <w:tcW w:type="dxa" w:w="2160"/>
          </w:tcPr>
          <w:p>
            <w:r>
              <w:t>Quiz 1</w:t>
            </w:r>
          </w:p>
        </w:tc>
        <w:tc>
          <w:tcPr>
            <w:tcW w:type="dxa" w:w="2160"/>
          </w:tcPr>
          <w:p>
            <w:r>
              <w:t>7%</w:t>
            </w:r>
          </w:p>
        </w:tc>
        <w:tc>
          <w:tcPr>
            <w:tcW w:type="dxa" w:w="2160"/>
          </w:tcPr>
          <w:p>
            <w:r>
              <w:t>4</w:t>
            </w:r>
          </w:p>
        </w:tc>
        <w:tc>
          <w:tcPr>
            <w:tcW w:type="dxa" w:w="2160"/>
          </w:tcPr>
          <w:p>
            <w:r>
              <w:t>1, 2</w:t>
            </w:r>
          </w:p>
        </w:tc>
      </w:tr>
      <w:tr>
        <w:tc>
          <w:tcPr>
            <w:tcW w:type="dxa" w:w="2160"/>
          </w:tcPr>
          <w:p>
            <w:r>
              <w:t>Quiz 2</w:t>
            </w:r>
          </w:p>
        </w:tc>
        <w:tc>
          <w:tcPr>
            <w:tcW w:type="dxa" w:w="2160"/>
          </w:tcPr>
          <w:p>
            <w:r>
              <w:t>8%</w:t>
            </w:r>
          </w:p>
        </w:tc>
        <w:tc>
          <w:tcPr>
            <w:tcW w:type="dxa" w:w="2160"/>
          </w:tcPr>
          <w:p>
            <w:r>
              <w:t>10</w:t>
            </w:r>
          </w:p>
        </w:tc>
        <w:tc>
          <w:tcPr>
            <w:tcW w:type="dxa" w:w="2160"/>
          </w:tcPr>
          <w:p>
            <w:r>
              <w:t>3, 4</w:t>
            </w:r>
          </w:p>
        </w:tc>
      </w:tr>
      <w:tr>
        <w:tc>
          <w:tcPr>
            <w:tcW w:type="dxa" w:w="2160"/>
          </w:tcPr>
          <w:p>
            <w:r>
              <w:t>Choreography Project</w:t>
            </w:r>
          </w:p>
        </w:tc>
        <w:tc>
          <w:tcPr>
            <w:tcW w:type="dxa" w:w="2160"/>
          </w:tcPr>
          <w:p>
            <w:r>
              <w:t>15%</w:t>
            </w:r>
          </w:p>
        </w:tc>
        <w:tc>
          <w:tcPr>
            <w:tcW w:type="dxa" w:w="2160"/>
          </w:tcPr>
          <w:p>
            <w:r>
              <w:t>6</w:t>
            </w:r>
          </w:p>
        </w:tc>
        <w:tc>
          <w:tcPr>
            <w:tcW w:type="dxa" w:w="2160"/>
          </w:tcPr>
          <w:p>
            <w:r>
              <w:t>1, 2</w:t>
            </w:r>
          </w:p>
        </w:tc>
      </w:tr>
      <w:tr>
        <w:tc>
          <w:tcPr>
            <w:tcW w:type="dxa" w:w="2160"/>
          </w:tcPr>
          <w:p>
            <w:r>
              <w:t>Mid-Semester Studio Teach-Back</w:t>
            </w:r>
          </w:p>
        </w:tc>
        <w:tc>
          <w:tcPr>
            <w:tcW w:type="dxa" w:w="2160"/>
          </w:tcPr>
          <w:p>
            <w:r>
              <w:t>20%</w:t>
            </w:r>
          </w:p>
        </w:tc>
        <w:tc>
          <w:tcPr>
            <w:tcW w:type="dxa" w:w="2160"/>
          </w:tcPr>
          <w:p>
            <w:r>
              <w:t>8</w:t>
            </w:r>
          </w:p>
        </w:tc>
        <w:tc>
          <w:tcPr>
            <w:tcW w:type="dxa" w:w="2160"/>
          </w:tcPr>
          <w:p>
            <w:r>
              <w:t>2, 4</w:t>
            </w:r>
          </w:p>
        </w:tc>
      </w:tr>
      <w:tr>
        <w:tc>
          <w:tcPr>
            <w:tcW w:type="dxa" w:w="2160"/>
          </w:tcPr>
          <w:p>
            <w:r>
              <w:t>Class Design Portfolio</w:t>
            </w:r>
          </w:p>
        </w:tc>
        <w:tc>
          <w:tcPr>
            <w:tcW w:type="dxa" w:w="2160"/>
          </w:tcPr>
          <w:p>
            <w:r>
              <w:t>15%</w:t>
            </w:r>
          </w:p>
        </w:tc>
        <w:tc>
          <w:tcPr>
            <w:tcW w:type="dxa" w:w="2160"/>
          </w:tcPr>
          <w:p>
            <w:r>
              <w:t>12</w:t>
            </w:r>
          </w:p>
        </w:tc>
        <w:tc>
          <w:tcPr>
            <w:tcW w:type="dxa" w:w="2160"/>
          </w:tcPr>
          <w:p>
            <w:r>
              <w:t>1, 3, 5</w:t>
            </w:r>
          </w:p>
        </w:tc>
      </w:tr>
      <w:tr>
        <w:tc>
          <w:tcPr>
            <w:tcW w:type="dxa" w:w="2160"/>
          </w:tcPr>
          <w:p>
            <w:r>
              <w:t>Final Practical Teaching Demonstration</w:t>
            </w:r>
          </w:p>
        </w:tc>
        <w:tc>
          <w:tcPr>
            <w:tcW w:type="dxa" w:w="2160"/>
          </w:tcPr>
          <w:p>
            <w:r>
              <w:t>35%</w:t>
            </w:r>
          </w:p>
        </w:tc>
        <w:tc>
          <w:tcPr>
            <w:tcW w:type="dxa" w:w="2160"/>
          </w:tcPr>
          <w:p>
            <w:r>
              <w:t>14</w:t>
            </w:r>
          </w:p>
        </w:tc>
        <w:tc>
          <w:tcPr>
            <w:tcW w:type="dxa" w:w="2160"/>
          </w:tcPr>
          <w:p>
            <w:r>
              <w:t>1, 2, 3, 4, 5</w:t>
            </w:r>
          </w:p>
        </w:tc>
      </w:tr>
    </w:tbl>
    <w:p/>
    <w:p>
      <w:pPr/>
      <w:r>
        <w:rPr>
          <w:b/>
        </w:rPr>
        <w:t>Grading Scheme</w:t>
      </w:r>
    </w:p>
    <w:p>
      <w:pPr/>
      <w:r>
        <w:t>The official Khalifa University grading system uses letter grades with pluses and minuses. Passing grades range from A to D; F is failing. Each letter grade is assigned a grade point on a four-point scale, used to calculate the semester and cumulative grade point average (GPA).</w:t>
      </w:r>
    </w:p>
    <w:p>
      <w:pPr>
        <w:pStyle w:val="NoSpacing"/>
      </w:pPr>
      <w:r>
        <w:t>For undergraduate programs: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Letter Grade</w:t>
            </w:r>
          </w:p>
        </w:tc>
        <w:tc>
          <w:tcPr>
            <w:tcW w:type="dxa" w:w="2160"/>
          </w:tcPr>
          <w:p>
            <w:r>
              <w:rPr>
                <w:b/>
              </w:rPr>
              <w:t>Grade Point</w:t>
            </w:r>
          </w:p>
        </w:tc>
        <w:tc>
          <w:tcPr>
            <w:tcW w:type="dxa" w:w="2160"/>
          </w:tcPr>
          <w:p>
            <w:r>
              <w:rPr>
                <w:b/>
              </w:rPr>
              <w:t>Grade Range</w:t>
            </w:r>
          </w:p>
        </w:tc>
        <w:tc>
          <w:tcPr>
            <w:tcW w:type="dxa" w:w="2160"/>
          </w:tcPr>
          <w:p>
            <w:r>
              <w:rPr>
                <w:b/>
              </w:rPr>
              <w:t>Description</w:t>
            </w:r>
          </w:p>
        </w:tc>
      </w:tr>
      <w:tr>
        <w:tc>
          <w:tcPr>
            <w:tcW w:type="dxa" w:w="2160"/>
          </w:tcPr>
          <w:p>
            <w:r>
              <w:t>A</w:t>
            </w:r>
          </w:p>
        </w:tc>
        <w:tc>
          <w:tcPr>
            <w:tcW w:type="dxa" w:w="2160"/>
          </w:tcPr>
          <w:p>
            <w:r>
              <w:t>4.00</w:t>
            </w:r>
          </w:p>
        </w:tc>
        <w:tc>
          <w:tcPr>
            <w:tcW w:type="dxa" w:w="2160"/>
          </w:tcPr>
          <w:p>
            <w:r>
              <w:t>From 92.5% to 100%</w:t>
            </w:r>
          </w:p>
        </w:tc>
        <w:tc>
          <w:tcPr>
            <w:tcW w:type="dxa" w:w="2160"/>
          </w:tcPr>
          <w:p>
            <w:r>
              <w:t>Excellent</w:t>
            </w:r>
          </w:p>
        </w:tc>
      </w:tr>
      <w:tr>
        <w:tc>
          <w:tcPr>
            <w:tcW w:type="dxa" w:w="2160"/>
          </w:tcPr>
          <w:p>
            <w:r>
              <w:t>A-</w:t>
            </w:r>
          </w:p>
        </w:tc>
        <w:tc>
          <w:tcPr>
            <w:tcW w:type="dxa" w:w="2160"/>
          </w:tcPr>
          <w:p>
            <w:r>
              <w:t>3.70</w:t>
            </w:r>
          </w:p>
        </w:tc>
        <w:tc>
          <w:tcPr>
            <w:tcW w:type="dxa" w:w="2160"/>
          </w:tcPr>
          <w:p>
            <w:r>
              <w:t>From 89.5% to less than 92.5%</w:t>
            </w:r>
          </w:p>
        </w:tc>
        <w:tc>
          <w:tcPr>
            <w:tcW w:type="dxa" w:w="2160"/>
          </w:tcPr>
          <w:p>
            <w:r>
              <w:t>Very Good</w:t>
            </w:r>
          </w:p>
        </w:tc>
      </w:tr>
      <w:tr>
        <w:tc>
          <w:tcPr>
            <w:tcW w:type="dxa" w:w="2160"/>
          </w:tcPr>
          <w:p>
            <w:r>
              <w:t>B+</w:t>
            </w:r>
          </w:p>
        </w:tc>
        <w:tc>
          <w:tcPr>
            <w:tcW w:type="dxa" w:w="2160"/>
          </w:tcPr>
          <w:p>
            <w:r>
              <w:t>3.30</w:t>
            </w:r>
          </w:p>
        </w:tc>
        <w:tc>
          <w:tcPr>
            <w:tcW w:type="dxa" w:w="2160"/>
          </w:tcPr>
          <w:p>
            <w:r>
              <w:t>From 86.5% to less than 89.5%</w:t>
            </w:r>
          </w:p>
        </w:tc>
        <w:tc>
          <w:tcPr>
            <w:tcW w:type="dxa" w:w="2160"/>
          </w:tcPr>
          <w:p>
            <w:r>
              <w:t>Very Good</w:t>
            </w:r>
          </w:p>
        </w:tc>
      </w:tr>
      <w:tr>
        <w:tc>
          <w:tcPr>
            <w:tcW w:type="dxa" w:w="2160"/>
          </w:tcPr>
          <w:p>
            <w:r>
              <w:t>B</w:t>
            </w:r>
          </w:p>
        </w:tc>
        <w:tc>
          <w:tcPr>
            <w:tcW w:type="dxa" w:w="2160"/>
          </w:tcPr>
          <w:p>
            <w:r>
              <w:t>3.00</w:t>
            </w:r>
          </w:p>
        </w:tc>
        <w:tc>
          <w:tcPr>
            <w:tcW w:type="dxa" w:w="2160"/>
          </w:tcPr>
          <w:p>
            <w:r>
              <w:t>From 82.5% to less than 86.5%</w:t>
            </w:r>
          </w:p>
        </w:tc>
        <w:tc>
          <w:tcPr>
            <w:tcW w:type="dxa" w:w="2160"/>
          </w:tcPr>
          <w:p>
            <w:r>
              <w:t>Good</w:t>
            </w:r>
          </w:p>
        </w:tc>
      </w:tr>
      <w:tr>
        <w:tc>
          <w:tcPr>
            <w:tcW w:type="dxa" w:w="2160"/>
          </w:tcPr>
          <w:p>
            <w:r>
              <w:t>B-</w:t>
            </w:r>
          </w:p>
        </w:tc>
        <w:tc>
          <w:tcPr>
            <w:tcW w:type="dxa" w:w="2160"/>
          </w:tcPr>
          <w:p>
            <w:r>
              <w:t>2.70</w:t>
            </w:r>
          </w:p>
        </w:tc>
        <w:tc>
          <w:tcPr>
            <w:tcW w:type="dxa" w:w="2160"/>
          </w:tcPr>
          <w:p>
            <w:r>
              <w:t>From 79.5% to less than 82.5%</w:t>
            </w:r>
          </w:p>
        </w:tc>
        <w:tc>
          <w:tcPr>
            <w:tcW w:type="dxa" w:w="2160"/>
          </w:tcPr>
          <w:p>
            <w:r>
              <w:t>Good</w:t>
            </w:r>
          </w:p>
        </w:tc>
      </w:tr>
      <w:tr>
        <w:tc>
          <w:tcPr>
            <w:tcW w:type="dxa" w:w="2160"/>
          </w:tcPr>
          <w:p>
            <w:r>
              <w:t>C+</w:t>
            </w:r>
          </w:p>
        </w:tc>
        <w:tc>
          <w:tcPr>
            <w:tcW w:type="dxa" w:w="2160"/>
          </w:tcPr>
          <w:p>
            <w:r>
              <w:t>2.30</w:t>
            </w:r>
          </w:p>
        </w:tc>
        <w:tc>
          <w:tcPr>
            <w:tcW w:type="dxa" w:w="2160"/>
          </w:tcPr>
          <w:p>
            <w:r>
              <w:t>From 76.5% to less than 79.5%</w:t>
            </w:r>
          </w:p>
        </w:tc>
        <w:tc>
          <w:tcPr>
            <w:tcW w:type="dxa" w:w="2160"/>
          </w:tcPr>
          <w:p>
            <w:r>
              <w:t>Satisfactory</w:t>
            </w:r>
          </w:p>
        </w:tc>
      </w:tr>
      <w:tr>
        <w:tc>
          <w:tcPr>
            <w:tcW w:type="dxa" w:w="2160"/>
          </w:tcPr>
          <w:p>
            <w:r>
              <w:t>C</w:t>
            </w:r>
          </w:p>
        </w:tc>
        <w:tc>
          <w:tcPr>
            <w:tcW w:type="dxa" w:w="2160"/>
          </w:tcPr>
          <w:p>
            <w:r>
              <w:t>2.00</w:t>
            </w:r>
          </w:p>
        </w:tc>
        <w:tc>
          <w:tcPr>
            <w:tcW w:type="dxa" w:w="2160"/>
          </w:tcPr>
          <w:p>
            <w:r>
              <w:t>From 72.5% to less than 76.5%</w:t>
            </w:r>
          </w:p>
        </w:tc>
        <w:tc>
          <w:tcPr>
            <w:tcW w:type="dxa" w:w="2160"/>
          </w:tcPr>
          <w:p>
            <w:r>
              <w:t>Satisfactory</w:t>
            </w:r>
          </w:p>
        </w:tc>
      </w:tr>
      <w:tr>
        <w:tc>
          <w:tcPr>
            <w:tcW w:type="dxa" w:w="2160"/>
          </w:tcPr>
          <w:p>
            <w:r>
              <w:t>C-</w:t>
            </w:r>
          </w:p>
        </w:tc>
        <w:tc>
          <w:tcPr>
            <w:tcW w:type="dxa" w:w="2160"/>
          </w:tcPr>
          <w:p>
            <w:r>
              <w:t>1.70</w:t>
            </w:r>
          </w:p>
        </w:tc>
        <w:tc>
          <w:tcPr>
            <w:tcW w:type="dxa" w:w="2160"/>
          </w:tcPr>
          <w:p>
            <w:r>
              <w:t>From 69.5% to less than 72.5%</w:t>
            </w:r>
          </w:p>
        </w:tc>
        <w:tc>
          <w:tcPr>
            <w:tcW w:type="dxa" w:w="2160"/>
          </w:tcPr>
          <w:p>
            <w:r>
              <w:t>Less than Satisfactory</w:t>
            </w:r>
          </w:p>
        </w:tc>
      </w:tr>
      <w:tr>
        <w:tc>
          <w:tcPr>
            <w:tcW w:type="dxa" w:w="2160"/>
          </w:tcPr>
          <w:p>
            <w:r>
              <w:t>D</w:t>
            </w:r>
          </w:p>
        </w:tc>
        <w:tc>
          <w:tcPr>
            <w:tcW w:type="dxa" w:w="2160"/>
          </w:tcPr>
          <w:p>
            <w:r>
              <w:t>1.00</w:t>
            </w:r>
          </w:p>
        </w:tc>
        <w:tc>
          <w:tcPr>
            <w:tcW w:type="dxa" w:w="2160"/>
          </w:tcPr>
          <w:p>
            <w:r>
              <w:t>From 59.5% to less than 69.5%</w:t>
            </w:r>
          </w:p>
        </w:tc>
        <w:tc>
          <w:tcPr>
            <w:tcW w:type="dxa" w:w="2160"/>
          </w:tcPr>
          <w:p>
            <w:r>
              <w:t>Poor</w:t>
            </w:r>
          </w:p>
        </w:tc>
      </w:tr>
      <w:tr>
        <w:tc>
          <w:tcPr>
            <w:tcW w:type="dxa" w:w="2160"/>
          </w:tcPr>
          <w:p>
            <w:r>
              <w:t>F</w:t>
            </w:r>
          </w:p>
        </w:tc>
        <w:tc>
          <w:tcPr>
            <w:tcW w:type="dxa" w:w="2160"/>
          </w:tcPr>
          <w:p>
            <w:r>
              <w:t>0.00</w:t>
            </w:r>
          </w:p>
        </w:tc>
        <w:tc>
          <w:tcPr>
            <w:tcW w:type="dxa" w:w="2160"/>
          </w:tcPr>
          <w:p>
            <w:r>
              <w:t>Less than 59.5%</w:t>
            </w:r>
          </w:p>
        </w:tc>
        <w:tc>
          <w:tcPr>
            <w:tcW w:type="dxa" w:w="2160"/>
          </w:tcPr>
          <w:p>
            <w:r>
              <w:t>Fail</w:t>
            </w:r>
          </w:p>
        </w:tc>
      </w:tr>
    </w:tbl>
    <w:p/>
    <w:p>
      <w:pPr>
        <w:pStyle w:val="NoSpacing"/>
      </w:pPr>
      <w:r>
        <w:rPr>
          <w:b/>
        </w:rPr>
        <w:t>Academic Integrity Statement</w:t>
      </w:r>
    </w:p>
    <w:p>
      <w:pPr>
        <w:pStyle w:val="NoSpacing"/>
      </w:pPr>
      <w:r>
        <w:t>"As a Khalifa University student, I will not lie, cheat, steal, or use any unfair means in academic work and will behave according to university rules and UAE societal norms and expectations." Refer to the Student Code of Conduct for further details.</w:t>
      </w:r>
    </w:p>
    <w:p/>
    <w:p>
      <w:pPr>
        <w:pStyle w:val="NoSpacing"/>
      </w:pPr>
      <w:r>
        <w:rPr>
          <w:b/>
        </w:rPr>
        <w:t>Copyright and Plagiarism</w:t>
      </w:r>
    </w:p>
    <w:p>
      <w:pPr>
        <w:pStyle w:val="NoSpacing"/>
      </w:pPr>
      <w:r>
        <w:t>All students must adhere to the university's policies on copyright and plagiarism, including the ethical use of generative AI tools. Any use of AI-generated content must be properly attributed and must comply with the course instructor's permitted-use guidelines. Unauthorized use of copyrighted materials or undisclosed AI assistance constitutes academic misconduct and is subject to disciplinary action under the Student Code of Conduct.</w:t>
      </w:r>
    </w:p>
    <w:p/>
    <w:p>
      <w:pPr>
        <w:pStyle w:val="NoSpacing"/>
      </w:pPr>
      <w:r>
        <w:t>This syllabus must be augmented by a syllabus supplement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