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SPMD 308: Supervised Coaching Practicum</w:t>
      </w:r>
    </w:p>
    <w:p>
      <w:pPr/>
      <w:r>
        <w:t>(0 Lecture hours, 120 Laboratory hours, 3 Credits)</w:t>
      </w:r>
    </w:p>
    <w:p/>
    <w:p>
      <w:pPr/>
      <w:r>
        <w:rPr>
          <w:b/>
        </w:rPr>
        <w:t>Prerequisites</w:t>
      </w:r>
    </w:p>
    <w:p>
      <w:pPr/>
      <w:r>
        <w:t>SPMD 301</w:t>
      </w:r>
    </w:p>
    <w:p>
      <w:pPr/>
      <w:r>
        <w:t>SPMD 302</w:t>
      </w:r>
    </w:p>
    <w:p>
      <w:pPr/>
      <w:r>
        <w:t>SPMD 305</w:t>
      </w:r>
    </w:p>
    <w:p>
      <w:pPr/>
      <w:r>
        <w:t>SPMD 306</w:t>
      </w:r>
    </w:p>
    <w:p/>
    <w:p>
      <w:pPr/>
      <w:r>
        <w:rPr>
          <w:b/>
        </w:rPr>
        <w:t>Corequisites</w:t>
      </w:r>
    </w:p>
    <w:p>
      <w:pPr/>
      <w:r>
        <w:t>Valid CPR/AED + First Aid certification (AHA-BLS or equivalent accepted by REPs UAE)</w:t>
      </w:r>
    </w:p>
    <w:p/>
    <w:p>
      <w:pPr/>
      <w:r>
        <w:rPr>
          <w:b/>
        </w:rPr>
        <w:t>Course Catalog Description</w:t>
      </w:r>
    </w:p>
    <w:p>
      <w:pPr/>
      <w:r>
        <w:t>This capstone practicum totals 120 contact hours of supervised coaching at KU-approved partner sites including the KU Sports Center, Fitness First UAE, Gold's Gym Abu Dhabi, Cleveland Clinic Abu Dhabi Wellness, and corporate-wellness programmes. Students perform fitness assessments, design and deliver individual and group exercise programmes, coach clients across the lifespan and ability spectrum, document sessions in compliance with the Department of Health–Abu Dhabi and REPs UAE professional standards, and complete a weekly reflective seminar at KU. The course bridges classroom theory (SPMD 301–306) with industry practice and supplies the supervised practical hours required for the NASM-CPT, ACE-CPT, NSCA-CSCS, and REPs UAE Level 3 practical-assessment pathways.</w:t>
      </w:r>
    </w:p>
    <w:p/>
    <w:p>
      <w:pPr/>
      <w:r>
        <w:rPr>
          <w:b/>
        </w:rPr>
        <w:t>Textbook</w:t>
      </w:r>
    </w:p>
    <w:p>
      <w:pPr/>
      <w:r>
        <w:t>[1] J. W. Coburn and M. H. Malek, Eds., NSCA's Essentials of Personal Training, 3rd ed. Champaign, IL: Human Kinetics, 2022.</w:t>
      </w:r>
    </w:p>
    <w:p/>
    <w:p>
      <w:pPr/>
      <w:r>
        <w:rPr>
          <w:b/>
        </w:rPr>
        <w:t>Reference Materials</w:t>
      </w:r>
    </w:p>
    <w:p>
      <w:pPr/>
      <w:r>
        <w:t>[2] Register of Exercise Professionals UAE, REPs UAE Code of Ethical Practice, current ed. Abu Dhabi: REPs UAE, 2024.</w:t>
      </w:r>
    </w:p>
    <w:p>
      <w:pPr/>
      <w:r>
        <w:t>[3] American College of Sports Medicine, ACSM's Guidelines for Exercise Testing and Prescription, 11th ed. Philadelphia, PA: Wolters Kluwer, 2022.</w:t>
      </w:r>
    </w:p>
    <w:p>
      <w:pPr/>
      <w:r>
        <w:t>[4] Department of Health Abu Dhabi, Professional Standards for Allied Health Practitioners, current ed. Abu Dhabi: DoH-AD, 2024.</w:t>
      </w:r>
    </w:p>
    <w:p/>
    <w:p>
      <w:pPr/>
      <w:r>
        <w:rPr>
          <w:b/>
        </w:rPr>
        <w:t>Course Structure &amp; Learning Methodology</w:t>
      </w:r>
    </w:p>
    <w:p>
      <w:pPr/>
      <w:r>
        <w:t>The course consists of 120 supervised on-site coaching hours across 14 weeks (approximately 8–9 hours per week) plus a weekly 50-minute reflective seminar at KU. A REPs-UAE Level 3+ (or equivalent) site supervisor co-evaluates each student with the KU course director. KU faculty conduct three formal site visits in Weeks 4, 9, and 13. Students maintain a session log, build an ePortfolio of three client cases, and present a final case-defense in Week 14.</w:t>
      </w:r>
    </w:p>
    <w:p/>
    <w:p>
      <w:pPr>
        <w:pStyle w:val="NoSpacing"/>
      </w:pPr>
      <w:r>
        <w:rPr>
          <w:b/>
        </w:rPr>
        <w:t>Course Topics</w:t>
      </w:r>
    </w:p>
    <w:p/>
    <w:tbl>
      <w:tblPr>
        <w:tblStyle w:val="TableGrid"/>
        <w:tblW w:type="auto" w:w="0"/>
        <w:tblLook w:firstColumn="1" w:firstRow="1" w:lastColumn="0" w:lastRow="0" w:noHBand="0" w:noVBand="1" w:val="04A0"/>
      </w:tblPr>
      <w:tblGrid>
        <w:gridCol w:w="4320"/>
        <w:gridCol w:w="4320"/>
      </w:tblGrid>
      <w:tr>
        <w:tc>
          <w:tcPr>
            <w:tcW w:type="dxa" w:w="4320"/>
          </w:tcPr>
          <w:p>
            <w:r>
              <w:rPr>
                <w:b/>
              </w:rPr>
              <w:t>Week #</w:t>
            </w:r>
          </w:p>
        </w:tc>
        <w:tc>
          <w:tcPr>
            <w:tcW w:type="dxa" w:w="4320"/>
          </w:tcPr>
          <w:p>
            <w:r>
              <w:rPr>
                <w:b/>
              </w:rPr>
              <w:t>Topics</w:t>
            </w:r>
          </w:p>
        </w:tc>
      </w:tr>
      <w:tr>
        <w:tc>
          <w:tcPr>
            <w:tcW w:type="dxa" w:w="4320"/>
          </w:tcPr>
          <w:p>
            <w:r>
              <w:t>01</w:t>
            </w:r>
          </w:p>
        </w:tc>
        <w:tc>
          <w:tcPr>
            <w:tcW w:type="dxa" w:w="4320"/>
          </w:tcPr>
          <w:p>
            <w:r>
              <w:t>Practicum orientation; site assignment; safeguarding and scope of practice</w:t>
            </w:r>
          </w:p>
        </w:tc>
      </w:tr>
      <w:tr>
        <w:tc>
          <w:tcPr>
            <w:tcW w:type="dxa" w:w="4320"/>
          </w:tcPr>
          <w:p>
            <w:r>
              <w:t>02</w:t>
            </w:r>
          </w:p>
        </w:tc>
        <w:tc>
          <w:tcPr>
            <w:tcW w:type="dxa" w:w="4320"/>
          </w:tcPr>
          <w:p>
            <w:r>
              <w:t>Client intake, screening (PAR-Q+, ACSM risk stratification), informed consent</w:t>
            </w:r>
          </w:p>
        </w:tc>
      </w:tr>
      <w:tr>
        <w:tc>
          <w:tcPr>
            <w:tcW w:type="dxa" w:w="4320"/>
          </w:tcPr>
          <w:p>
            <w:r>
              <w:t>03</w:t>
            </w:r>
          </w:p>
        </w:tc>
        <w:tc>
          <w:tcPr>
            <w:tcW w:type="dxa" w:w="4320"/>
          </w:tcPr>
          <w:p>
            <w:r>
              <w:t>Fitness-assessment battery: body composition, cardio, strength, flexibility</w:t>
            </w:r>
          </w:p>
        </w:tc>
      </w:tr>
      <w:tr>
        <w:tc>
          <w:tcPr>
            <w:tcW w:type="dxa" w:w="4320"/>
          </w:tcPr>
          <w:p>
            <w:r>
              <w:t>04</w:t>
            </w:r>
          </w:p>
        </w:tc>
        <w:tc>
          <w:tcPr>
            <w:tcW w:type="dxa" w:w="4320"/>
          </w:tcPr>
          <w:p>
            <w:r>
              <w:t>Programme design for first clients; KU faculty site visit #1</w:t>
            </w:r>
          </w:p>
        </w:tc>
      </w:tr>
      <w:tr>
        <w:tc>
          <w:tcPr>
            <w:tcW w:type="dxa" w:w="4320"/>
          </w:tcPr>
          <w:p>
            <w:r>
              <w:t>05</w:t>
            </w:r>
          </w:p>
        </w:tc>
        <w:tc>
          <w:tcPr>
            <w:tcW w:type="dxa" w:w="4320"/>
          </w:tcPr>
          <w:p>
            <w:r>
              <w:t>Coaching cues, exercise demonstration, spotting, and manual assistance</w:t>
            </w:r>
          </w:p>
        </w:tc>
      </w:tr>
      <w:tr>
        <w:tc>
          <w:tcPr>
            <w:tcW w:type="dxa" w:w="4320"/>
          </w:tcPr>
          <w:p>
            <w:r>
              <w:t>06</w:t>
            </w:r>
          </w:p>
        </w:tc>
        <w:tc>
          <w:tcPr>
            <w:tcW w:type="dxa" w:w="4320"/>
          </w:tcPr>
          <w:p>
            <w:r>
              <w:t>Behaviour-change strategies and motivational interviewing in coaching</w:t>
            </w:r>
          </w:p>
        </w:tc>
      </w:tr>
      <w:tr>
        <w:tc>
          <w:tcPr>
            <w:tcW w:type="dxa" w:w="4320"/>
          </w:tcPr>
          <w:p>
            <w:r>
              <w:t>07</w:t>
            </w:r>
          </w:p>
        </w:tc>
        <w:tc>
          <w:tcPr>
            <w:tcW w:type="dxa" w:w="4320"/>
          </w:tcPr>
          <w:p>
            <w:r>
              <w:t>Mid-practicum review and supervisor 360° feedback</w:t>
            </w:r>
          </w:p>
        </w:tc>
      </w:tr>
      <w:tr>
        <w:tc>
          <w:tcPr>
            <w:tcW w:type="dxa" w:w="4320"/>
          </w:tcPr>
          <w:p>
            <w:r>
              <w:t>08</w:t>
            </w:r>
          </w:p>
        </w:tc>
        <w:tc>
          <w:tcPr>
            <w:tcW w:type="dxa" w:w="4320"/>
          </w:tcPr>
          <w:p>
            <w:r>
              <w:t>Group-exercise leadership rotation</w:t>
            </w:r>
          </w:p>
        </w:tc>
      </w:tr>
      <w:tr>
        <w:tc>
          <w:tcPr>
            <w:tcW w:type="dxa" w:w="4320"/>
          </w:tcPr>
          <w:p>
            <w:r>
              <w:t>09</w:t>
            </w:r>
          </w:p>
        </w:tc>
        <w:tc>
          <w:tcPr>
            <w:tcW w:type="dxa" w:w="4320"/>
          </w:tcPr>
          <w:p>
            <w:r>
              <w:t>Special-population client (older adult OR pre-diabetic OR youth); site visit #2</w:t>
            </w:r>
          </w:p>
        </w:tc>
      </w:tr>
      <w:tr>
        <w:tc>
          <w:tcPr>
            <w:tcW w:type="dxa" w:w="4320"/>
          </w:tcPr>
          <w:p>
            <w:r>
              <w:t>10</w:t>
            </w:r>
          </w:p>
        </w:tc>
        <w:tc>
          <w:tcPr>
            <w:tcW w:type="dxa" w:w="4320"/>
          </w:tcPr>
          <w:p>
            <w:r>
              <w:t>Outcome re-assessment and programme adjustment</w:t>
            </w:r>
          </w:p>
        </w:tc>
      </w:tr>
      <w:tr>
        <w:tc>
          <w:tcPr>
            <w:tcW w:type="dxa" w:w="4320"/>
          </w:tcPr>
          <w:p>
            <w:r>
              <w:t>11</w:t>
            </w:r>
          </w:p>
        </w:tc>
        <w:tc>
          <w:tcPr>
            <w:tcW w:type="dxa" w:w="4320"/>
          </w:tcPr>
          <w:p>
            <w:r>
              <w:t>Documentation and data privacy (DoH-AD, PHI handling)</w:t>
            </w:r>
          </w:p>
        </w:tc>
      </w:tr>
      <w:tr>
        <w:tc>
          <w:tcPr>
            <w:tcW w:type="dxa" w:w="4320"/>
          </w:tcPr>
          <w:p>
            <w:r>
              <w:t>12</w:t>
            </w:r>
          </w:p>
        </w:tc>
        <w:tc>
          <w:tcPr>
            <w:tcW w:type="dxa" w:w="4320"/>
          </w:tcPr>
          <w:p>
            <w:r>
              <w:t>Business of coaching: scope, referrals, insurance, professional registration</w:t>
            </w:r>
          </w:p>
        </w:tc>
      </w:tr>
      <w:tr>
        <w:tc>
          <w:tcPr>
            <w:tcW w:type="dxa" w:w="4320"/>
          </w:tcPr>
          <w:p>
            <w:r>
              <w:t>13</w:t>
            </w:r>
          </w:p>
        </w:tc>
        <w:tc>
          <w:tcPr>
            <w:tcW w:type="dxa" w:w="4320"/>
          </w:tcPr>
          <w:p>
            <w:r>
              <w:t>Emergency drill and incident-report exercise; site visit #3</w:t>
            </w:r>
          </w:p>
        </w:tc>
      </w:tr>
      <w:tr>
        <w:tc>
          <w:tcPr>
            <w:tcW w:type="dxa" w:w="4320"/>
          </w:tcPr>
          <w:p>
            <w:r>
              <w:t>14</w:t>
            </w:r>
          </w:p>
        </w:tc>
        <w:tc>
          <w:tcPr>
            <w:tcW w:type="dxa" w:w="4320"/>
          </w:tcPr>
          <w:p>
            <w:r>
              <w:t>Final case presentation and ePortfolio defense</w:t>
            </w:r>
          </w:p>
        </w:tc>
      </w:tr>
    </w:tbl>
    <w:p/>
    <w:p>
      <w:pPr/>
      <w:r>
        <w:rPr>
          <w:b/>
        </w:rPr>
        <w:t>Laboratories/Tutorials</w:t>
      </w:r>
    </w:p>
    <w:tbl>
      <w:tblPr>
        <w:tblStyle w:val="TableGrid"/>
        <w:tblW w:type="auto" w:w="0"/>
        <w:tblLook w:firstColumn="1" w:firstRow="1" w:lastColumn="0" w:lastRow="0" w:noHBand="0" w:noVBand="1" w:val="04A0"/>
      </w:tblPr>
      <w:tblGrid>
        <w:gridCol w:w="4320"/>
        <w:gridCol w:w="4320"/>
      </w:tblGrid>
      <w:tr>
        <w:tc>
          <w:tcPr>
            <w:tcW w:type="dxa" w:w="4320"/>
          </w:tcPr>
          <w:p>
            <w:r>
              <w:rPr>
                <w:b/>
              </w:rPr>
              <w:t>Week #</w:t>
            </w:r>
          </w:p>
        </w:tc>
        <w:tc>
          <w:tcPr>
            <w:tcW w:type="dxa" w:w="4320"/>
          </w:tcPr>
          <w:p>
            <w:r>
              <w:rPr>
                <w:b/>
              </w:rPr>
              <w:t>Topics</w:t>
            </w:r>
          </w:p>
        </w:tc>
      </w:tr>
      <w:tr>
        <w:tc>
          <w:tcPr>
            <w:tcW w:type="dxa" w:w="4320"/>
          </w:tcPr>
          <w:p>
            <w:r>
              <w:t>01</w:t>
            </w:r>
          </w:p>
        </w:tc>
        <w:tc>
          <w:tcPr>
            <w:tcW w:type="dxa" w:w="4320"/>
          </w:tcPr>
          <w:p>
            <w:r>
              <w:t>On-site coaching: 8 hours (orientation and shadowing)</w:t>
            </w:r>
          </w:p>
        </w:tc>
      </w:tr>
      <w:tr>
        <w:tc>
          <w:tcPr>
            <w:tcW w:type="dxa" w:w="4320"/>
          </w:tcPr>
          <w:p>
            <w:r>
              <w:t>02</w:t>
            </w:r>
          </w:p>
        </w:tc>
        <w:tc>
          <w:tcPr>
            <w:tcW w:type="dxa" w:w="4320"/>
          </w:tcPr>
          <w:p>
            <w:r>
              <w:t>On-site coaching: 9 hours (first independent screening/intake)</w:t>
            </w:r>
          </w:p>
        </w:tc>
      </w:tr>
      <w:tr>
        <w:tc>
          <w:tcPr>
            <w:tcW w:type="dxa" w:w="4320"/>
          </w:tcPr>
          <w:p>
            <w:r>
              <w:t>03</w:t>
            </w:r>
          </w:p>
        </w:tc>
        <w:tc>
          <w:tcPr>
            <w:tcW w:type="dxa" w:w="4320"/>
          </w:tcPr>
          <w:p>
            <w:r>
              <w:t>On-site coaching: 9 hours (assessment battery execution)</w:t>
            </w:r>
          </w:p>
        </w:tc>
      </w:tr>
      <w:tr>
        <w:tc>
          <w:tcPr>
            <w:tcW w:type="dxa" w:w="4320"/>
          </w:tcPr>
          <w:p>
            <w:r>
              <w:t>04</w:t>
            </w:r>
          </w:p>
        </w:tc>
        <w:tc>
          <w:tcPr>
            <w:tcW w:type="dxa" w:w="4320"/>
          </w:tcPr>
          <w:p>
            <w:r>
              <w:t>On-site coaching: 9 hours (initial programme delivery)</w:t>
            </w:r>
          </w:p>
        </w:tc>
      </w:tr>
      <w:tr>
        <w:tc>
          <w:tcPr>
            <w:tcW w:type="dxa" w:w="4320"/>
          </w:tcPr>
          <w:p>
            <w:r>
              <w:t>05</w:t>
            </w:r>
          </w:p>
        </w:tc>
        <w:tc>
          <w:tcPr>
            <w:tcW w:type="dxa" w:w="4320"/>
          </w:tcPr>
          <w:p>
            <w:r>
              <w:t>On-site coaching: 9 hours (coaching cue practice)</w:t>
            </w:r>
          </w:p>
        </w:tc>
      </w:tr>
      <w:tr>
        <w:tc>
          <w:tcPr>
            <w:tcW w:type="dxa" w:w="4320"/>
          </w:tcPr>
          <w:p>
            <w:r>
              <w:t>06</w:t>
            </w:r>
          </w:p>
        </w:tc>
        <w:tc>
          <w:tcPr>
            <w:tcW w:type="dxa" w:w="4320"/>
          </w:tcPr>
          <w:p>
            <w:r>
              <w:t>On-site coaching: 9 hours (behaviour-change conversations)</w:t>
            </w:r>
          </w:p>
        </w:tc>
      </w:tr>
      <w:tr>
        <w:tc>
          <w:tcPr>
            <w:tcW w:type="dxa" w:w="4320"/>
          </w:tcPr>
          <w:p>
            <w:r>
              <w:t>07</w:t>
            </w:r>
          </w:p>
        </w:tc>
        <w:tc>
          <w:tcPr>
            <w:tcW w:type="dxa" w:w="4320"/>
          </w:tcPr>
          <w:p>
            <w:r>
              <w:t>On-site coaching: 8 hours (mid-practicum supervisor review)</w:t>
            </w:r>
          </w:p>
        </w:tc>
      </w:tr>
      <w:tr>
        <w:tc>
          <w:tcPr>
            <w:tcW w:type="dxa" w:w="4320"/>
          </w:tcPr>
          <w:p>
            <w:r>
              <w:t>08</w:t>
            </w:r>
          </w:p>
        </w:tc>
        <w:tc>
          <w:tcPr>
            <w:tcW w:type="dxa" w:w="4320"/>
          </w:tcPr>
          <w:p>
            <w:r>
              <w:t>On-site coaching: 9 hours (group-class co-instruction)</w:t>
            </w:r>
          </w:p>
        </w:tc>
      </w:tr>
      <w:tr>
        <w:tc>
          <w:tcPr>
            <w:tcW w:type="dxa" w:w="4320"/>
          </w:tcPr>
          <w:p>
            <w:r>
              <w:t>09</w:t>
            </w:r>
          </w:p>
        </w:tc>
        <w:tc>
          <w:tcPr>
            <w:tcW w:type="dxa" w:w="4320"/>
          </w:tcPr>
          <w:p>
            <w:r>
              <w:t>On-site coaching: 9 hours (special-population client)</w:t>
            </w:r>
          </w:p>
        </w:tc>
      </w:tr>
      <w:tr>
        <w:tc>
          <w:tcPr>
            <w:tcW w:type="dxa" w:w="4320"/>
          </w:tcPr>
          <w:p>
            <w:r>
              <w:t>10</w:t>
            </w:r>
          </w:p>
        </w:tc>
        <w:tc>
          <w:tcPr>
            <w:tcW w:type="dxa" w:w="4320"/>
          </w:tcPr>
          <w:p>
            <w:r>
              <w:t>On-site coaching: 9 hours (outcome re-assessment)</w:t>
            </w:r>
          </w:p>
        </w:tc>
      </w:tr>
      <w:tr>
        <w:tc>
          <w:tcPr>
            <w:tcW w:type="dxa" w:w="4320"/>
          </w:tcPr>
          <w:p>
            <w:r>
              <w:t>11</w:t>
            </w:r>
          </w:p>
        </w:tc>
        <w:tc>
          <w:tcPr>
            <w:tcW w:type="dxa" w:w="4320"/>
          </w:tcPr>
          <w:p>
            <w:r>
              <w:t>On-site coaching: 9 hours (documentation and EHR practice)</w:t>
            </w:r>
          </w:p>
        </w:tc>
      </w:tr>
      <w:tr>
        <w:tc>
          <w:tcPr>
            <w:tcW w:type="dxa" w:w="4320"/>
          </w:tcPr>
          <w:p>
            <w:r>
              <w:t>12</w:t>
            </w:r>
          </w:p>
        </w:tc>
        <w:tc>
          <w:tcPr>
            <w:tcW w:type="dxa" w:w="4320"/>
          </w:tcPr>
          <w:p>
            <w:r>
              <w:t>On-site coaching: 8 hours (referrals and interprofessional handoff)</w:t>
            </w:r>
          </w:p>
        </w:tc>
      </w:tr>
      <w:tr>
        <w:tc>
          <w:tcPr>
            <w:tcW w:type="dxa" w:w="4320"/>
          </w:tcPr>
          <w:p>
            <w:r>
              <w:t>13</w:t>
            </w:r>
          </w:p>
        </w:tc>
        <w:tc>
          <w:tcPr>
            <w:tcW w:type="dxa" w:w="4320"/>
          </w:tcPr>
          <w:p>
            <w:r>
              <w:t>On-site coaching: 8 hours (emergency drill and incident-report)</w:t>
            </w:r>
          </w:p>
        </w:tc>
      </w:tr>
      <w:tr>
        <w:tc>
          <w:tcPr>
            <w:tcW w:type="dxa" w:w="4320"/>
          </w:tcPr>
          <w:p>
            <w:r>
              <w:t>14</w:t>
            </w:r>
          </w:p>
        </w:tc>
        <w:tc>
          <w:tcPr>
            <w:tcW w:type="dxa" w:w="4320"/>
          </w:tcPr>
          <w:p>
            <w:r>
              <w:t>On-site coaching: 7 hours (final case wrap-up); 120 hours total</w:t>
            </w:r>
          </w:p>
        </w:tc>
      </w:tr>
    </w:tbl>
    <w:p/>
    <w:p>
      <w:pPr/>
      <w:r>
        <w:rPr>
          <w:b/>
        </w:rPr>
        <w:t>Laboratory and/or Computing/Digital Resources</w:t>
      </w:r>
    </w:p>
    <w:p>
      <w:pPr/>
      <w:r>
        <w:t>KU Sports Center and partner-site facilities (Fitness First UAE, Gold's Gym Abu Dhabi, Cleveland Clinic Abu Dhabi Wellness, corporate wellness partners); client-management software (Trainerize, MyFitnessPal Coach); ePortfolio platform (PebblePad or LinkedIn Learning); standardized KU session-log forms; supervisor-rubric documentation; and Blackboard LMS.</w:t>
      </w:r>
    </w:p>
    <w:p/>
    <w:p>
      <w:pPr/>
      <w:r>
        <w:rPr>
          <w:b/>
        </w:rPr>
        <w:t>Course Learning Outcomes (CLO) and Contributions Program Level BSc Clinical Nutrition and Dietetics Program Learning Outcomes (PLO)*:</w:t>
      </w:r>
    </w:p>
    <w:p>
      <w:pPr/>
      <w:r>
        <w:t>*PLOs can be found in the academic catalog</w:t>
      </w:r>
    </w:p>
    <w:p>
      <w:pPr/>
      <w:r>
        <w:t>#Emphasis level: H: High; M: Medium; L: Low; N: Nothing specific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CLOs</w:t>
            </w:r>
          </w:p>
        </w:tc>
        <w:tc>
          <w:tcPr>
            <w:tcW w:type="dxa" w:w="2160"/>
          </w:tcPr>
          <w:p>
            <w:r>
              <w:rPr>
                <w:b/>
              </w:rPr>
              <w:t>PLOs</w:t>
            </w:r>
          </w:p>
        </w:tc>
        <w:tc>
          <w:tcPr>
            <w:tcW w:type="dxa" w:w="2160"/>
          </w:tcPr>
          <w:p>
            <w:r>
              <w:rPr>
                <w:b/>
              </w:rPr>
              <w:t>Emphasis Level#</w:t>
            </w:r>
          </w:p>
        </w:tc>
      </w:tr>
      <w:tr>
        <w:tc>
          <w:tcPr>
            <w:tcW w:type="dxa" w:w="2160"/>
          </w:tcPr>
          <w:p>
            <w:r>
              <w:t>1</w:t>
            </w:r>
          </w:p>
        </w:tc>
        <w:tc>
          <w:tcPr>
            <w:tcW w:type="dxa" w:w="2160"/>
          </w:tcPr>
          <w:p>
            <w:r>
              <w:t>Conduct ethical and safe fitness assessments on real clients in compliance with ACSM and REPs UAE professional standards</w:t>
            </w:r>
          </w:p>
        </w:tc>
        <w:tc>
          <w:tcPr>
            <w:tcW w:type="dxa" w:w="2160"/>
          </w:tcPr>
          <w:p>
            <w:r>
              <w:t>1, 5</w:t>
            </w:r>
          </w:p>
        </w:tc>
        <w:tc>
          <w:tcPr>
            <w:tcW w:type="dxa" w:w="2160"/>
          </w:tcPr>
          <w:p>
            <w:r>
              <w:t>H, H</w:t>
            </w:r>
          </w:p>
        </w:tc>
      </w:tr>
      <w:tr>
        <w:tc>
          <w:tcPr>
            <w:tcW w:type="dxa" w:w="2160"/>
          </w:tcPr>
          <w:p>
            <w:r>
              <w:t>2</w:t>
            </w:r>
          </w:p>
        </w:tc>
        <w:tc>
          <w:tcPr>
            <w:tcW w:type="dxa" w:w="2160"/>
          </w:tcPr>
          <w:p>
            <w:r>
              <w:t>Design and adjust individualized exercise programmes for at least three clients of varying ability and goals</w:t>
            </w:r>
          </w:p>
        </w:tc>
        <w:tc>
          <w:tcPr>
            <w:tcW w:type="dxa" w:w="2160"/>
          </w:tcPr>
          <w:p>
            <w:r>
              <w:t>2</w:t>
            </w:r>
          </w:p>
        </w:tc>
        <w:tc>
          <w:tcPr>
            <w:tcW w:type="dxa" w:w="2160"/>
          </w:tcPr>
          <w:p>
            <w:r>
              <w:t>H</w:t>
            </w:r>
          </w:p>
        </w:tc>
      </w:tr>
      <w:tr>
        <w:tc>
          <w:tcPr>
            <w:tcW w:type="dxa" w:w="2160"/>
          </w:tcPr>
          <w:p>
            <w:r>
              <w:t>3</w:t>
            </w:r>
          </w:p>
        </w:tc>
        <w:tc>
          <w:tcPr>
            <w:tcW w:type="dxa" w:w="2160"/>
          </w:tcPr>
          <w:p>
            <w:r>
              <w:t>Deliver coaching sessions using evidence-based cueing, spotting, and behaviour-change techniques</w:t>
            </w:r>
          </w:p>
        </w:tc>
        <w:tc>
          <w:tcPr>
            <w:tcW w:type="dxa" w:w="2160"/>
          </w:tcPr>
          <w:p>
            <w:r>
              <w:t>2, 4</w:t>
            </w:r>
          </w:p>
        </w:tc>
        <w:tc>
          <w:tcPr>
            <w:tcW w:type="dxa" w:w="2160"/>
          </w:tcPr>
          <w:p>
            <w:r>
              <w:t>H, H</w:t>
            </w:r>
          </w:p>
        </w:tc>
      </w:tr>
      <w:tr>
        <w:tc>
          <w:tcPr>
            <w:tcW w:type="dxa" w:w="2160"/>
          </w:tcPr>
          <w:p>
            <w:r>
              <w:t>4</w:t>
            </w:r>
          </w:p>
        </w:tc>
        <w:tc>
          <w:tcPr>
            <w:tcW w:type="dxa" w:w="2160"/>
          </w:tcPr>
          <w:p>
            <w:r>
              <w:t>Document client sessions in compliance with Department of Health–Abu Dhabi and REPs UAE professional standards</w:t>
            </w:r>
          </w:p>
        </w:tc>
        <w:tc>
          <w:tcPr>
            <w:tcW w:type="dxa" w:w="2160"/>
          </w:tcPr>
          <w:p>
            <w:r>
              <w:t>4, 5</w:t>
            </w:r>
          </w:p>
        </w:tc>
        <w:tc>
          <w:tcPr>
            <w:tcW w:type="dxa" w:w="2160"/>
          </w:tcPr>
          <w:p>
            <w:r>
              <w:t>H, H</w:t>
            </w:r>
          </w:p>
        </w:tc>
      </w:tr>
      <w:tr>
        <w:tc>
          <w:tcPr>
            <w:tcW w:type="dxa" w:w="2160"/>
          </w:tcPr>
          <w:p>
            <w:r>
              <w:t>5</w:t>
            </w:r>
          </w:p>
        </w:tc>
        <w:tc>
          <w:tcPr>
            <w:tcW w:type="dxa" w:w="2160"/>
          </w:tcPr>
          <w:p>
            <w:r>
              <w:t>Reflect critically on coaching practice using a structured reflective-practice model</w:t>
            </w:r>
          </w:p>
        </w:tc>
        <w:tc>
          <w:tcPr>
            <w:tcW w:type="dxa" w:w="2160"/>
          </w:tcPr>
          <w:p>
            <w:r>
              <w:t>4, 5</w:t>
            </w:r>
          </w:p>
        </w:tc>
        <w:tc>
          <w:tcPr>
            <w:tcW w:type="dxa" w:w="2160"/>
          </w:tcPr>
          <w:p>
            <w:r>
              <w:t>M, H</w:t>
            </w:r>
          </w:p>
        </w:tc>
      </w:tr>
    </w:tbl>
    <w:p/>
    <w:p>
      <w:pPr/>
      <w:r>
        <w:rPr>
          <w:b/>
        </w:rPr>
        <w:t>Assessment</w:t>
      </w:r>
    </w:p>
    <w:p>
      <w:pPr/>
      <w:r>
        <w:t>All course learning outcomes are assessed using the following assessment tools.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Assessment Instruments</w:t>
            </w:r>
          </w:p>
        </w:tc>
        <w:tc>
          <w:tcPr>
            <w:tcW w:type="dxa" w:w="2160"/>
          </w:tcPr>
          <w:p>
            <w:r>
              <w:rPr>
                <w:b/>
              </w:rPr>
              <w:t>Contribution to Course Grade (%)</w:t>
            </w:r>
          </w:p>
        </w:tc>
        <w:tc>
          <w:tcPr>
            <w:tcW w:type="dxa" w:w="2160"/>
          </w:tcPr>
          <w:p>
            <w:r>
              <w:rPr>
                <w:b/>
              </w:rPr>
              <w:t>Week #</w:t>
            </w:r>
          </w:p>
        </w:tc>
        <w:tc>
          <w:tcPr>
            <w:tcW w:type="dxa" w:w="2160"/>
          </w:tcPr>
          <w:p>
            <w:r>
              <w:rPr>
                <w:b/>
              </w:rPr>
              <w:t>CLO(s)</w:t>
            </w:r>
          </w:p>
        </w:tc>
      </w:tr>
      <w:tr>
        <w:tc>
          <w:tcPr>
            <w:tcW w:type="dxa" w:w="2160"/>
          </w:tcPr>
          <w:p>
            <w:r>
              <w:t>Weekly Session Logs</w:t>
            </w:r>
          </w:p>
        </w:tc>
        <w:tc>
          <w:tcPr>
            <w:tcW w:type="dxa" w:w="2160"/>
          </w:tcPr>
          <w:p>
            <w:r>
              <w:t>15%</w:t>
            </w:r>
          </w:p>
        </w:tc>
        <w:tc>
          <w:tcPr>
            <w:tcW w:type="dxa" w:w="2160"/>
          </w:tcPr>
          <w:p>
            <w:r>
              <w:t>1–14</w:t>
            </w:r>
          </w:p>
        </w:tc>
        <w:tc>
          <w:tcPr>
            <w:tcW w:type="dxa" w:w="2160"/>
          </w:tcPr>
          <w:p>
            <w:r>
              <w:t>1, 2, 4</w:t>
            </w:r>
          </w:p>
        </w:tc>
      </w:tr>
      <w:tr>
        <w:tc>
          <w:tcPr>
            <w:tcW w:type="dxa" w:w="2160"/>
          </w:tcPr>
          <w:p>
            <w:r>
              <w:t>Mid-Practicum Site Supervisor Evaluation</w:t>
            </w:r>
          </w:p>
        </w:tc>
        <w:tc>
          <w:tcPr>
            <w:tcW w:type="dxa" w:w="2160"/>
          </w:tcPr>
          <w:p>
            <w:r>
              <w:t>15%</w:t>
            </w:r>
          </w:p>
        </w:tc>
        <w:tc>
          <w:tcPr>
            <w:tcW w:type="dxa" w:w="2160"/>
          </w:tcPr>
          <w:p>
            <w:r>
              <w:t>7</w:t>
            </w:r>
          </w:p>
        </w:tc>
        <w:tc>
          <w:tcPr>
            <w:tcW w:type="dxa" w:w="2160"/>
          </w:tcPr>
          <w:p>
            <w:r>
              <w:t>1, 2, 3, 4</w:t>
            </w:r>
          </w:p>
        </w:tc>
      </w:tr>
      <w:tr>
        <w:tc>
          <w:tcPr>
            <w:tcW w:type="dxa" w:w="2160"/>
          </w:tcPr>
          <w:p>
            <w:r>
              <w:t>Reflective Seminar Participation</w:t>
            </w:r>
          </w:p>
        </w:tc>
        <w:tc>
          <w:tcPr>
            <w:tcW w:type="dxa" w:w="2160"/>
          </w:tcPr>
          <w:p>
            <w:r>
              <w:t>10%</w:t>
            </w:r>
          </w:p>
        </w:tc>
        <w:tc>
          <w:tcPr>
            <w:tcW w:type="dxa" w:w="2160"/>
          </w:tcPr>
          <w:p>
            <w:r>
              <w:t>1–14</w:t>
            </w:r>
          </w:p>
        </w:tc>
        <w:tc>
          <w:tcPr>
            <w:tcW w:type="dxa" w:w="2160"/>
          </w:tcPr>
          <w:p>
            <w:r>
              <w:t>5</w:t>
            </w:r>
          </w:p>
        </w:tc>
      </w:tr>
      <w:tr>
        <w:tc>
          <w:tcPr>
            <w:tcW w:type="dxa" w:w="2160"/>
          </w:tcPr>
          <w:p>
            <w:r>
              <w:t>Client Programme Portfolio</w:t>
            </w:r>
          </w:p>
        </w:tc>
        <w:tc>
          <w:tcPr>
            <w:tcW w:type="dxa" w:w="2160"/>
          </w:tcPr>
          <w:p>
            <w:r>
              <w:t>15%</w:t>
            </w:r>
          </w:p>
        </w:tc>
        <w:tc>
          <w:tcPr>
            <w:tcW w:type="dxa" w:w="2160"/>
          </w:tcPr>
          <w:p>
            <w:r>
              <w:t>10</w:t>
            </w:r>
          </w:p>
        </w:tc>
        <w:tc>
          <w:tcPr>
            <w:tcW w:type="dxa" w:w="2160"/>
          </w:tcPr>
          <w:p>
            <w:r>
              <w:t>2</w:t>
            </w:r>
          </w:p>
        </w:tc>
      </w:tr>
      <w:tr>
        <w:tc>
          <w:tcPr>
            <w:tcW w:type="dxa" w:w="2160"/>
          </w:tcPr>
          <w:p>
            <w:r>
              <w:t>Final Site Supervisor Evaluation</w:t>
            </w:r>
          </w:p>
        </w:tc>
        <w:tc>
          <w:tcPr>
            <w:tcW w:type="dxa" w:w="2160"/>
          </w:tcPr>
          <w:p>
            <w:r>
              <w:t>20%</w:t>
            </w:r>
          </w:p>
        </w:tc>
        <w:tc>
          <w:tcPr>
            <w:tcW w:type="dxa" w:w="2160"/>
          </w:tcPr>
          <w:p>
            <w:r>
              <w:t>14</w:t>
            </w:r>
          </w:p>
        </w:tc>
        <w:tc>
          <w:tcPr>
            <w:tcW w:type="dxa" w:w="2160"/>
          </w:tcPr>
          <w:p>
            <w:r>
              <w:t>1, 2, 3, 4</w:t>
            </w:r>
          </w:p>
        </w:tc>
      </w:tr>
      <w:tr>
        <w:tc>
          <w:tcPr>
            <w:tcW w:type="dxa" w:w="2160"/>
          </w:tcPr>
          <w:p>
            <w:r>
              <w:t>Final Case Presentation &amp; ePortfolio Defense</w:t>
            </w:r>
          </w:p>
        </w:tc>
        <w:tc>
          <w:tcPr>
            <w:tcW w:type="dxa" w:w="2160"/>
          </w:tcPr>
          <w:p>
            <w:r>
              <w:t>25%</w:t>
            </w:r>
          </w:p>
        </w:tc>
        <w:tc>
          <w:tcPr>
            <w:tcW w:type="dxa" w:w="2160"/>
          </w:tcPr>
          <w:p>
            <w:r>
              <w:t>14</w:t>
            </w:r>
          </w:p>
        </w:tc>
        <w:tc>
          <w:tcPr>
            <w:tcW w:type="dxa" w:w="2160"/>
          </w:tcPr>
          <w:p>
            <w:r>
              <w:t>1, 2, 3, 4, 5</w:t>
            </w:r>
          </w:p>
        </w:tc>
      </w:tr>
    </w:tbl>
    <w:p/>
    <w:p>
      <w:pPr/>
      <w:r>
        <w:rPr>
          <w:b/>
        </w:rPr>
        <w:t>Grading Scheme</w:t>
      </w:r>
    </w:p>
    <w:p>
      <w:pPr/>
      <w:r>
        <w:t>The official Khalifa University grading system uses letter grades with pluses and minuses. Passing grades range from A to D; F is failing. Each letter grade is assigned a grade point on a four-point scale, used to calculate the semester and cumulative grade point average (GPA).</w:t>
      </w:r>
    </w:p>
    <w:p>
      <w:pPr>
        <w:pStyle w:val="NoSpacing"/>
      </w:pPr>
      <w:r>
        <w:t>For undergraduate programs: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Letter Grade</w:t>
            </w:r>
          </w:p>
        </w:tc>
        <w:tc>
          <w:tcPr>
            <w:tcW w:type="dxa" w:w="2160"/>
          </w:tcPr>
          <w:p>
            <w:r>
              <w:rPr>
                <w:b/>
              </w:rPr>
              <w:t>Grade Point</w:t>
            </w:r>
          </w:p>
        </w:tc>
        <w:tc>
          <w:tcPr>
            <w:tcW w:type="dxa" w:w="2160"/>
          </w:tcPr>
          <w:p>
            <w:r>
              <w:rPr>
                <w:b/>
              </w:rPr>
              <w:t>Grade Range</w:t>
            </w:r>
          </w:p>
        </w:tc>
        <w:tc>
          <w:tcPr>
            <w:tcW w:type="dxa" w:w="2160"/>
          </w:tcPr>
          <w:p>
            <w:r>
              <w:rPr>
                <w:b/>
              </w:rPr>
              <w:t>Description</w:t>
            </w:r>
          </w:p>
        </w:tc>
      </w:tr>
      <w:tr>
        <w:tc>
          <w:tcPr>
            <w:tcW w:type="dxa" w:w="2160"/>
          </w:tcPr>
          <w:p>
            <w:r>
              <w:t>A</w:t>
            </w:r>
          </w:p>
        </w:tc>
        <w:tc>
          <w:tcPr>
            <w:tcW w:type="dxa" w:w="2160"/>
          </w:tcPr>
          <w:p>
            <w:r>
              <w:t>4.00</w:t>
            </w:r>
          </w:p>
        </w:tc>
        <w:tc>
          <w:tcPr>
            <w:tcW w:type="dxa" w:w="2160"/>
          </w:tcPr>
          <w:p>
            <w:r>
              <w:t>From 92.5% to 100%</w:t>
            </w:r>
          </w:p>
        </w:tc>
        <w:tc>
          <w:tcPr>
            <w:tcW w:type="dxa" w:w="2160"/>
          </w:tcPr>
          <w:p>
            <w:r>
              <w:t>Excellent</w:t>
            </w:r>
          </w:p>
        </w:tc>
      </w:tr>
      <w:tr>
        <w:tc>
          <w:tcPr>
            <w:tcW w:type="dxa" w:w="2160"/>
          </w:tcPr>
          <w:p>
            <w:r>
              <w:t>A-</w:t>
            </w:r>
          </w:p>
        </w:tc>
        <w:tc>
          <w:tcPr>
            <w:tcW w:type="dxa" w:w="2160"/>
          </w:tcPr>
          <w:p>
            <w:r>
              <w:t>3.70</w:t>
            </w:r>
          </w:p>
        </w:tc>
        <w:tc>
          <w:tcPr>
            <w:tcW w:type="dxa" w:w="2160"/>
          </w:tcPr>
          <w:p>
            <w:r>
              <w:t>From 89.5% to less than 92.5%</w:t>
            </w:r>
          </w:p>
        </w:tc>
        <w:tc>
          <w:tcPr>
            <w:tcW w:type="dxa" w:w="2160"/>
          </w:tcPr>
          <w:p>
            <w:r>
              <w:t>Very Good</w:t>
            </w:r>
          </w:p>
        </w:tc>
      </w:tr>
      <w:tr>
        <w:tc>
          <w:tcPr>
            <w:tcW w:type="dxa" w:w="2160"/>
          </w:tcPr>
          <w:p>
            <w:r>
              <w:t>B+</w:t>
            </w:r>
          </w:p>
        </w:tc>
        <w:tc>
          <w:tcPr>
            <w:tcW w:type="dxa" w:w="2160"/>
          </w:tcPr>
          <w:p>
            <w:r>
              <w:t>3.30</w:t>
            </w:r>
          </w:p>
        </w:tc>
        <w:tc>
          <w:tcPr>
            <w:tcW w:type="dxa" w:w="2160"/>
          </w:tcPr>
          <w:p>
            <w:r>
              <w:t>From 86.5% to less than 89.5%</w:t>
            </w:r>
          </w:p>
        </w:tc>
        <w:tc>
          <w:tcPr>
            <w:tcW w:type="dxa" w:w="2160"/>
          </w:tcPr>
          <w:p>
            <w:r>
              <w:t>Very Good</w:t>
            </w:r>
          </w:p>
        </w:tc>
      </w:tr>
      <w:tr>
        <w:tc>
          <w:tcPr>
            <w:tcW w:type="dxa" w:w="2160"/>
          </w:tcPr>
          <w:p>
            <w:r>
              <w:t>B</w:t>
            </w:r>
          </w:p>
        </w:tc>
        <w:tc>
          <w:tcPr>
            <w:tcW w:type="dxa" w:w="2160"/>
          </w:tcPr>
          <w:p>
            <w:r>
              <w:t>3.00</w:t>
            </w:r>
          </w:p>
        </w:tc>
        <w:tc>
          <w:tcPr>
            <w:tcW w:type="dxa" w:w="2160"/>
          </w:tcPr>
          <w:p>
            <w:r>
              <w:t>From 82.5% to less than 86.5%</w:t>
            </w:r>
          </w:p>
        </w:tc>
        <w:tc>
          <w:tcPr>
            <w:tcW w:type="dxa" w:w="2160"/>
          </w:tcPr>
          <w:p>
            <w:r>
              <w:t>Good</w:t>
            </w:r>
          </w:p>
        </w:tc>
      </w:tr>
      <w:tr>
        <w:tc>
          <w:tcPr>
            <w:tcW w:type="dxa" w:w="2160"/>
          </w:tcPr>
          <w:p>
            <w:r>
              <w:t>B-</w:t>
            </w:r>
          </w:p>
        </w:tc>
        <w:tc>
          <w:tcPr>
            <w:tcW w:type="dxa" w:w="2160"/>
          </w:tcPr>
          <w:p>
            <w:r>
              <w:t>2.70</w:t>
            </w:r>
          </w:p>
        </w:tc>
        <w:tc>
          <w:tcPr>
            <w:tcW w:type="dxa" w:w="2160"/>
          </w:tcPr>
          <w:p>
            <w:r>
              <w:t>From 79.5% to less than 82.5%</w:t>
            </w:r>
          </w:p>
        </w:tc>
        <w:tc>
          <w:tcPr>
            <w:tcW w:type="dxa" w:w="2160"/>
          </w:tcPr>
          <w:p>
            <w:r>
              <w:t>Good</w:t>
            </w:r>
          </w:p>
        </w:tc>
      </w:tr>
      <w:tr>
        <w:tc>
          <w:tcPr>
            <w:tcW w:type="dxa" w:w="2160"/>
          </w:tcPr>
          <w:p>
            <w:r>
              <w:t>C+</w:t>
            </w:r>
          </w:p>
        </w:tc>
        <w:tc>
          <w:tcPr>
            <w:tcW w:type="dxa" w:w="2160"/>
          </w:tcPr>
          <w:p>
            <w:r>
              <w:t>2.30</w:t>
            </w:r>
          </w:p>
        </w:tc>
        <w:tc>
          <w:tcPr>
            <w:tcW w:type="dxa" w:w="2160"/>
          </w:tcPr>
          <w:p>
            <w:r>
              <w:t>From 76.5% to less than 79.5%</w:t>
            </w:r>
          </w:p>
        </w:tc>
        <w:tc>
          <w:tcPr>
            <w:tcW w:type="dxa" w:w="2160"/>
          </w:tcPr>
          <w:p>
            <w:r>
              <w:t>Satisfactory</w:t>
            </w:r>
          </w:p>
        </w:tc>
      </w:tr>
      <w:tr>
        <w:tc>
          <w:tcPr>
            <w:tcW w:type="dxa" w:w="2160"/>
          </w:tcPr>
          <w:p>
            <w:r>
              <w:t>C</w:t>
            </w:r>
          </w:p>
        </w:tc>
        <w:tc>
          <w:tcPr>
            <w:tcW w:type="dxa" w:w="2160"/>
          </w:tcPr>
          <w:p>
            <w:r>
              <w:t>2.00</w:t>
            </w:r>
          </w:p>
        </w:tc>
        <w:tc>
          <w:tcPr>
            <w:tcW w:type="dxa" w:w="2160"/>
          </w:tcPr>
          <w:p>
            <w:r>
              <w:t>From 72.5% to less than 76.5%</w:t>
            </w:r>
          </w:p>
        </w:tc>
        <w:tc>
          <w:tcPr>
            <w:tcW w:type="dxa" w:w="2160"/>
          </w:tcPr>
          <w:p>
            <w:r>
              <w:t>Satisfactory</w:t>
            </w:r>
          </w:p>
        </w:tc>
      </w:tr>
      <w:tr>
        <w:tc>
          <w:tcPr>
            <w:tcW w:type="dxa" w:w="2160"/>
          </w:tcPr>
          <w:p>
            <w:r>
              <w:t>C-</w:t>
            </w:r>
          </w:p>
        </w:tc>
        <w:tc>
          <w:tcPr>
            <w:tcW w:type="dxa" w:w="2160"/>
          </w:tcPr>
          <w:p>
            <w:r>
              <w:t>1.70</w:t>
            </w:r>
          </w:p>
        </w:tc>
        <w:tc>
          <w:tcPr>
            <w:tcW w:type="dxa" w:w="2160"/>
          </w:tcPr>
          <w:p>
            <w:r>
              <w:t>From 69.5% to less than 72.5%</w:t>
            </w:r>
          </w:p>
        </w:tc>
        <w:tc>
          <w:tcPr>
            <w:tcW w:type="dxa" w:w="2160"/>
          </w:tcPr>
          <w:p>
            <w:r>
              <w:t>Less than Satisfactory</w:t>
            </w:r>
          </w:p>
        </w:tc>
      </w:tr>
      <w:tr>
        <w:tc>
          <w:tcPr>
            <w:tcW w:type="dxa" w:w="2160"/>
          </w:tcPr>
          <w:p>
            <w:r>
              <w:t>D</w:t>
            </w:r>
          </w:p>
        </w:tc>
        <w:tc>
          <w:tcPr>
            <w:tcW w:type="dxa" w:w="2160"/>
          </w:tcPr>
          <w:p>
            <w:r>
              <w:t>1.00</w:t>
            </w:r>
          </w:p>
        </w:tc>
        <w:tc>
          <w:tcPr>
            <w:tcW w:type="dxa" w:w="2160"/>
          </w:tcPr>
          <w:p>
            <w:r>
              <w:t>From 59.5% to less than 69.5%</w:t>
            </w:r>
          </w:p>
        </w:tc>
        <w:tc>
          <w:tcPr>
            <w:tcW w:type="dxa" w:w="2160"/>
          </w:tcPr>
          <w:p>
            <w:r>
              <w:t>Poor</w:t>
            </w:r>
          </w:p>
        </w:tc>
      </w:tr>
      <w:tr>
        <w:tc>
          <w:tcPr>
            <w:tcW w:type="dxa" w:w="2160"/>
          </w:tcPr>
          <w:p>
            <w:r>
              <w:t>F</w:t>
            </w:r>
          </w:p>
        </w:tc>
        <w:tc>
          <w:tcPr>
            <w:tcW w:type="dxa" w:w="2160"/>
          </w:tcPr>
          <w:p>
            <w:r>
              <w:t>0.00</w:t>
            </w:r>
          </w:p>
        </w:tc>
        <w:tc>
          <w:tcPr>
            <w:tcW w:type="dxa" w:w="2160"/>
          </w:tcPr>
          <w:p>
            <w:r>
              <w:t>Less than 59.5%</w:t>
            </w:r>
          </w:p>
        </w:tc>
        <w:tc>
          <w:tcPr>
            <w:tcW w:type="dxa" w:w="2160"/>
          </w:tcPr>
          <w:p>
            <w:r>
              <w:t>Fail</w:t>
            </w:r>
          </w:p>
        </w:tc>
      </w:tr>
    </w:tbl>
    <w:p/>
    <w:p>
      <w:pPr>
        <w:pStyle w:val="NoSpacing"/>
      </w:pPr>
      <w:r>
        <w:rPr>
          <w:b/>
        </w:rPr>
        <w:t>Academic Integrity Statement</w:t>
      </w:r>
    </w:p>
    <w:p>
      <w:pPr>
        <w:pStyle w:val="NoSpacing"/>
      </w:pPr>
      <w:r>
        <w:t>"As a Khalifa University student, I will not lie, cheat, steal, or use any unfair means in academic work and will behave according to university rules and UAE societal norms and expectations." Refer to the Student Code of Conduct for further details.</w:t>
      </w:r>
    </w:p>
    <w:p/>
    <w:p>
      <w:pPr>
        <w:pStyle w:val="NoSpacing"/>
      </w:pPr>
      <w:r>
        <w:rPr>
          <w:b/>
        </w:rPr>
        <w:t>Copyright and Plagiarism</w:t>
      </w:r>
    </w:p>
    <w:p>
      <w:pPr>
        <w:pStyle w:val="NoSpacing"/>
      </w:pPr>
      <w:r>
        <w:t>All students must adhere to the university's policies on copyright and plagiarism, including the ethical use of generative AI tools. Any use of AI-generated content must be properly attributed and must comply with the course instructor's permitted-use guidelines. Unauthorized use of copyrighted materials or undisclosed AI assistance constitutes academic misconduct and is subject to disciplinary action under the Student Code of Conduct.</w:t>
      </w:r>
    </w:p>
    <w:p/>
    <w:p>
      <w:pPr>
        <w:pStyle w:val="NoSpacing"/>
      </w:pPr>
      <w:r>
        <w:t>This syllabus must be augmented by a syllabus supplement for students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