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B654" w14:textId="47AD3490" w:rsidR="00052703" w:rsidRPr="00160701" w:rsidRDefault="00052703" w:rsidP="00052703">
      <w:pPr>
        <w:rPr>
          <w:rFonts w:ascii="Cambria" w:hAnsi="Cambria"/>
          <w:b/>
          <w:bCs/>
        </w:rPr>
      </w:pPr>
      <w:r w:rsidRPr="00160701">
        <w:rPr>
          <w:rFonts w:ascii="Cambria" w:hAnsi="Cambria"/>
          <w:b/>
          <w:bCs/>
        </w:rPr>
        <w:t>Introduction</w:t>
      </w:r>
    </w:p>
    <w:p w14:paraId="57D23F53" w14:textId="345DF683" w:rsidR="00052703" w:rsidRPr="00160701" w:rsidRDefault="00052703" w:rsidP="00052703">
      <w:pPr>
        <w:rPr>
          <w:rFonts w:ascii="Cambria" w:hAnsi="Cambria"/>
        </w:rPr>
      </w:pPr>
      <w:r w:rsidRPr="00160701">
        <w:rPr>
          <w:rFonts w:ascii="Cambria" w:hAnsi="Cambria"/>
        </w:rPr>
        <w:t xml:space="preserve">The island of Oahu, Honolulu County is home to approximately </w:t>
      </w:r>
      <w:r w:rsidR="00A55751">
        <w:rPr>
          <w:rFonts w:ascii="Cambria" w:hAnsi="Cambria"/>
        </w:rPr>
        <w:t>887,000</w:t>
      </w:r>
      <w:r w:rsidRPr="00160701">
        <w:rPr>
          <w:rFonts w:ascii="Cambria" w:hAnsi="Cambria"/>
        </w:rPr>
        <w:t xml:space="preserve"> residents concentrated in low-lying coastal areas. The island faces significant floor risk from multiple sources, including coastal inundation during storm surge events, sea level rise, and riverine flooding from the islands vast inland steam and waterway networks. Understanding where flood risk concentrates and how many people are exposed is essential for urban resilience planning and emergency management. </w:t>
      </w:r>
    </w:p>
    <w:p w14:paraId="657513EA" w14:textId="537B9658" w:rsidR="00052703" w:rsidRPr="00160701" w:rsidRDefault="00052703" w:rsidP="00052703">
      <w:pPr>
        <w:rPr>
          <w:rFonts w:ascii="Cambria" w:hAnsi="Cambria"/>
        </w:rPr>
      </w:pPr>
      <w:r w:rsidRPr="00160701">
        <w:rPr>
          <w:rFonts w:ascii="Cambria" w:hAnsi="Cambria"/>
        </w:rPr>
        <w:t>This analysis develops a composite flood risk model for Oahu that combines elevation data and proximity to inland waterways. The model identifies flood-prone areas and estimates population exposure across 7</w:t>
      </w:r>
      <w:r w:rsidR="00FF5F94">
        <w:rPr>
          <w:rFonts w:ascii="Cambria" w:hAnsi="Cambria"/>
        </w:rPr>
        <w:t>0</w:t>
      </w:r>
      <w:r w:rsidR="002211FF">
        <w:rPr>
          <w:rFonts w:ascii="Cambria" w:hAnsi="Cambria"/>
        </w:rPr>
        <w:t>3</w:t>
      </w:r>
      <w:r w:rsidRPr="00160701">
        <w:rPr>
          <w:rFonts w:ascii="Cambria" w:hAnsi="Cambria"/>
        </w:rPr>
        <w:t xml:space="preserve"> census block groups. The results provide actionable insights for policymakers, emergency managers, and community stakeholder working to reduce flood vulnerability. </w:t>
      </w:r>
    </w:p>
    <w:p w14:paraId="7F1E28F9" w14:textId="373B1D97" w:rsidR="00052703" w:rsidRPr="00160701" w:rsidRDefault="00052703" w:rsidP="00052703">
      <w:pPr>
        <w:rPr>
          <w:rFonts w:ascii="Cambria" w:hAnsi="Cambria"/>
        </w:rPr>
      </w:pPr>
      <w:r w:rsidRPr="00160701">
        <w:rPr>
          <w:rFonts w:ascii="Cambria" w:hAnsi="Cambria"/>
        </w:rPr>
        <w:t xml:space="preserve">As someone who grew up on Oahu, I have witnessed how flooding affects islands communities – from flash floods to beaches inundated during high surf events. This personal connection motivated my selection of Honolulu County as the study area. </w:t>
      </w:r>
    </w:p>
    <w:p w14:paraId="005D2C67" w14:textId="77777777" w:rsidR="00160701" w:rsidRPr="00160701" w:rsidRDefault="00160701" w:rsidP="00052703">
      <w:pPr>
        <w:rPr>
          <w:rFonts w:ascii="Cambria" w:hAnsi="Cambria"/>
          <w:b/>
          <w:bCs/>
        </w:rPr>
      </w:pPr>
    </w:p>
    <w:p w14:paraId="0C8D679B" w14:textId="7931A393" w:rsidR="00052703" w:rsidRPr="00160701" w:rsidRDefault="00052703" w:rsidP="00052703">
      <w:pPr>
        <w:rPr>
          <w:rFonts w:ascii="Cambria" w:hAnsi="Cambria"/>
          <w:b/>
          <w:bCs/>
        </w:rPr>
      </w:pPr>
      <w:r w:rsidRPr="00160701">
        <w:rPr>
          <w:rFonts w:ascii="Cambria" w:hAnsi="Cambria"/>
          <w:b/>
          <w:bCs/>
        </w:rPr>
        <w:t>Methodology</w:t>
      </w:r>
    </w:p>
    <w:p w14:paraId="196131B7" w14:textId="77777777" w:rsidR="00052703" w:rsidRPr="00160701" w:rsidRDefault="00052703" w:rsidP="00052703">
      <w:pPr>
        <w:rPr>
          <w:rFonts w:ascii="Cambria" w:hAnsi="Cambria"/>
          <w:u w:val="single"/>
        </w:rPr>
      </w:pPr>
      <w:r w:rsidRPr="00160701">
        <w:rPr>
          <w:rFonts w:ascii="Cambria" w:hAnsi="Cambria"/>
          <w:u w:val="single"/>
        </w:rPr>
        <w:t>Data Sources</w:t>
      </w:r>
    </w:p>
    <w:p w14:paraId="5D186D6F" w14:textId="380BB731" w:rsidR="00052703" w:rsidRPr="00160701" w:rsidRDefault="00052703" w:rsidP="00052703">
      <w:pPr>
        <w:rPr>
          <w:rFonts w:ascii="Cambria" w:hAnsi="Cambria"/>
        </w:rPr>
      </w:pPr>
      <w:r w:rsidRPr="00160701">
        <w:rPr>
          <w:rFonts w:ascii="Cambria" w:hAnsi="Cambria"/>
        </w:rPr>
        <w:t>The analysis integrates three primary data sources. Elevation data comes from the USGS 3D Elevation Program (3DEP), providing a digital elevation model at approximately 1-meter native resolution, resampled to 10 meters for computational efficiency. Hydrological features were obtained from the USGS National Hydrography Dataset (NHD), including 2,340 stream and river segments. Demographic data comes from US Census Bureau TIGER/Line shapefiles for census block group boundaries and the American Community Survey 2020 5-year estimates for population counts.</w:t>
      </w:r>
    </w:p>
    <w:p w14:paraId="69C29B13" w14:textId="77777777" w:rsidR="00052703" w:rsidRPr="00160701" w:rsidRDefault="00052703" w:rsidP="00052703">
      <w:pPr>
        <w:rPr>
          <w:rFonts w:ascii="Cambria" w:hAnsi="Cambria"/>
          <w:u w:val="single"/>
        </w:rPr>
      </w:pPr>
      <w:r w:rsidRPr="00160701">
        <w:rPr>
          <w:rFonts w:ascii="Cambria" w:hAnsi="Cambria"/>
          <w:u w:val="single"/>
        </w:rPr>
        <w:t>Risk Model Design</w:t>
      </w:r>
    </w:p>
    <w:p w14:paraId="25FCDF1B" w14:textId="73B0F3A6" w:rsidR="00052703" w:rsidRPr="00160701" w:rsidRDefault="00052703" w:rsidP="00052703">
      <w:pPr>
        <w:rPr>
          <w:rFonts w:ascii="Cambria" w:hAnsi="Cambria"/>
        </w:rPr>
      </w:pPr>
      <w:r w:rsidRPr="00160701">
        <w:rPr>
          <w:rFonts w:ascii="Cambria" w:hAnsi="Cambria"/>
        </w:rPr>
        <w:t>Flood risk is modeled as a weighted combination of two factors: elevation (70% weight) and proximity to inland waterways (30% weight). The heavier elevation weighting reflects Oahu</w:t>
      </w:r>
      <w:r w:rsidR="00160701" w:rsidRPr="00160701">
        <w:rPr>
          <w:rFonts w:ascii="Cambria" w:hAnsi="Cambria"/>
        </w:rPr>
        <w:t>’</w:t>
      </w:r>
      <w:r w:rsidRPr="00160701">
        <w:rPr>
          <w:rFonts w:ascii="Cambria" w:hAnsi="Cambria"/>
        </w:rPr>
        <w:t>s island geography, where coastal flooding and sea level rise represent the dominant long-term hazards. Proximity to waterways captures riverine flood risk from the island</w:t>
      </w:r>
      <w:r w:rsidR="00160701" w:rsidRPr="00160701">
        <w:rPr>
          <w:rFonts w:ascii="Cambria" w:hAnsi="Cambria"/>
        </w:rPr>
        <w:t>’</w:t>
      </w:r>
      <w:r w:rsidRPr="00160701">
        <w:rPr>
          <w:rFonts w:ascii="Cambria" w:hAnsi="Cambria"/>
        </w:rPr>
        <w:t>s numerous streams.</w:t>
      </w:r>
    </w:p>
    <w:p w14:paraId="7107C9C6" w14:textId="77777777" w:rsidR="00052703" w:rsidRPr="00160701" w:rsidRDefault="00052703" w:rsidP="00052703">
      <w:pPr>
        <w:rPr>
          <w:rFonts w:ascii="Cambria" w:hAnsi="Cambria"/>
        </w:rPr>
      </w:pPr>
      <w:r w:rsidRPr="00160701">
        <w:rPr>
          <w:rFonts w:ascii="Cambria" w:hAnsi="Cambria"/>
        </w:rPr>
        <w:lastRenderedPageBreak/>
        <w:t>A critical design decision was to exclude the coastline from proximity calculations. Because Oahu is an island, including the coastline would classify the entire island as high-risk (everything is near the ocean), eliminating meaningful spatial differentiation. Instead, coastal flood risk is captured through the elevation component, while the proximity component focuses exclusively on inland waterways.</w:t>
      </w:r>
    </w:p>
    <w:p w14:paraId="33C6B8BF" w14:textId="52D4AF42" w:rsidR="00052703" w:rsidRPr="00160701" w:rsidRDefault="00052703" w:rsidP="00052703">
      <w:pPr>
        <w:rPr>
          <w:rFonts w:ascii="Cambria" w:hAnsi="Cambria"/>
        </w:rPr>
      </w:pPr>
      <w:r w:rsidRPr="00160701">
        <w:rPr>
          <w:rFonts w:ascii="Cambria" w:hAnsi="Cambria"/>
        </w:rPr>
        <w:t>Elevation risk is classified into three categories: high risk for areas below 3 meters (approximate storm surge reach), moderate risk for 3-8 meters, and low risk above 8 meters. Proximity risk uses similar thresholds: high risk within 100 meters of a stream, moderate risk for 100-500 meters, and low risk beyond 500 meters. The composite score combines these classifications using the specified weights, then reclassifies into final risk categories.</w:t>
      </w:r>
    </w:p>
    <w:p w14:paraId="22FEBF9B" w14:textId="27A1C0DA" w:rsidR="00052703" w:rsidRPr="00160701" w:rsidRDefault="00052703" w:rsidP="00052703">
      <w:pPr>
        <w:rPr>
          <w:rFonts w:ascii="Cambria" w:hAnsi="Cambria"/>
          <w:u w:val="single"/>
        </w:rPr>
      </w:pPr>
      <w:r w:rsidRPr="00160701">
        <w:rPr>
          <w:rFonts w:ascii="Cambria" w:hAnsi="Cambria"/>
          <w:u w:val="single"/>
        </w:rPr>
        <w:t>Population Exposure Calculation</w:t>
      </w:r>
    </w:p>
    <w:p w14:paraId="209D54F7" w14:textId="72136417" w:rsidR="00052703" w:rsidRPr="00160701" w:rsidRDefault="00052703" w:rsidP="00052703">
      <w:pPr>
        <w:rPr>
          <w:rFonts w:ascii="Cambria" w:hAnsi="Cambria"/>
        </w:rPr>
      </w:pPr>
      <w:r w:rsidRPr="00160701">
        <w:rPr>
          <w:rFonts w:ascii="Cambria" w:hAnsi="Cambria"/>
        </w:rPr>
        <w:t xml:space="preserve">Population exposure is estimated </w:t>
      </w:r>
      <w:proofErr w:type="gramStart"/>
      <w:r w:rsidRPr="00160701">
        <w:rPr>
          <w:rFonts w:ascii="Cambria" w:hAnsi="Cambria"/>
        </w:rPr>
        <w:t>using</w:t>
      </w:r>
      <w:proofErr w:type="gramEnd"/>
      <w:r w:rsidRPr="00160701">
        <w:rPr>
          <w:rFonts w:ascii="Cambria" w:hAnsi="Cambria"/>
        </w:rPr>
        <w:t xml:space="preserve"> zonal statistics. For each census block group, the analysis counts pixels in each risk category, calculates the percentage of area in each category, and allocates population proportionally. This assumes uniform population distribution within block groups</w:t>
      </w:r>
      <w:r w:rsidR="00160701">
        <w:rPr>
          <w:rFonts w:ascii="Cambria" w:hAnsi="Cambria"/>
        </w:rPr>
        <w:t xml:space="preserve"> – </w:t>
      </w:r>
      <w:r w:rsidRPr="00160701">
        <w:rPr>
          <w:rFonts w:ascii="Cambria" w:hAnsi="Cambria"/>
        </w:rPr>
        <w:t>a</w:t>
      </w:r>
      <w:r w:rsidR="00160701">
        <w:rPr>
          <w:rFonts w:ascii="Cambria" w:hAnsi="Cambria"/>
        </w:rPr>
        <w:t xml:space="preserve"> </w:t>
      </w:r>
      <w:r w:rsidRPr="00160701">
        <w:rPr>
          <w:rFonts w:ascii="Cambria" w:hAnsi="Cambria"/>
        </w:rPr>
        <w:t>limitation discussed in the results section.</w:t>
      </w:r>
    </w:p>
    <w:p w14:paraId="0611A026" w14:textId="77777777" w:rsidR="00160701" w:rsidRPr="00160701" w:rsidRDefault="00160701" w:rsidP="00052703">
      <w:pPr>
        <w:rPr>
          <w:rFonts w:ascii="Cambria" w:hAnsi="Cambria"/>
          <w:b/>
          <w:bCs/>
        </w:rPr>
      </w:pPr>
    </w:p>
    <w:p w14:paraId="4E34D6C4" w14:textId="117D1169" w:rsidR="00052703" w:rsidRPr="00160701" w:rsidRDefault="00052703" w:rsidP="00052703">
      <w:pPr>
        <w:rPr>
          <w:rFonts w:ascii="Cambria" w:hAnsi="Cambria"/>
          <w:b/>
          <w:bCs/>
        </w:rPr>
      </w:pPr>
      <w:r w:rsidRPr="00160701">
        <w:rPr>
          <w:rFonts w:ascii="Cambria" w:hAnsi="Cambria"/>
          <w:b/>
          <w:bCs/>
        </w:rPr>
        <w:t>Results</w:t>
      </w:r>
    </w:p>
    <w:p w14:paraId="7B50EA62" w14:textId="74A9BD45" w:rsidR="00052703" w:rsidRPr="00160701" w:rsidRDefault="00052703" w:rsidP="00052703">
      <w:pPr>
        <w:rPr>
          <w:rFonts w:ascii="Cambria" w:hAnsi="Cambria"/>
          <w:u w:val="single"/>
        </w:rPr>
      </w:pPr>
      <w:r w:rsidRPr="00160701">
        <w:rPr>
          <w:rFonts w:ascii="Cambria" w:hAnsi="Cambria"/>
          <w:u w:val="single"/>
        </w:rPr>
        <w:t>Risk Distribution</w:t>
      </w:r>
    </w:p>
    <w:p w14:paraId="394B569C" w14:textId="358067EC" w:rsidR="00052703" w:rsidRPr="00160701" w:rsidRDefault="00052703" w:rsidP="00052703">
      <w:pPr>
        <w:rPr>
          <w:rFonts w:ascii="Cambria" w:hAnsi="Cambria"/>
        </w:rPr>
      </w:pPr>
      <w:r w:rsidRPr="00052703">
        <w:rPr>
          <w:rFonts w:ascii="Cambria" w:hAnsi="Cambria"/>
        </w:rPr>
        <w:t>The flood risk model reveals distinct spatial patterns across Oahu. High-risk areas concentrate along the southern coastal plain</w:t>
      </w:r>
      <w:r w:rsidR="00160701">
        <w:rPr>
          <w:rFonts w:ascii="Cambria" w:hAnsi="Cambria"/>
        </w:rPr>
        <w:t xml:space="preserve">, </w:t>
      </w:r>
      <w:r w:rsidRPr="00052703">
        <w:rPr>
          <w:rFonts w:ascii="Cambria" w:hAnsi="Cambria"/>
        </w:rPr>
        <w:t>including Waikiki, Ala Moana, and the Pearl Harbor area</w:t>
      </w:r>
      <w:r w:rsidR="00160701">
        <w:rPr>
          <w:rFonts w:ascii="Cambria" w:hAnsi="Cambria"/>
        </w:rPr>
        <w:t xml:space="preserve">, </w:t>
      </w:r>
      <w:r w:rsidRPr="00052703">
        <w:rPr>
          <w:rFonts w:ascii="Cambria" w:hAnsi="Cambria"/>
        </w:rPr>
        <w:t>and in windward valley floors where streams converge. The central mountain ranges (</w:t>
      </w:r>
      <w:proofErr w:type="spellStart"/>
      <w:r w:rsidRPr="00052703">
        <w:rPr>
          <w:rFonts w:ascii="Cambria" w:hAnsi="Cambria"/>
        </w:rPr>
        <w:t>Ko</w:t>
      </w:r>
      <w:r w:rsidR="00160701" w:rsidRPr="00160701">
        <w:rPr>
          <w:rFonts w:ascii="Cambria" w:hAnsi="Cambria"/>
        </w:rPr>
        <w:t>’</w:t>
      </w:r>
      <w:r w:rsidRPr="00052703">
        <w:rPr>
          <w:rFonts w:ascii="Cambria" w:hAnsi="Cambria"/>
        </w:rPr>
        <w:t>olau</w:t>
      </w:r>
      <w:proofErr w:type="spellEnd"/>
      <w:r w:rsidRPr="00052703">
        <w:rPr>
          <w:rFonts w:ascii="Cambria" w:hAnsi="Cambria"/>
        </w:rPr>
        <w:t xml:space="preserve"> and </w:t>
      </w:r>
      <w:proofErr w:type="spellStart"/>
      <w:r w:rsidRPr="00052703">
        <w:rPr>
          <w:rFonts w:ascii="Cambria" w:hAnsi="Cambria"/>
        </w:rPr>
        <w:t>Wai</w:t>
      </w:r>
      <w:r w:rsidR="00160701" w:rsidRPr="00160701">
        <w:rPr>
          <w:rFonts w:ascii="Cambria" w:hAnsi="Cambria"/>
        </w:rPr>
        <w:t>’</w:t>
      </w:r>
      <w:r w:rsidRPr="00052703">
        <w:rPr>
          <w:rFonts w:ascii="Cambria" w:hAnsi="Cambria"/>
        </w:rPr>
        <w:t>anae</w:t>
      </w:r>
      <w:proofErr w:type="spellEnd"/>
      <w:r w:rsidRPr="00052703">
        <w:rPr>
          <w:rFonts w:ascii="Cambria" w:hAnsi="Cambria"/>
        </w:rPr>
        <w:t>) are classified as low risk due to their elevation.</w:t>
      </w:r>
      <w:r w:rsidRPr="00160701">
        <w:rPr>
          <w:rFonts w:ascii="Cambria" w:eastAsia="Arial" w:hAnsi="Cambria" w:cs="Arial"/>
          <w:kern w:val="0"/>
          <w14:ligatures w14:val="none"/>
        </w:rPr>
        <w:t xml:space="preserve"> </w:t>
      </w:r>
      <w:r w:rsidRPr="00160701">
        <w:rPr>
          <w:rFonts w:ascii="Cambria" w:hAnsi="Cambria"/>
        </w:rPr>
        <w:t>By land area, 28.8% of Oahu falls into the high-risk category, 12.2% is moderate risk, and 59.1% is low risk. The relatively large high-risk land area reflects the extensive low-lying coastal fringe around the island perimeter.</w:t>
      </w:r>
    </w:p>
    <w:p w14:paraId="3E757CAA" w14:textId="0CFB96FA" w:rsidR="00052703" w:rsidRPr="00160701" w:rsidRDefault="00052703" w:rsidP="00052703">
      <w:pPr>
        <w:rPr>
          <w:rFonts w:ascii="Cambria" w:hAnsi="Cambria"/>
          <w:u w:val="single"/>
        </w:rPr>
      </w:pPr>
      <w:r w:rsidRPr="00160701">
        <w:rPr>
          <w:rFonts w:ascii="Cambria" w:hAnsi="Cambria"/>
          <w:u w:val="single"/>
        </w:rPr>
        <w:t>Population Exposure</w:t>
      </w:r>
    </w:p>
    <w:p w14:paraId="1A2D85CF" w14:textId="5CB51AF8" w:rsidR="00160701" w:rsidRPr="00160701" w:rsidRDefault="00052703" w:rsidP="00052703">
      <w:pPr>
        <w:rPr>
          <w:rFonts w:ascii="Cambria" w:hAnsi="Cambria"/>
        </w:rPr>
      </w:pPr>
      <w:r w:rsidRPr="00160701">
        <w:rPr>
          <w:rFonts w:ascii="Cambria" w:hAnsi="Cambria"/>
        </w:rPr>
        <w:t>Population exposure analysis reveals that flood risk disproportionately affects fewer residents than land area alone would suggest:</w:t>
      </w:r>
    </w:p>
    <w:tbl>
      <w:tblPr>
        <w:tblStyle w:val="TableGrid"/>
        <w:tblW w:w="0" w:type="auto"/>
        <w:tblLook w:val="04A0" w:firstRow="1" w:lastRow="0" w:firstColumn="1" w:lastColumn="0" w:noHBand="0" w:noVBand="1"/>
      </w:tblPr>
      <w:tblGrid>
        <w:gridCol w:w="3116"/>
        <w:gridCol w:w="3117"/>
        <w:gridCol w:w="3117"/>
      </w:tblGrid>
      <w:tr w:rsidR="00052703" w:rsidRPr="00160701" w14:paraId="319C6426" w14:textId="77777777" w:rsidTr="00160701">
        <w:tc>
          <w:tcPr>
            <w:tcW w:w="3116" w:type="dxa"/>
            <w:shd w:val="clear" w:color="auto" w:fill="156082" w:themeFill="accent1"/>
          </w:tcPr>
          <w:p w14:paraId="7795F6F8" w14:textId="44F9C9FF" w:rsidR="00052703" w:rsidRPr="00160701" w:rsidRDefault="00052703" w:rsidP="00052703">
            <w:pPr>
              <w:rPr>
                <w:rFonts w:ascii="Cambria" w:hAnsi="Cambria"/>
                <w:b/>
                <w:bCs/>
                <w:color w:val="FFFFFF" w:themeColor="background1"/>
              </w:rPr>
            </w:pPr>
            <w:r w:rsidRPr="00160701">
              <w:rPr>
                <w:rFonts w:ascii="Cambria" w:hAnsi="Cambria"/>
                <w:b/>
                <w:bCs/>
                <w:color w:val="FFFFFF" w:themeColor="background1"/>
              </w:rPr>
              <w:t>Risk Category</w:t>
            </w:r>
          </w:p>
        </w:tc>
        <w:tc>
          <w:tcPr>
            <w:tcW w:w="3117" w:type="dxa"/>
            <w:shd w:val="clear" w:color="auto" w:fill="156082" w:themeFill="accent1"/>
          </w:tcPr>
          <w:p w14:paraId="4F308706" w14:textId="12E78EDA" w:rsidR="00052703" w:rsidRPr="00160701" w:rsidRDefault="00052703" w:rsidP="00052703">
            <w:pPr>
              <w:rPr>
                <w:rFonts w:ascii="Cambria" w:hAnsi="Cambria"/>
                <w:b/>
                <w:bCs/>
                <w:color w:val="FFFFFF" w:themeColor="background1"/>
              </w:rPr>
            </w:pPr>
            <w:r w:rsidRPr="00160701">
              <w:rPr>
                <w:rFonts w:ascii="Cambria" w:hAnsi="Cambria"/>
                <w:b/>
                <w:bCs/>
                <w:color w:val="FFFFFF" w:themeColor="background1"/>
              </w:rPr>
              <w:t>Population</w:t>
            </w:r>
          </w:p>
        </w:tc>
        <w:tc>
          <w:tcPr>
            <w:tcW w:w="3117" w:type="dxa"/>
            <w:shd w:val="clear" w:color="auto" w:fill="156082" w:themeFill="accent1"/>
          </w:tcPr>
          <w:p w14:paraId="13B8BFA2" w14:textId="24C30057" w:rsidR="00052703" w:rsidRPr="00160701" w:rsidRDefault="00052703" w:rsidP="00052703">
            <w:pPr>
              <w:rPr>
                <w:rFonts w:ascii="Cambria" w:hAnsi="Cambria"/>
                <w:b/>
                <w:bCs/>
                <w:color w:val="FFFFFF" w:themeColor="background1"/>
              </w:rPr>
            </w:pPr>
            <w:r w:rsidRPr="00160701">
              <w:rPr>
                <w:rFonts w:ascii="Cambria" w:hAnsi="Cambria"/>
                <w:b/>
                <w:bCs/>
                <w:color w:val="FFFFFF" w:themeColor="background1"/>
              </w:rPr>
              <w:t>Percent</w:t>
            </w:r>
          </w:p>
        </w:tc>
      </w:tr>
      <w:tr w:rsidR="00052703" w:rsidRPr="00160701" w14:paraId="1A35DADB" w14:textId="77777777" w:rsidTr="00052703">
        <w:tc>
          <w:tcPr>
            <w:tcW w:w="3116" w:type="dxa"/>
          </w:tcPr>
          <w:p w14:paraId="57BAC56B" w14:textId="785ACC36" w:rsidR="00052703" w:rsidRPr="00160701" w:rsidRDefault="00052703" w:rsidP="00052703">
            <w:pPr>
              <w:rPr>
                <w:rFonts w:ascii="Cambria" w:hAnsi="Cambria"/>
              </w:rPr>
            </w:pPr>
            <w:r w:rsidRPr="00160701">
              <w:rPr>
                <w:rFonts w:ascii="Cambria" w:hAnsi="Cambria"/>
              </w:rPr>
              <w:t>High Risk</w:t>
            </w:r>
          </w:p>
        </w:tc>
        <w:tc>
          <w:tcPr>
            <w:tcW w:w="3117" w:type="dxa"/>
          </w:tcPr>
          <w:p w14:paraId="33347BE1" w14:textId="1AAABCF7" w:rsidR="00052703" w:rsidRPr="00160701" w:rsidRDefault="00FF5F94" w:rsidP="00052703">
            <w:pPr>
              <w:rPr>
                <w:rFonts w:ascii="Cambria" w:hAnsi="Cambria"/>
              </w:rPr>
            </w:pPr>
            <w:r>
              <w:rPr>
                <w:rFonts w:ascii="Cambria" w:hAnsi="Cambria"/>
              </w:rPr>
              <w:t>86,462</w:t>
            </w:r>
          </w:p>
        </w:tc>
        <w:tc>
          <w:tcPr>
            <w:tcW w:w="3117" w:type="dxa"/>
          </w:tcPr>
          <w:p w14:paraId="7F8130B0" w14:textId="73E450DE" w:rsidR="00052703" w:rsidRPr="00160701" w:rsidRDefault="00FF5F94" w:rsidP="00052703">
            <w:pPr>
              <w:rPr>
                <w:rFonts w:ascii="Cambria" w:hAnsi="Cambria"/>
              </w:rPr>
            </w:pPr>
            <w:r>
              <w:rPr>
                <w:rFonts w:ascii="Cambria" w:hAnsi="Cambria"/>
              </w:rPr>
              <w:t>9.7</w:t>
            </w:r>
            <w:r w:rsidR="002211FF">
              <w:rPr>
                <w:rFonts w:ascii="Cambria" w:hAnsi="Cambria"/>
              </w:rPr>
              <w:t>%</w:t>
            </w:r>
          </w:p>
        </w:tc>
      </w:tr>
      <w:tr w:rsidR="00052703" w:rsidRPr="00160701" w14:paraId="5DF2A642" w14:textId="77777777" w:rsidTr="00052703">
        <w:tc>
          <w:tcPr>
            <w:tcW w:w="3116" w:type="dxa"/>
          </w:tcPr>
          <w:p w14:paraId="1F19D469" w14:textId="50EFD009" w:rsidR="00052703" w:rsidRPr="00160701" w:rsidRDefault="00052703" w:rsidP="00052703">
            <w:pPr>
              <w:rPr>
                <w:rFonts w:ascii="Cambria" w:hAnsi="Cambria"/>
              </w:rPr>
            </w:pPr>
            <w:r w:rsidRPr="00160701">
              <w:rPr>
                <w:rFonts w:ascii="Cambria" w:hAnsi="Cambria"/>
              </w:rPr>
              <w:t>Moderate Risk</w:t>
            </w:r>
          </w:p>
        </w:tc>
        <w:tc>
          <w:tcPr>
            <w:tcW w:w="3117" w:type="dxa"/>
          </w:tcPr>
          <w:p w14:paraId="3CF6733F" w14:textId="71E14DAE" w:rsidR="00052703" w:rsidRPr="00160701" w:rsidRDefault="002211FF" w:rsidP="00052703">
            <w:pPr>
              <w:rPr>
                <w:rFonts w:ascii="Cambria" w:hAnsi="Cambria"/>
              </w:rPr>
            </w:pPr>
            <w:r w:rsidRPr="002211FF">
              <w:rPr>
                <w:rFonts w:ascii="Cambria" w:hAnsi="Cambria"/>
              </w:rPr>
              <w:t>1</w:t>
            </w:r>
            <w:r w:rsidR="00FF5F94">
              <w:rPr>
                <w:rFonts w:ascii="Cambria" w:hAnsi="Cambria"/>
              </w:rPr>
              <w:t>42,190</w:t>
            </w:r>
          </w:p>
        </w:tc>
        <w:tc>
          <w:tcPr>
            <w:tcW w:w="3117" w:type="dxa"/>
          </w:tcPr>
          <w:p w14:paraId="55B00D14" w14:textId="13C09F77" w:rsidR="00052703" w:rsidRPr="00160701" w:rsidRDefault="00160701" w:rsidP="00052703">
            <w:pPr>
              <w:rPr>
                <w:rFonts w:ascii="Cambria" w:hAnsi="Cambria"/>
              </w:rPr>
            </w:pPr>
            <w:r w:rsidRPr="00160701">
              <w:rPr>
                <w:rFonts w:ascii="Cambria" w:hAnsi="Cambria"/>
              </w:rPr>
              <w:t>16</w:t>
            </w:r>
            <w:r w:rsidR="00FF5F94">
              <w:rPr>
                <w:rFonts w:ascii="Cambria" w:hAnsi="Cambria"/>
              </w:rPr>
              <w:t>.0</w:t>
            </w:r>
            <w:r w:rsidR="002211FF">
              <w:rPr>
                <w:rFonts w:ascii="Cambria" w:hAnsi="Cambria"/>
              </w:rPr>
              <w:t>%</w:t>
            </w:r>
          </w:p>
        </w:tc>
      </w:tr>
      <w:tr w:rsidR="00052703" w:rsidRPr="00160701" w14:paraId="3C08C200" w14:textId="77777777" w:rsidTr="00052703">
        <w:tc>
          <w:tcPr>
            <w:tcW w:w="3116" w:type="dxa"/>
          </w:tcPr>
          <w:p w14:paraId="40E124B1" w14:textId="1AB57BBA" w:rsidR="00052703" w:rsidRPr="00160701" w:rsidRDefault="00052703" w:rsidP="00052703">
            <w:pPr>
              <w:rPr>
                <w:rFonts w:ascii="Cambria" w:hAnsi="Cambria"/>
              </w:rPr>
            </w:pPr>
            <w:r w:rsidRPr="00160701">
              <w:rPr>
                <w:rFonts w:ascii="Cambria" w:hAnsi="Cambria"/>
              </w:rPr>
              <w:t>Low Risk</w:t>
            </w:r>
          </w:p>
        </w:tc>
        <w:tc>
          <w:tcPr>
            <w:tcW w:w="3117" w:type="dxa"/>
          </w:tcPr>
          <w:p w14:paraId="184977AA" w14:textId="5E956402" w:rsidR="00052703" w:rsidRPr="00160701" w:rsidRDefault="00FF5F94" w:rsidP="00052703">
            <w:pPr>
              <w:rPr>
                <w:rFonts w:ascii="Cambria" w:hAnsi="Cambria"/>
              </w:rPr>
            </w:pPr>
            <w:r>
              <w:rPr>
                <w:rFonts w:ascii="Cambria" w:hAnsi="Cambria"/>
              </w:rPr>
              <w:t>632,045</w:t>
            </w:r>
          </w:p>
        </w:tc>
        <w:tc>
          <w:tcPr>
            <w:tcW w:w="3117" w:type="dxa"/>
          </w:tcPr>
          <w:p w14:paraId="558074AC" w14:textId="5294C446" w:rsidR="00052703" w:rsidRPr="00160701" w:rsidRDefault="00160701" w:rsidP="00052703">
            <w:pPr>
              <w:rPr>
                <w:rFonts w:ascii="Cambria" w:hAnsi="Cambria"/>
              </w:rPr>
            </w:pPr>
            <w:r w:rsidRPr="00160701">
              <w:rPr>
                <w:rFonts w:ascii="Cambria" w:hAnsi="Cambria"/>
              </w:rPr>
              <w:t>7</w:t>
            </w:r>
            <w:r w:rsidR="00FF5F94">
              <w:rPr>
                <w:rFonts w:ascii="Cambria" w:hAnsi="Cambria"/>
              </w:rPr>
              <w:t>1.3</w:t>
            </w:r>
            <w:r w:rsidR="002211FF">
              <w:rPr>
                <w:rFonts w:ascii="Cambria" w:hAnsi="Cambria"/>
              </w:rPr>
              <w:t>%</w:t>
            </w:r>
          </w:p>
        </w:tc>
      </w:tr>
    </w:tbl>
    <w:p w14:paraId="5F3241E2" w14:textId="77777777" w:rsidR="00160701" w:rsidRPr="00160701" w:rsidRDefault="00160701" w:rsidP="00052703">
      <w:pPr>
        <w:rPr>
          <w:rFonts w:ascii="Cambria" w:hAnsi="Cambria"/>
        </w:rPr>
      </w:pPr>
    </w:p>
    <w:p w14:paraId="7BBDA82B" w14:textId="62D861F0" w:rsidR="00160701" w:rsidRDefault="00160701" w:rsidP="00052703">
      <w:pPr>
        <w:rPr>
          <w:rFonts w:ascii="Cambria" w:hAnsi="Cambria"/>
        </w:rPr>
      </w:pPr>
      <w:r w:rsidRPr="00160701">
        <w:rPr>
          <w:rFonts w:ascii="Cambria" w:hAnsi="Cambria"/>
        </w:rPr>
        <w:lastRenderedPageBreak/>
        <w:t>The disparity between land area (28.8% high-risk) and population (</w:t>
      </w:r>
      <w:r w:rsidR="002211FF">
        <w:rPr>
          <w:rFonts w:ascii="Cambria" w:hAnsi="Cambria"/>
        </w:rPr>
        <w:t>11</w:t>
      </w:r>
      <w:r w:rsidRPr="00160701">
        <w:rPr>
          <w:rFonts w:ascii="Cambria" w:hAnsi="Cambria"/>
        </w:rPr>
        <w:t>% high-risk) reflects that many high-risk coastal areas are less densely developed than inland urban zones. Nevertheless, nearly 87,000 residents live in areas classified as high flood risk</w:t>
      </w:r>
      <w:r>
        <w:rPr>
          <w:rFonts w:ascii="Cambria" w:hAnsi="Cambria"/>
        </w:rPr>
        <w:t xml:space="preserve">. This is </w:t>
      </w:r>
      <w:r w:rsidRPr="00160701">
        <w:rPr>
          <w:rFonts w:ascii="Cambria" w:hAnsi="Cambria"/>
        </w:rPr>
        <w:t>a substantial population requiring targeted resilience planning.</w:t>
      </w:r>
    </w:p>
    <w:p w14:paraId="51B2BF97" w14:textId="110E1EBB" w:rsidR="00FF5F94" w:rsidRPr="00FF5F94" w:rsidRDefault="00FF5F94" w:rsidP="00052703">
      <w:pPr>
        <w:rPr>
          <w:rFonts w:ascii="Cambria" w:hAnsi="Cambria"/>
          <w:i/>
          <w:iCs/>
        </w:rPr>
      </w:pPr>
      <w:r w:rsidRPr="00FF5F94">
        <w:rPr>
          <w:rFonts w:ascii="Cambria" w:hAnsi="Cambria"/>
          <w:i/>
          <w:iCs/>
        </w:rPr>
        <w:t>Note: Honolulu County includes the Northwestern Hawaiian Islands in addition to Oahu. The statistics above are filtered to Oahu only (703 block groups/886,849 residents). The raw CSV files in the project repository contain data for all of Honolulu County (773 block groups).</w:t>
      </w:r>
    </w:p>
    <w:p w14:paraId="696AAED1" w14:textId="77777777" w:rsidR="00160701" w:rsidRPr="00160701" w:rsidRDefault="00160701" w:rsidP="00160701">
      <w:pPr>
        <w:rPr>
          <w:rFonts w:ascii="Cambria" w:hAnsi="Cambria"/>
          <w:u w:val="single"/>
        </w:rPr>
      </w:pPr>
      <w:r w:rsidRPr="00160701">
        <w:rPr>
          <w:rFonts w:ascii="Cambria" w:hAnsi="Cambria"/>
          <w:u w:val="single"/>
        </w:rPr>
        <w:t>Key Findings</w:t>
      </w:r>
    </w:p>
    <w:p w14:paraId="3CC18A74" w14:textId="278DF3D9" w:rsidR="00160701" w:rsidRPr="00160701" w:rsidRDefault="00FF5F94" w:rsidP="00160701">
      <w:pPr>
        <w:pStyle w:val="ListParagraph"/>
        <w:numPr>
          <w:ilvl w:val="0"/>
          <w:numId w:val="1"/>
        </w:numPr>
        <w:rPr>
          <w:rFonts w:ascii="Cambria" w:hAnsi="Cambria"/>
        </w:rPr>
      </w:pPr>
      <w:r>
        <w:rPr>
          <w:rFonts w:ascii="Cambria" w:hAnsi="Cambria"/>
        </w:rPr>
        <w:t>86,462</w:t>
      </w:r>
      <w:r w:rsidR="00160701" w:rsidRPr="00160701">
        <w:rPr>
          <w:rFonts w:ascii="Cambria" w:hAnsi="Cambria"/>
        </w:rPr>
        <w:t xml:space="preserve"> residents (</w:t>
      </w:r>
      <w:r>
        <w:rPr>
          <w:rFonts w:ascii="Cambria" w:hAnsi="Cambria"/>
        </w:rPr>
        <w:t>9.7</w:t>
      </w:r>
      <w:r w:rsidR="00160701" w:rsidRPr="00160701">
        <w:rPr>
          <w:rFonts w:ascii="Cambria" w:hAnsi="Cambria"/>
        </w:rPr>
        <w:t>% of Oahu’s population) live in high flood risk areas</w:t>
      </w:r>
    </w:p>
    <w:p w14:paraId="67E947A6" w14:textId="57B81350" w:rsidR="00160701" w:rsidRPr="00160701" w:rsidRDefault="00160701" w:rsidP="00160701">
      <w:pPr>
        <w:pStyle w:val="ListParagraph"/>
        <w:numPr>
          <w:ilvl w:val="0"/>
          <w:numId w:val="1"/>
        </w:numPr>
        <w:rPr>
          <w:rFonts w:ascii="Cambria" w:hAnsi="Cambria"/>
        </w:rPr>
      </w:pPr>
      <w:r w:rsidRPr="00160701">
        <w:rPr>
          <w:rFonts w:ascii="Cambria" w:hAnsi="Cambria"/>
        </w:rPr>
        <w:t>High-risk areas concentrate along the southern coastal plain and windward valley floors</w:t>
      </w:r>
    </w:p>
    <w:p w14:paraId="7B6E9E64" w14:textId="212011B9" w:rsidR="00160701" w:rsidRPr="00160701" w:rsidRDefault="00160701" w:rsidP="00160701">
      <w:pPr>
        <w:pStyle w:val="ListParagraph"/>
        <w:numPr>
          <w:ilvl w:val="0"/>
          <w:numId w:val="1"/>
        </w:numPr>
        <w:rPr>
          <w:rFonts w:ascii="Cambria" w:hAnsi="Cambria"/>
        </w:rPr>
      </w:pPr>
      <w:r w:rsidRPr="00160701">
        <w:rPr>
          <w:rFonts w:ascii="Cambria" w:hAnsi="Cambria"/>
        </w:rPr>
        <w:t>The elevation component drives most risk classification on this island geography</w:t>
      </w:r>
    </w:p>
    <w:p w14:paraId="5DBF6287" w14:textId="3AF6E448" w:rsidR="00160701" w:rsidRPr="00160701" w:rsidRDefault="00160701" w:rsidP="00160701">
      <w:pPr>
        <w:pStyle w:val="ListParagraph"/>
        <w:numPr>
          <w:ilvl w:val="0"/>
          <w:numId w:val="1"/>
        </w:numPr>
        <w:rPr>
          <w:rFonts w:ascii="Cambria" w:hAnsi="Cambria"/>
        </w:rPr>
      </w:pPr>
      <w:r w:rsidRPr="00160701">
        <w:rPr>
          <w:rFonts w:ascii="Cambria" w:hAnsi="Cambria"/>
        </w:rPr>
        <w:t>Stream proximity adds localized high-risk corridors extending inland from the coast</w:t>
      </w:r>
    </w:p>
    <w:p w14:paraId="210D7B4C" w14:textId="5A57585C" w:rsidR="00160701" w:rsidRPr="00160701" w:rsidRDefault="00160701" w:rsidP="00160701">
      <w:pPr>
        <w:pStyle w:val="ListParagraph"/>
        <w:numPr>
          <w:ilvl w:val="0"/>
          <w:numId w:val="1"/>
        </w:numPr>
        <w:rPr>
          <w:rFonts w:ascii="Cambria" w:hAnsi="Cambria"/>
        </w:rPr>
      </w:pPr>
      <w:r w:rsidRPr="00160701">
        <w:rPr>
          <w:rFonts w:ascii="Cambria" w:hAnsi="Cambria"/>
        </w:rPr>
        <w:t>Mean block group risk score of 1.3</w:t>
      </w:r>
      <w:r w:rsidR="00FF5F94">
        <w:rPr>
          <w:rFonts w:ascii="Cambria" w:hAnsi="Cambria"/>
        </w:rPr>
        <w:t>7</w:t>
      </w:r>
      <w:r w:rsidRPr="00160701">
        <w:rPr>
          <w:rFonts w:ascii="Cambria" w:hAnsi="Cambria"/>
        </w:rPr>
        <w:t xml:space="preserve"> (out of 3.0) indicates most areas are relatively low-risk</w:t>
      </w:r>
    </w:p>
    <w:p w14:paraId="50FF88C7" w14:textId="77777777" w:rsidR="00160701" w:rsidRPr="00160701" w:rsidRDefault="00160701" w:rsidP="00160701">
      <w:pPr>
        <w:rPr>
          <w:rFonts w:ascii="Cambria" w:hAnsi="Cambria"/>
          <w:b/>
          <w:bCs/>
        </w:rPr>
      </w:pPr>
    </w:p>
    <w:p w14:paraId="5D7B14A9" w14:textId="6D3979B8" w:rsidR="00160701" w:rsidRPr="00160701" w:rsidRDefault="00160701" w:rsidP="00160701">
      <w:pPr>
        <w:rPr>
          <w:rFonts w:ascii="Cambria" w:hAnsi="Cambria"/>
          <w:b/>
          <w:bCs/>
        </w:rPr>
      </w:pPr>
      <w:r w:rsidRPr="00160701">
        <w:rPr>
          <w:rFonts w:ascii="Cambria" w:hAnsi="Cambria"/>
          <w:b/>
          <w:bCs/>
        </w:rPr>
        <w:t>Conclusion</w:t>
      </w:r>
    </w:p>
    <w:p w14:paraId="632DE30B" w14:textId="5A400B8F" w:rsidR="00160701" w:rsidRPr="00160701" w:rsidRDefault="00160701" w:rsidP="00160701">
      <w:pPr>
        <w:rPr>
          <w:rFonts w:ascii="Cambria" w:hAnsi="Cambria"/>
        </w:rPr>
      </w:pPr>
      <w:r w:rsidRPr="00160701">
        <w:rPr>
          <w:rFonts w:ascii="Cambria" w:hAnsi="Cambria"/>
        </w:rPr>
        <w:t xml:space="preserve">This analysis demonstrates that while a substantial portion of Oahu’s land area faces flood risk, population exposure is somewhat concentrated. </w:t>
      </w:r>
      <w:r w:rsidR="00FF5F94">
        <w:rPr>
          <w:rFonts w:ascii="Cambria" w:hAnsi="Cambria"/>
        </w:rPr>
        <w:t>Over 86,000</w:t>
      </w:r>
      <w:r w:rsidRPr="00160701">
        <w:rPr>
          <w:rFonts w:ascii="Cambria" w:hAnsi="Cambria"/>
        </w:rPr>
        <w:t xml:space="preserve"> residents in high-risk areas represent a meaningful policy challenge, but the majority of the population resides in lower-risk inland and elevated areas. The spatial patterns identified</w:t>
      </w:r>
      <w:r>
        <w:rPr>
          <w:rFonts w:ascii="Cambria" w:hAnsi="Cambria"/>
        </w:rPr>
        <w:t xml:space="preserve"> – </w:t>
      </w:r>
      <w:r w:rsidRPr="00160701">
        <w:rPr>
          <w:rFonts w:ascii="Cambria" w:hAnsi="Cambria"/>
        </w:rPr>
        <w:t>coastal</w:t>
      </w:r>
      <w:r>
        <w:rPr>
          <w:rFonts w:ascii="Cambria" w:hAnsi="Cambria"/>
        </w:rPr>
        <w:t xml:space="preserve"> </w:t>
      </w:r>
      <w:r w:rsidRPr="00160701">
        <w:rPr>
          <w:rFonts w:ascii="Cambria" w:hAnsi="Cambria"/>
        </w:rPr>
        <w:t>plain vulnerability and stream corridor ris</w:t>
      </w:r>
      <w:r>
        <w:rPr>
          <w:rFonts w:ascii="Cambria" w:hAnsi="Cambria"/>
        </w:rPr>
        <w:t>k – c</w:t>
      </w:r>
      <w:r w:rsidRPr="00160701">
        <w:rPr>
          <w:rFonts w:ascii="Cambria" w:hAnsi="Cambria"/>
        </w:rPr>
        <w:t>an</w:t>
      </w:r>
      <w:r>
        <w:rPr>
          <w:rFonts w:ascii="Cambria" w:hAnsi="Cambria"/>
        </w:rPr>
        <w:t xml:space="preserve"> </w:t>
      </w:r>
      <w:r w:rsidRPr="00160701">
        <w:rPr>
          <w:rFonts w:ascii="Cambria" w:hAnsi="Cambria"/>
        </w:rPr>
        <w:t>inform targeted interventions such as improved stormwater infrastructure, updated building codes, and community preparedness programs.</w:t>
      </w:r>
    </w:p>
    <w:p w14:paraId="726C02BF" w14:textId="77777777" w:rsidR="00160701" w:rsidRPr="00160701" w:rsidRDefault="00160701" w:rsidP="00160701">
      <w:pPr>
        <w:rPr>
          <w:rFonts w:ascii="Cambria" w:hAnsi="Cambria"/>
        </w:rPr>
      </w:pPr>
      <w:r w:rsidRPr="00160701">
        <w:rPr>
          <w:rFonts w:ascii="Cambria" w:hAnsi="Cambria"/>
        </w:rPr>
        <w:t>Several limitations warrant consideration. The uniform population distribution assumption likely overestimates exposure in block groups with large undeveloped areas. The static analysis does not account for future sea level rise or development changes. The model captures physical exposure rather than probabilistic flood modeling, meaning it identifies where flooding could occur rather than how often.</w:t>
      </w:r>
    </w:p>
    <w:p w14:paraId="1CE1E3E8" w14:textId="34B24CDA" w:rsidR="00160701" w:rsidRDefault="00160701" w:rsidP="00160701">
      <w:pPr>
        <w:rPr>
          <w:rFonts w:ascii="Cambria" w:hAnsi="Cambria"/>
        </w:rPr>
      </w:pPr>
      <w:r w:rsidRPr="00160701">
        <w:rPr>
          <w:rFonts w:ascii="Cambria" w:hAnsi="Cambria"/>
        </w:rPr>
        <w:t>Future work could incorporate NOAA sea level rise projections, validate against FEMA flood zone designations and historical flood records, and model evacuation route accessibility. Despite its limitations, this analysis provides a foundation for understanding flood vulnerability on Oahu and supports evidence-based planning for a more resilient Honolulu County.</w:t>
      </w:r>
    </w:p>
    <w:p w14:paraId="2C004A05" w14:textId="77777777" w:rsidR="00DB6F94" w:rsidRDefault="00DB6F94" w:rsidP="00160701">
      <w:pPr>
        <w:rPr>
          <w:rFonts w:ascii="Cambria" w:hAnsi="Cambria"/>
        </w:rPr>
      </w:pPr>
    </w:p>
    <w:p w14:paraId="69FF6C5A" w14:textId="5424EA02" w:rsidR="00DB6F94" w:rsidRPr="00DB6F94" w:rsidRDefault="00DB6F94" w:rsidP="00160701">
      <w:pPr>
        <w:rPr>
          <w:rFonts w:ascii="Cambria" w:hAnsi="Cambria"/>
          <w:b/>
          <w:bCs/>
        </w:rPr>
      </w:pPr>
      <w:r w:rsidRPr="00DB6F94">
        <w:rPr>
          <w:rFonts w:ascii="Cambria" w:hAnsi="Cambria"/>
          <w:b/>
          <w:bCs/>
        </w:rPr>
        <w:lastRenderedPageBreak/>
        <w:t>Appendix</w:t>
      </w:r>
    </w:p>
    <w:p w14:paraId="5979AE53" w14:textId="39A4DBD5" w:rsidR="00052703" w:rsidRDefault="00DB6F94" w:rsidP="00DB6F94">
      <w:pPr>
        <w:pStyle w:val="ListParagraph"/>
        <w:numPr>
          <w:ilvl w:val="0"/>
          <w:numId w:val="2"/>
        </w:numPr>
        <w:rPr>
          <w:rFonts w:ascii="Cambria" w:hAnsi="Cambria"/>
        </w:rPr>
      </w:pPr>
      <w:proofErr w:type="spellStart"/>
      <w:r>
        <w:rPr>
          <w:rFonts w:ascii="Cambria" w:hAnsi="Cambria"/>
        </w:rPr>
        <w:t>Github</w:t>
      </w:r>
      <w:proofErr w:type="spellEnd"/>
      <w:r>
        <w:rPr>
          <w:rFonts w:ascii="Cambria" w:hAnsi="Cambria"/>
        </w:rPr>
        <w:t xml:space="preserve"> repository: </w:t>
      </w:r>
      <w:hyperlink r:id="rId7" w:history="1">
        <w:r w:rsidRPr="00AB39C1">
          <w:rPr>
            <w:rStyle w:val="Hyperlink"/>
            <w:rFonts w:ascii="Cambria" w:hAnsi="Cambria"/>
          </w:rPr>
          <w:t>https://github.com/iyero/5500-final-project</w:t>
        </w:r>
      </w:hyperlink>
    </w:p>
    <w:p w14:paraId="6876A158" w14:textId="27CD8F72" w:rsidR="00DB6F94" w:rsidRPr="00DB6F94" w:rsidRDefault="00DB6F94" w:rsidP="00DB6F94">
      <w:pPr>
        <w:pStyle w:val="ListParagraph"/>
        <w:numPr>
          <w:ilvl w:val="0"/>
          <w:numId w:val="2"/>
        </w:numPr>
        <w:rPr>
          <w:rFonts w:ascii="Cambria" w:hAnsi="Cambria"/>
        </w:rPr>
      </w:pPr>
      <w:r>
        <w:rPr>
          <w:rFonts w:ascii="Cambria" w:hAnsi="Cambria"/>
        </w:rPr>
        <w:t xml:space="preserve">Quarto website: </w:t>
      </w:r>
      <w:hyperlink r:id="rId8" w:history="1">
        <w:r w:rsidRPr="00AB39C1">
          <w:rPr>
            <w:rStyle w:val="Hyperlink"/>
            <w:rFonts w:ascii="Cambria" w:hAnsi="Cambria"/>
          </w:rPr>
          <w:t>https://iyero.github.io/5500-final-project/</w:t>
        </w:r>
      </w:hyperlink>
    </w:p>
    <w:sectPr w:rsidR="00DB6F94" w:rsidRPr="00DB6F94" w:rsidSect="00160701">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A175" w14:textId="77777777" w:rsidR="004E694B" w:rsidRDefault="004E694B" w:rsidP="00052703">
      <w:pPr>
        <w:spacing w:after="0" w:line="240" w:lineRule="auto"/>
      </w:pPr>
      <w:r>
        <w:separator/>
      </w:r>
    </w:p>
  </w:endnote>
  <w:endnote w:type="continuationSeparator" w:id="0">
    <w:p w14:paraId="77F8929B" w14:textId="77777777" w:rsidR="004E694B" w:rsidRDefault="004E694B" w:rsidP="00052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3587" w14:textId="77777777" w:rsidR="004E694B" w:rsidRDefault="004E694B" w:rsidP="00052703">
      <w:pPr>
        <w:spacing w:after="0" w:line="240" w:lineRule="auto"/>
      </w:pPr>
      <w:r>
        <w:separator/>
      </w:r>
    </w:p>
  </w:footnote>
  <w:footnote w:type="continuationSeparator" w:id="0">
    <w:p w14:paraId="2B54F436" w14:textId="77777777" w:rsidR="004E694B" w:rsidRDefault="004E694B" w:rsidP="00052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37D2" w14:textId="77777777" w:rsidR="00160701" w:rsidRPr="00160701" w:rsidRDefault="00160701" w:rsidP="00160701">
    <w:pPr>
      <w:pStyle w:val="Header"/>
      <w:rPr>
        <w:rFonts w:ascii="Cambria" w:hAnsi="Cambria"/>
      </w:rPr>
    </w:pPr>
    <w:r w:rsidRPr="00160701">
      <w:rPr>
        <w:rFonts w:ascii="Cambria" w:hAnsi="Cambria"/>
      </w:rPr>
      <w:t>High Tide Ahead</w:t>
    </w:r>
  </w:p>
  <w:p w14:paraId="766A6434" w14:textId="77777777" w:rsidR="00160701" w:rsidRPr="00160701" w:rsidRDefault="00160701" w:rsidP="00160701">
    <w:pPr>
      <w:pStyle w:val="Header"/>
      <w:rPr>
        <w:rFonts w:ascii="Cambria" w:hAnsi="Cambria"/>
      </w:rPr>
    </w:pPr>
    <w:r w:rsidRPr="00160701">
      <w:rPr>
        <w:rFonts w:ascii="Cambria" w:hAnsi="Cambria"/>
      </w:rPr>
      <w:t>Flood Risk and Population Exposure in Honolulu County, Hawaii</w:t>
    </w:r>
  </w:p>
  <w:p w14:paraId="6A9314E7" w14:textId="77777777" w:rsidR="00160701" w:rsidRPr="00160701" w:rsidRDefault="00160701" w:rsidP="00160701">
    <w:pPr>
      <w:pStyle w:val="Header"/>
      <w:rPr>
        <w:rFonts w:ascii="Cambria" w:hAnsi="Cambria"/>
      </w:rPr>
    </w:pPr>
    <w:r w:rsidRPr="00160701">
      <w:rPr>
        <w:rFonts w:ascii="Cambria" w:hAnsi="Cambria"/>
      </w:rPr>
      <w:t>Oliver Iyer</w:t>
    </w:r>
  </w:p>
  <w:p w14:paraId="2795BF0E" w14:textId="77777777" w:rsidR="00160701" w:rsidRPr="00160701" w:rsidRDefault="00160701" w:rsidP="00160701">
    <w:pPr>
      <w:pStyle w:val="Header"/>
      <w:rPr>
        <w:rFonts w:ascii="Cambria" w:hAnsi="Cambria"/>
      </w:rPr>
    </w:pPr>
    <w:r w:rsidRPr="00160701">
      <w:rPr>
        <w:rFonts w:ascii="Cambria" w:hAnsi="Cambria"/>
      </w:rPr>
      <w:t>MUSA 5500: Geospatial Data Science in Python</w:t>
    </w:r>
  </w:p>
  <w:p w14:paraId="61F7B552" w14:textId="1A739A8E" w:rsidR="00160701" w:rsidRPr="00160701" w:rsidRDefault="00160701">
    <w:pPr>
      <w:pStyle w:val="Header"/>
      <w:rPr>
        <w:rFonts w:ascii="Cambria" w:hAnsi="Cambria"/>
      </w:rPr>
    </w:pPr>
    <w:r w:rsidRPr="00160701">
      <w:rPr>
        <w:rFonts w:ascii="Cambria" w:hAnsi="Cambria"/>
      </w:rPr>
      <w:t>December 2025</w:t>
    </w:r>
  </w:p>
  <w:p w14:paraId="09861DCB" w14:textId="77777777" w:rsidR="00160701" w:rsidRPr="00160701" w:rsidRDefault="00160701">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36852"/>
    <w:multiLevelType w:val="hybridMultilevel"/>
    <w:tmpl w:val="FF003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2D23BC"/>
    <w:multiLevelType w:val="hybridMultilevel"/>
    <w:tmpl w:val="3E243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9357901">
    <w:abstractNumId w:val="1"/>
  </w:num>
  <w:num w:numId="2" w16cid:durableId="11868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03"/>
    <w:rsid w:val="00052703"/>
    <w:rsid w:val="00160701"/>
    <w:rsid w:val="001B1793"/>
    <w:rsid w:val="002211FF"/>
    <w:rsid w:val="004514CC"/>
    <w:rsid w:val="0049023F"/>
    <w:rsid w:val="004E694B"/>
    <w:rsid w:val="007210EA"/>
    <w:rsid w:val="00A55751"/>
    <w:rsid w:val="00AB64EC"/>
    <w:rsid w:val="00BF5D11"/>
    <w:rsid w:val="00DB6F94"/>
    <w:rsid w:val="00E41F98"/>
    <w:rsid w:val="00FC20BA"/>
    <w:rsid w:val="00FF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7AB8"/>
  <w15:chartTrackingRefBased/>
  <w15:docId w15:val="{BDC05A8C-259A-4828-862F-93E48804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03"/>
    <w:rPr>
      <w:rFonts w:eastAsiaTheme="majorEastAsia" w:cstheme="majorBidi"/>
      <w:color w:val="272727" w:themeColor="text1" w:themeTint="D8"/>
    </w:rPr>
  </w:style>
  <w:style w:type="paragraph" w:styleId="Title">
    <w:name w:val="Title"/>
    <w:basedOn w:val="Normal"/>
    <w:next w:val="Normal"/>
    <w:link w:val="TitleChar"/>
    <w:uiPriority w:val="10"/>
    <w:qFormat/>
    <w:rsid w:val="0005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03"/>
    <w:pPr>
      <w:spacing w:before="160"/>
      <w:jc w:val="center"/>
    </w:pPr>
    <w:rPr>
      <w:i/>
      <w:iCs/>
      <w:color w:val="404040" w:themeColor="text1" w:themeTint="BF"/>
    </w:rPr>
  </w:style>
  <w:style w:type="character" w:customStyle="1" w:styleId="QuoteChar">
    <w:name w:val="Quote Char"/>
    <w:basedOn w:val="DefaultParagraphFont"/>
    <w:link w:val="Quote"/>
    <w:uiPriority w:val="29"/>
    <w:rsid w:val="00052703"/>
    <w:rPr>
      <w:i/>
      <w:iCs/>
      <w:color w:val="404040" w:themeColor="text1" w:themeTint="BF"/>
    </w:rPr>
  </w:style>
  <w:style w:type="paragraph" w:styleId="ListParagraph">
    <w:name w:val="List Paragraph"/>
    <w:basedOn w:val="Normal"/>
    <w:uiPriority w:val="34"/>
    <w:qFormat/>
    <w:rsid w:val="00052703"/>
    <w:pPr>
      <w:ind w:left="720"/>
      <w:contextualSpacing/>
    </w:pPr>
  </w:style>
  <w:style w:type="character" w:styleId="IntenseEmphasis">
    <w:name w:val="Intense Emphasis"/>
    <w:basedOn w:val="DefaultParagraphFont"/>
    <w:uiPriority w:val="21"/>
    <w:qFormat/>
    <w:rsid w:val="00052703"/>
    <w:rPr>
      <w:i/>
      <w:iCs/>
      <w:color w:val="0F4761" w:themeColor="accent1" w:themeShade="BF"/>
    </w:rPr>
  </w:style>
  <w:style w:type="paragraph" w:styleId="IntenseQuote">
    <w:name w:val="Intense Quote"/>
    <w:basedOn w:val="Normal"/>
    <w:next w:val="Normal"/>
    <w:link w:val="IntenseQuoteChar"/>
    <w:uiPriority w:val="30"/>
    <w:qFormat/>
    <w:rsid w:val="00052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03"/>
    <w:rPr>
      <w:i/>
      <w:iCs/>
      <w:color w:val="0F4761" w:themeColor="accent1" w:themeShade="BF"/>
    </w:rPr>
  </w:style>
  <w:style w:type="character" w:styleId="IntenseReference">
    <w:name w:val="Intense Reference"/>
    <w:basedOn w:val="DefaultParagraphFont"/>
    <w:uiPriority w:val="32"/>
    <w:qFormat/>
    <w:rsid w:val="00052703"/>
    <w:rPr>
      <w:b/>
      <w:bCs/>
      <w:smallCaps/>
      <w:color w:val="0F4761" w:themeColor="accent1" w:themeShade="BF"/>
      <w:spacing w:val="5"/>
    </w:rPr>
  </w:style>
  <w:style w:type="paragraph" w:styleId="Header">
    <w:name w:val="header"/>
    <w:basedOn w:val="Normal"/>
    <w:link w:val="HeaderChar"/>
    <w:uiPriority w:val="99"/>
    <w:unhideWhenUsed/>
    <w:rsid w:val="00052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703"/>
  </w:style>
  <w:style w:type="paragraph" w:styleId="Footer">
    <w:name w:val="footer"/>
    <w:basedOn w:val="Normal"/>
    <w:link w:val="FooterChar"/>
    <w:uiPriority w:val="99"/>
    <w:unhideWhenUsed/>
    <w:rsid w:val="00052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703"/>
  </w:style>
  <w:style w:type="table" w:styleId="TableGrid">
    <w:name w:val="Table Grid"/>
    <w:basedOn w:val="TableNormal"/>
    <w:uiPriority w:val="39"/>
    <w:rsid w:val="00052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6F94"/>
    <w:rPr>
      <w:color w:val="467886" w:themeColor="hyperlink"/>
      <w:u w:val="single"/>
    </w:rPr>
  </w:style>
  <w:style w:type="character" w:styleId="UnresolvedMention">
    <w:name w:val="Unresolved Mention"/>
    <w:basedOn w:val="DefaultParagraphFont"/>
    <w:uiPriority w:val="99"/>
    <w:semiHidden/>
    <w:unhideWhenUsed/>
    <w:rsid w:val="00DB6F94"/>
    <w:rPr>
      <w:color w:val="605E5C"/>
      <w:shd w:val="clear" w:color="auto" w:fill="E1DFDD"/>
    </w:rPr>
  </w:style>
  <w:style w:type="character" w:styleId="FollowedHyperlink">
    <w:name w:val="FollowedHyperlink"/>
    <w:basedOn w:val="DefaultParagraphFont"/>
    <w:uiPriority w:val="99"/>
    <w:semiHidden/>
    <w:unhideWhenUsed/>
    <w:rsid w:val="002211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yero.github.io/5500-final-project/" TargetMode="External"/><Relationship Id="rId3" Type="http://schemas.openxmlformats.org/officeDocument/2006/relationships/settings" Target="settings.xml"/><Relationship Id="rId7" Type="http://schemas.openxmlformats.org/officeDocument/2006/relationships/hyperlink" Target="https://github.com/iyero/5500-fina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940</Words>
  <Characters>5850</Characters>
  <Application>Microsoft Office Word</Application>
  <DocSecurity>0</DocSecurity>
  <Lines>114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Oliver</dc:creator>
  <cp:keywords/>
  <dc:description/>
  <cp:lastModifiedBy>Iyer, Oliver</cp:lastModifiedBy>
  <cp:revision>5</cp:revision>
  <dcterms:created xsi:type="dcterms:W3CDTF">2025-12-12T19:31:00Z</dcterms:created>
  <dcterms:modified xsi:type="dcterms:W3CDTF">2025-12-12T20:27:00Z</dcterms:modified>
</cp:coreProperties>
</file>