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Ismail Mohammed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08/25/2024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5"/>
        <w:gridCol w:w="1110"/>
        <w:gridCol w:w="1140"/>
        <w:gridCol w:w="1545"/>
        <w:tblGridChange w:id="0">
          <w:tblGrid>
            <w:gridCol w:w="5055"/>
            <w:gridCol w:w="111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18"/>
                <w:szCs w:val="18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18"/>
                <w:szCs w:val="18"/>
                <w:rtl w:val="0"/>
              </w:rPr>
              <w:t xml:space="preserve">Researched the different functions within the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18"/>
                <w:szCs w:val="18"/>
                <w:u w:val="single"/>
                <w:rtl w:val="0"/>
              </w:rPr>
              <w:t xml:space="preserve">math.h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18"/>
                <w:szCs w:val="18"/>
                <w:rtl w:val="0"/>
              </w:rPr>
              <w:t xml:space="preserve"> library: </w:t>
            </w:r>
            <w:hyperlink r:id="rId7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https://www.geeksforgeeks.org/c-library-math-h-functions/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08/25/24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~7:20 pm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10-15 mins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Ismail Mohammed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c-library-math-h-function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