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0"/>
        <w:rPr/>
      </w:pPr>
      <w:r>
        <w:rPr/>
      </w:r>
    </w:p>
    <w:p>
      <w:pPr>
        <w:pStyle w:val="Normal"/>
        <w:spacing w:before="0" w:after="0"/>
        <w:rPr/>
      </w:pPr>
      <w:r>
        <w:rPr>
          <w:rFonts w:eastAsia="Arial" w:cs="Arial"/>
          <w:b/>
          <w:bCs/>
          <w:color w:val="1A3A5C"/>
          <w:sz w:val="40"/>
          <w:szCs w:val="40"/>
        </w:rPr>
        <w:t>iSERIES DEV DISASTER RECOVERY</w:t>
      </w:r>
    </w:p>
    <w:p>
      <w:pPr>
        <w:pStyle w:val="Normal"/>
        <w:pBdr>
          <w:bottom w:val="single" w:sz="16" w:space="8" w:color="2E75B6"/>
        </w:pBdr>
        <w:spacing w:before="0" w:after="300"/>
        <w:rPr/>
      </w:pPr>
      <w:r>
        <w:rPr>
          <w:rFonts w:eastAsia="Arial" w:cs="Arial"/>
          <w:b/>
          <w:bCs/>
          <w:color w:val="2E75B6"/>
          <w:sz w:val="40"/>
          <w:szCs w:val="40"/>
        </w:rPr>
        <w:t>PLAYBOOK</w:t>
      </w:r>
    </w:p>
    <w:p>
      <w:pPr>
        <w:pStyle w:val="Normal"/>
        <w:spacing w:before="0" w:after="300"/>
        <w:rPr/>
      </w:pPr>
      <w:r>
        <w:rPr>
          <w:rFonts w:eastAsia="Arial" w:cs="Arial"/>
          <w:i/>
          <w:iCs/>
          <w:color w:val="44546A"/>
          <w:sz w:val="22"/>
          <w:szCs w:val="22"/>
        </w:rPr>
        <w:t>IBM i (iSeries)  —  Role Swap Execution Guide  |  DEVAC / Equinix → DEVAT / Temple</w:t>
      </w:r>
    </w:p>
    <w:tbl>
      <w:tblPr>
        <w:tblW w:w="9360" w:type="dxa"/>
        <w:jc w:val="left"/>
        <w:tblInd w:w="0" w:type="dxa"/>
        <w:tblLayout w:type="fixed"/>
        <w:tblCellMar>
          <w:top w:w="80" w:type="dxa"/>
          <w:left w:w="140" w:type="dxa"/>
          <w:bottom w:w="80" w:type="dxa"/>
          <w:right w:w="140" w:type="dxa"/>
        </w:tblCellMar>
      </w:tblPr>
      <w:tblGrid>
        <w:gridCol w:w="1900"/>
        <w:gridCol w:w="7459"/>
      </w:tblGrid>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Document Type</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Disaster Recovery (DR) Runbook — Development Environment</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Environment</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DEV — iSeries (IBM i)</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Source System</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DEVAC / Equinix — IP: 10.7.1.130</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Target System</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DEVAT / Temple — IP: 10.7.1.180</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HA Technology</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IBM PowerHA SystemMirror — WRKCLU / DEVADEVCRG Resource Group</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Replication</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Mimix — replication IPs: 10.7.1.132 / 10.7.1.182</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IASP</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DAHAIASP — managed by PowerHA</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OS Version</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IBM i OS 7.5</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Change Refs</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CM-14792  |  ISERIES-840</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Classification</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CONFIDENTIAL — INTERNAL USE ONLY</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Version</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1.0</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Prepared By</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Reviewed By</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Approved By</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Last Updated</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Pr>
          <w:p>
            <w:pPr>
              <w:pStyle w:val="Normal"/>
              <w:rPr/>
            </w:pPr>
            <w:r>
              <w:rPr>
                <w:rFonts w:eastAsia="Arial" w:cs="Arial"/>
                <w:b/>
                <w:bCs/>
                <w:color w:val="1A3A5C"/>
                <w:sz w:val="19"/>
                <w:szCs w:val="19"/>
              </w:rPr>
              <w:t>DR Test Date</w:t>
            </w:r>
          </w:p>
        </w:tc>
        <w:tc>
          <w:tcPr>
            <w:tcW w:w="745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bl>
    <w:p>
      <w:pPr>
        <w:pStyle w:val="Normal"/>
        <w:spacing w:before="200" w:after="200"/>
        <w:rPr/>
      </w:pPr>
      <w:r>
        <w:rPr/>
      </w:r>
    </w:p>
    <w:p>
      <w:pPr>
        <w:pStyle w:val="Normal"/>
        <w:jc w:val="center"/>
        <w:rPr/>
      </w:pPr>
      <w:r>
        <w:rPr>
          <w:rFonts w:eastAsia="Arial" w:cs="Arial"/>
          <w:b/>
          <w:bCs/>
          <w:color w:val="C00000"/>
          <w:sz w:val="17"/>
          <w:szCs w:val="17"/>
        </w:rPr>
        <w:t>This document is CONFIDENTIAL and intended for authorized personnel only. Unauthorized distribution is strictly prohibited.</w:t>
      </w:r>
      <w:r>
        <w:br w:type="page"/>
      </w:r>
    </w:p>
    <w:p>
      <w:pPr>
        <w:pStyle w:val="Normal"/>
        <w:shd w:val="clear" w:fill="0D2340"/>
        <w:spacing w:before="360" w:after="0"/>
        <w:ind w:left="80"/>
        <w:rPr/>
      </w:pPr>
      <w:r>
        <w:rPr>
          <w:rFonts w:eastAsia="Arial" w:cs="Arial"/>
          <w:b/>
          <w:bCs/>
          <w:color w:val="FFFFFF"/>
          <w:sz w:val="26"/>
          <w:szCs w:val="26"/>
        </w:rPr>
        <w:t>INDEX</w:t>
      </w:r>
    </w:p>
    <w:p>
      <w:pPr>
        <w:pStyle w:val="Normal"/>
        <w:shd w:val="clear" w:fill="1F4E79"/>
        <w:spacing w:before="0" w:after="200"/>
        <w:ind w:left="80"/>
        <w:rPr/>
      </w:pPr>
      <w:r>
        <w:rPr>
          <w:rFonts w:eastAsia="Arial" w:cs="Arial"/>
          <w:i/>
          <w:iCs/>
          <w:color w:val="EBF3FB"/>
          <w:sz w:val="18"/>
          <w:szCs w:val="18"/>
        </w:rPr>
        <w:t>Section Listing &amp; Page Reference</w:t>
      </w:r>
    </w:p>
    <w:p>
      <w:pPr>
        <w:pStyle w:val="Normal"/>
        <w:spacing w:before="0" w:after="200"/>
        <w:rPr/>
      </w:pPr>
      <w:r>
        <w:rPr>
          <w:rFonts w:eastAsia="Arial" w:cs="Arial"/>
          <w:i/>
          <w:iCs/>
          <w:color w:val="44546A"/>
          <w:sz w:val="20"/>
          <w:szCs w:val="20"/>
        </w:rPr>
        <w:t>This index is generated from the section and subsection headings below. In Microsoft Word, right-click anywhere in the listing and choose "Update Field" (or press F9) to refresh page numbers after any edits.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4464_1452158057">
            <w:r>
              <w:rPr>
                <w:rStyle w:val="IndexLink"/>
              </w:rPr>
              <w:t>1 EXECUTIVE SUMMARY</w:t>
              <w:tab/>
              <w:t>3</w:t>
            </w:r>
          </w:hyperlink>
        </w:p>
        <w:p>
          <w:pPr>
            <w:pStyle w:val="TOC2"/>
            <w:tabs>
              <w:tab w:val="clear" w:pos="9077"/>
              <w:tab w:val="right" w:pos="9359" w:leader="dot"/>
            </w:tabs>
            <w:rPr/>
          </w:pPr>
          <w:hyperlink w:anchor="__RefHeading___Toc4466_1452158057">
            <w:r>
              <w:rPr>
                <w:rStyle w:val="IndexLink"/>
              </w:rPr>
              <w:t>1.1 DR Lifecycle — Phase Overview</w:t>
              <w:tab/>
              <w:t>3</w:t>
            </w:r>
          </w:hyperlink>
        </w:p>
        <w:p>
          <w:pPr>
            <w:pStyle w:val="TOC1"/>
            <w:tabs>
              <w:tab w:val="clear" w:pos="9360"/>
              <w:tab w:val="right" w:pos="9359" w:leader="dot"/>
            </w:tabs>
            <w:rPr/>
          </w:pPr>
          <w:hyperlink w:anchor="__RefHeading___Toc4468_1452158057">
            <w:r>
              <w:rPr>
                <w:rStyle w:val="IndexLink"/>
              </w:rPr>
              <w:t>2 SCOPE &amp; ENVIRONMENT</w:t>
              <w:tab/>
              <w:t>4</w:t>
            </w:r>
          </w:hyperlink>
        </w:p>
        <w:p>
          <w:pPr>
            <w:pStyle w:val="TOC2"/>
            <w:tabs>
              <w:tab w:val="clear" w:pos="9077"/>
              <w:tab w:val="right" w:pos="9359" w:leader="dot"/>
            </w:tabs>
            <w:rPr/>
          </w:pPr>
          <w:hyperlink w:anchor="__RefHeading___Toc4470_1452158057">
            <w:r>
              <w:rPr>
                <w:rStyle w:val="IndexLink"/>
              </w:rPr>
              <w:t>2.1 Technology Stack</w:t>
              <w:tab/>
              <w:t>4</w:t>
            </w:r>
          </w:hyperlink>
        </w:p>
        <w:p>
          <w:pPr>
            <w:pStyle w:val="TOC2"/>
            <w:tabs>
              <w:tab w:val="clear" w:pos="9077"/>
              <w:tab w:val="right" w:pos="9359" w:leader="dot"/>
            </w:tabs>
            <w:rPr/>
          </w:pPr>
          <w:hyperlink w:anchor="__RefHeading___Toc4472_1452158057">
            <w:r>
              <w:rPr>
                <w:rStyle w:val="IndexLink"/>
              </w:rPr>
              <w:t>2.2 Source / Target Systems</w:t>
              <w:tab/>
              <w:t>4</w:t>
            </w:r>
          </w:hyperlink>
        </w:p>
        <w:p>
          <w:pPr>
            <w:pStyle w:val="TOC2"/>
            <w:tabs>
              <w:tab w:val="clear" w:pos="9077"/>
              <w:tab w:val="right" w:pos="9359" w:leader="dot"/>
            </w:tabs>
            <w:rPr/>
          </w:pPr>
          <w:hyperlink w:anchor="__RefHeading___Toc4474_1452158057">
            <w:r>
              <w:rPr>
                <w:rStyle w:val="IndexLink"/>
              </w:rPr>
              <w:t>2.3 Scope Details</w:t>
              <w:tab/>
              <w:t>4</w:t>
            </w:r>
          </w:hyperlink>
        </w:p>
        <w:p>
          <w:pPr>
            <w:pStyle w:val="TOC1"/>
            <w:tabs>
              <w:tab w:val="clear" w:pos="9360"/>
              <w:tab w:val="right" w:pos="9359" w:leader="dot"/>
            </w:tabs>
            <w:rPr/>
          </w:pPr>
          <w:hyperlink w:anchor="__RefHeading___Toc4476_1452158057">
            <w:r>
              <w:rPr>
                <w:rStyle w:val="IndexLink"/>
              </w:rPr>
              <w:t>3 ROLES &amp; CONTACTS</w:t>
              <w:tab/>
              <w:t>5</w:t>
            </w:r>
          </w:hyperlink>
        </w:p>
        <w:p>
          <w:pPr>
            <w:pStyle w:val="TOC1"/>
            <w:tabs>
              <w:tab w:val="clear" w:pos="9360"/>
              <w:tab w:val="right" w:pos="9359" w:leader="dot"/>
            </w:tabs>
            <w:rPr/>
          </w:pPr>
          <w:hyperlink w:anchor="__RefHeading___Toc4478_1452158057">
            <w:r>
              <w:rPr>
                <w:rStyle w:val="IndexLink"/>
              </w:rPr>
              <w:t>4 PREREQUISITES &amp; PRE-DR CHECKS</w:t>
              <w:tab/>
              <w:t>6</w:t>
            </w:r>
          </w:hyperlink>
        </w:p>
        <w:p>
          <w:pPr>
            <w:pStyle w:val="TOC2"/>
            <w:tabs>
              <w:tab w:val="clear" w:pos="9077"/>
              <w:tab w:val="right" w:pos="9359" w:leader="dot"/>
            </w:tabs>
            <w:rPr/>
          </w:pPr>
          <w:hyperlink w:anchor="__RefHeading___Toc4480_1452158057">
            <w:r>
              <w:rPr>
                <w:rStyle w:val="IndexLink"/>
              </w:rPr>
              <w:t>4.1 Required Before Starting DR</w:t>
              <w:tab/>
              <w:t>6</w:t>
            </w:r>
          </w:hyperlink>
        </w:p>
        <w:p>
          <w:pPr>
            <w:pStyle w:val="TOC2"/>
            <w:tabs>
              <w:tab w:val="clear" w:pos="9077"/>
              <w:tab w:val="right" w:pos="9359" w:leader="dot"/>
            </w:tabs>
            <w:rPr/>
          </w:pPr>
          <w:hyperlink w:anchor="__RefHeading___Toc4482_1452158057">
            <w:r>
              <w:rPr>
                <w:rStyle w:val="IndexLink"/>
              </w:rPr>
              <w:t>4.2 PowerHA Pre-Checks</w:t>
              <w:tab/>
              <w:t>6</w:t>
            </w:r>
          </w:hyperlink>
        </w:p>
        <w:p>
          <w:pPr>
            <w:pStyle w:val="TOC2"/>
            <w:tabs>
              <w:tab w:val="clear" w:pos="9077"/>
              <w:tab w:val="right" w:pos="9359" w:leader="dot"/>
            </w:tabs>
            <w:rPr/>
          </w:pPr>
          <w:hyperlink w:anchor="__RefHeading___Toc4484_1452158057">
            <w:r>
              <w:rPr>
                <w:rStyle w:val="IndexLink"/>
              </w:rPr>
              <w:t>4.3 GoldenGate Pre-Checks</w:t>
              <w:tab/>
              <w:t>6</w:t>
            </w:r>
          </w:hyperlink>
        </w:p>
        <w:p>
          <w:pPr>
            <w:pStyle w:val="TOC1"/>
            <w:tabs>
              <w:tab w:val="clear" w:pos="9360"/>
              <w:tab w:val="right" w:pos="9359" w:leader="dot"/>
            </w:tabs>
            <w:rPr/>
          </w:pPr>
          <w:hyperlink w:anchor="__RefHeading___Toc4486_1452158057">
            <w:r>
              <w:rPr>
                <w:rStyle w:val="IndexLink"/>
              </w:rPr>
              <w:t>5 PRE-DR PREPARATION &amp; ENVIRONMENT CHECKS</w:t>
              <w:tab/>
              <w:t>8</w:t>
            </w:r>
          </w:hyperlink>
        </w:p>
        <w:p>
          <w:pPr>
            <w:pStyle w:val="TOC1"/>
            <w:tabs>
              <w:tab w:val="clear" w:pos="9360"/>
              <w:tab w:val="right" w:pos="9359" w:leader="dot"/>
            </w:tabs>
            <w:rPr/>
          </w:pPr>
          <w:hyperlink w:anchor="__RefHeading___Toc4488_1452158057">
            <w:r>
              <w:rPr>
                <w:rStyle w:val="IndexLink"/>
              </w:rPr>
              <w:t>6 DNS UPDATE</w:t>
              <w:tab/>
              <w:t>9</w:t>
            </w:r>
          </w:hyperlink>
        </w:p>
        <w:p>
          <w:pPr>
            <w:pStyle w:val="TOC1"/>
            <w:tabs>
              <w:tab w:val="clear" w:pos="9360"/>
              <w:tab w:val="right" w:pos="9359" w:leader="dot"/>
            </w:tabs>
            <w:rPr/>
          </w:pPr>
          <w:hyperlink w:anchor="__RefHeading___Toc4490_1452158057">
            <w:r>
              <w:rPr>
                <w:rStyle w:val="IndexLink"/>
              </w:rPr>
              <w:t>7 STOP GOLDENGATE &amp; END SUBSYSTEMS</w:t>
              <w:tab/>
              <w:t>10</w:t>
            </w:r>
          </w:hyperlink>
        </w:p>
        <w:p>
          <w:pPr>
            <w:pStyle w:val="TOC1"/>
            <w:tabs>
              <w:tab w:val="clear" w:pos="9360"/>
              <w:tab w:val="right" w:pos="9359" w:leader="dot"/>
            </w:tabs>
            <w:rPr/>
          </w:pPr>
          <w:hyperlink w:anchor="__RefHeading___Toc4492_1452158057">
            <w:r>
              <w:rPr>
                <w:rStyle w:val="IndexLink"/>
              </w:rPr>
              <w:t>8 POWERHA CLUSTER OPERATIONS &amp; IASP SWITCHOVER</w:t>
              <w:tab/>
              <w:t>11</w:t>
            </w:r>
          </w:hyperlink>
        </w:p>
        <w:p>
          <w:pPr>
            <w:pStyle w:val="TOC2"/>
            <w:tabs>
              <w:tab w:val="clear" w:pos="9077"/>
              <w:tab w:val="right" w:pos="9359" w:leader="dot"/>
            </w:tabs>
            <w:rPr/>
          </w:pPr>
          <w:hyperlink w:anchor="__RefHeading___Toc4494_1452158057">
            <w:r>
              <w:rPr>
                <w:rStyle w:val="IndexLink"/>
              </w:rPr>
              <w:t>8.1 Pre-Switchover Checks</w:t>
              <w:tab/>
              <w:t>11</w:t>
            </w:r>
          </w:hyperlink>
        </w:p>
        <w:p>
          <w:pPr>
            <w:pStyle w:val="TOC2"/>
            <w:tabs>
              <w:tab w:val="clear" w:pos="9077"/>
              <w:tab w:val="right" w:pos="9359" w:leader="dot"/>
            </w:tabs>
            <w:rPr/>
          </w:pPr>
          <w:hyperlink w:anchor="__RefHeading___Toc4496_1452158057">
            <w:r>
              <w:rPr>
                <w:rStyle w:val="IndexLink"/>
              </w:rPr>
              <w:t>8.2 Initiate the Switchover</w:t>
              <w:tab/>
              <w:t>11</w:t>
            </w:r>
          </w:hyperlink>
        </w:p>
        <w:p>
          <w:pPr>
            <w:pStyle w:val="TOC2"/>
            <w:tabs>
              <w:tab w:val="clear" w:pos="9077"/>
              <w:tab w:val="right" w:pos="9359" w:leader="dot"/>
            </w:tabs>
            <w:rPr/>
          </w:pPr>
          <w:hyperlink w:anchor="__RefHeading___Toc4498_1452158057">
            <w:r>
              <w:rPr>
                <w:rStyle w:val="IndexLink"/>
              </w:rPr>
              <w:t>8.3 Monitor Switchover Progress</w:t>
              <w:tab/>
              <w:t>12</w:t>
            </w:r>
          </w:hyperlink>
        </w:p>
        <w:p>
          <w:pPr>
            <w:pStyle w:val="TOC1"/>
            <w:tabs>
              <w:tab w:val="clear" w:pos="9360"/>
              <w:tab w:val="right" w:pos="9359" w:leader="dot"/>
            </w:tabs>
            <w:rPr/>
          </w:pPr>
          <w:hyperlink w:anchor="__RefHeading___Toc4500_1452158057">
            <w:r>
              <w:rPr>
                <w:rStyle w:val="IndexLink"/>
              </w:rPr>
              <w:t>9 MIMIX REPLICATION VERIFICATION</w:t>
              <w:tab/>
              <w:t>13</w:t>
            </w:r>
          </w:hyperlink>
        </w:p>
        <w:p>
          <w:pPr>
            <w:pStyle w:val="TOC1"/>
            <w:tabs>
              <w:tab w:val="clear" w:pos="9360"/>
              <w:tab w:val="right" w:pos="9359" w:leader="dot"/>
            </w:tabs>
            <w:rPr/>
          </w:pPr>
          <w:hyperlink w:anchor="__RefHeading___Toc4502_1452158057">
            <w:r>
              <w:rPr>
                <w:rStyle w:val="IndexLink"/>
              </w:rPr>
              <w:t>10 POST-SWITCHOVER CLUSTER VERIFICATION</w:t>
              <w:tab/>
              <w:t>14</w:t>
            </w:r>
          </w:hyperlink>
        </w:p>
        <w:p>
          <w:pPr>
            <w:pStyle w:val="TOC1"/>
            <w:tabs>
              <w:tab w:val="clear" w:pos="9360"/>
              <w:tab w:val="right" w:pos="9359" w:leader="dot"/>
            </w:tabs>
            <w:rPr/>
          </w:pPr>
          <w:hyperlink w:anchor="__RefHeading___Toc4504_1452158057">
            <w:r>
              <w:rPr>
                <w:rStyle w:val="IndexLink"/>
              </w:rPr>
              <w:t>11 APPLY 3RD-PARTY SOFTWARE KEYS</w:t>
              <w:tab/>
              <w:t>15</w:t>
            </w:r>
          </w:hyperlink>
        </w:p>
        <w:p>
          <w:pPr>
            <w:pStyle w:val="TOC2"/>
            <w:tabs>
              <w:tab w:val="clear" w:pos="9077"/>
              <w:tab w:val="right" w:pos="9359" w:leader="dot"/>
            </w:tabs>
            <w:rPr/>
          </w:pPr>
          <w:hyperlink w:anchor="__RefHeading___Toc4506_1452158057">
            <w:r>
              <w:rPr>
                <w:rStyle w:val="IndexLink"/>
              </w:rPr>
              <w:t>11.1 Spyview Key (SN# 7858201, LPAR 002)</w:t>
              <w:tab/>
              <w:t>15</w:t>
            </w:r>
          </w:hyperlink>
        </w:p>
        <w:p>
          <w:pPr>
            <w:pStyle w:val="TOC2"/>
            <w:tabs>
              <w:tab w:val="clear" w:pos="9077"/>
              <w:tab w:val="right" w:pos="9359" w:leader="dot"/>
            </w:tabs>
            <w:rPr/>
          </w:pPr>
          <w:hyperlink w:anchor="__RefHeading___Toc4508_1452158057">
            <w:r>
              <w:rPr>
                <w:rStyle w:val="IndexLink"/>
              </w:rPr>
              <w:t>11.2 Turnover Key (SN# 7858201, LPAR 002)</w:t>
              <w:tab/>
              <w:t>15</w:t>
            </w:r>
          </w:hyperlink>
        </w:p>
        <w:p>
          <w:pPr>
            <w:pStyle w:val="TOC2"/>
            <w:tabs>
              <w:tab w:val="clear" w:pos="9077"/>
              <w:tab w:val="right" w:pos="9359" w:leader="dot"/>
            </w:tabs>
            <w:rPr/>
          </w:pPr>
          <w:hyperlink w:anchor="__RefHeading___Toc4510_1452158057">
            <w:r>
              <w:rPr>
                <w:rStyle w:val="IndexLink"/>
              </w:rPr>
              <w:t>11.3 DSI Key (90-Day, by Serial Number)</w:t>
              <w:tab/>
              <w:t>16</w:t>
            </w:r>
          </w:hyperlink>
        </w:p>
        <w:p>
          <w:pPr>
            <w:pStyle w:val="TOC2"/>
            <w:tabs>
              <w:tab w:val="clear" w:pos="9077"/>
              <w:tab w:val="right" w:pos="9359" w:leader="dot"/>
            </w:tabs>
            <w:rPr/>
          </w:pPr>
          <w:hyperlink w:anchor="__RefHeading___Toc4512_1452158057">
            <w:r>
              <w:rPr>
                <w:rStyle w:val="IndexLink"/>
              </w:rPr>
              <w:t>11.4 JDE World Keys (A7.3 cum 7, SN# 7858201)</w:t>
              <w:tab/>
              <w:t>18</w:t>
            </w:r>
          </w:hyperlink>
        </w:p>
        <w:p>
          <w:pPr>
            <w:pStyle w:val="TOC2"/>
            <w:tabs>
              <w:tab w:val="clear" w:pos="9077"/>
              <w:tab w:val="right" w:pos="9359" w:leader="dot"/>
            </w:tabs>
            <w:rPr/>
          </w:pPr>
          <w:hyperlink w:anchor="__RefHeading___Toc4514_1452158057">
            <w:r>
              <w:rPr>
                <w:rStyle w:val="IndexLink"/>
              </w:rPr>
              <w:t>11.5 DXRECOV System Install Key</w:t>
              <w:tab/>
              <w:t>19</w:t>
            </w:r>
          </w:hyperlink>
        </w:p>
        <w:p>
          <w:pPr>
            <w:pStyle w:val="TOC2"/>
            <w:tabs>
              <w:tab w:val="clear" w:pos="9077"/>
              <w:tab w:val="right" w:pos="9359" w:leader="dot"/>
            </w:tabs>
            <w:rPr/>
          </w:pPr>
          <w:hyperlink w:anchor="__RefHeading___Toc4516_1452158057">
            <w:r>
              <w:rPr>
                <w:rStyle w:val="IndexLink"/>
              </w:rPr>
              <w:t>11.6 Robot Schedule Reset</w:t>
              <w:tab/>
              <w:t>20</w:t>
            </w:r>
          </w:hyperlink>
        </w:p>
        <w:p>
          <w:pPr>
            <w:pStyle w:val="TOC1"/>
            <w:tabs>
              <w:tab w:val="clear" w:pos="9360"/>
              <w:tab w:val="right" w:pos="9359" w:leader="dot"/>
            </w:tabs>
            <w:rPr/>
          </w:pPr>
          <w:hyperlink w:anchor="__RefHeading___Toc4518_1452158057">
            <w:r>
              <w:rPr>
                <w:rStyle w:val="IndexLink"/>
              </w:rPr>
              <w:t>12 TCP HOST TABLE UPDATES</w:t>
              <w:tab/>
              <w:t>21</w:t>
            </w:r>
          </w:hyperlink>
        </w:p>
        <w:p>
          <w:pPr>
            <w:pStyle w:val="TOC2"/>
            <w:tabs>
              <w:tab w:val="clear" w:pos="9077"/>
              <w:tab w:val="right" w:pos="9359" w:leader="dot"/>
            </w:tabs>
            <w:rPr/>
          </w:pPr>
          <w:hyperlink w:anchor="__RefHeading___Toc4520_1452158057">
            <w:r>
              <w:rPr>
                <w:rStyle w:val="IndexLink"/>
              </w:rPr>
              <w:t>12.1 PRODA (PA) Host Table</w:t>
              <w:tab/>
              <w:t>21</w:t>
            </w:r>
          </w:hyperlink>
        </w:p>
        <w:p>
          <w:pPr>
            <w:pStyle w:val="TOC2"/>
            <w:tabs>
              <w:tab w:val="clear" w:pos="9077"/>
              <w:tab w:val="right" w:pos="9359" w:leader="dot"/>
            </w:tabs>
            <w:rPr/>
          </w:pPr>
          <w:hyperlink w:anchor="__RefHeading___Toc4522_1452158057">
            <w:r>
              <w:rPr>
                <w:rStyle w:val="IndexLink"/>
              </w:rPr>
              <w:t>12.2 PRODE (PE) Host Table</w:t>
              <w:tab/>
              <w:t>21</w:t>
            </w:r>
          </w:hyperlink>
        </w:p>
        <w:p>
          <w:pPr>
            <w:pStyle w:val="TOC2"/>
            <w:tabs>
              <w:tab w:val="clear" w:pos="9077"/>
              <w:tab w:val="right" w:pos="9359" w:leader="dot"/>
            </w:tabs>
            <w:rPr/>
          </w:pPr>
          <w:hyperlink w:anchor="__RefHeading___Toc4524_1452158057">
            <w:r>
              <w:rPr>
                <w:rStyle w:val="IndexLink"/>
              </w:rPr>
              <w:t>12.3 DEVAT/Temple Host Table</w:t>
              <w:tab/>
              <w:t>22</w:t>
            </w:r>
          </w:hyperlink>
        </w:p>
        <w:p>
          <w:pPr>
            <w:pStyle w:val="TOC2"/>
            <w:tabs>
              <w:tab w:val="clear" w:pos="9077"/>
              <w:tab w:val="right" w:pos="9359" w:leader="dot"/>
            </w:tabs>
            <w:rPr/>
          </w:pPr>
          <w:hyperlink w:anchor="__RefHeading___Toc4526_1452158057">
            <w:r>
              <w:rPr>
                <w:rStyle w:val="IndexLink"/>
              </w:rPr>
              <w:t>12.4 DEVAC/Equinix Host Table</w:t>
              <w:tab/>
              <w:t>22</w:t>
            </w:r>
          </w:hyperlink>
        </w:p>
        <w:p>
          <w:pPr>
            <w:pStyle w:val="TOC2"/>
            <w:tabs>
              <w:tab w:val="clear" w:pos="9077"/>
              <w:tab w:val="right" w:pos="9359" w:leader="dot"/>
            </w:tabs>
            <w:rPr/>
          </w:pPr>
          <w:hyperlink w:anchor="__RefHeading___Toc4528_1452158057">
            <w:r>
              <w:rPr>
                <w:rStyle w:val="IndexLink"/>
              </w:rPr>
              <w:t>12.5 PRODDSS (DSST) Host Table</w:t>
              <w:tab/>
              <w:t>23</w:t>
            </w:r>
          </w:hyperlink>
        </w:p>
        <w:p>
          <w:pPr>
            <w:pStyle w:val="TOC2"/>
            <w:tabs>
              <w:tab w:val="clear" w:pos="9077"/>
              <w:tab w:val="right" w:pos="9359" w:leader="dot"/>
            </w:tabs>
            <w:rPr/>
          </w:pPr>
          <w:hyperlink w:anchor="__RefHeading___Toc4530_1452158057">
            <w:r>
              <w:rPr>
                <w:rStyle w:val="IndexLink"/>
              </w:rPr>
              <w:t>12.6 PRODDSSC (DSSC) Host Table</w:t>
              <w:tab/>
              <w:t>23</w:t>
            </w:r>
          </w:hyperlink>
        </w:p>
        <w:p>
          <w:pPr>
            <w:pStyle w:val="TOC1"/>
            <w:tabs>
              <w:tab w:val="clear" w:pos="9360"/>
              <w:tab w:val="right" w:pos="9359" w:leader="dot"/>
            </w:tabs>
            <w:rPr/>
          </w:pPr>
          <w:hyperlink w:anchor="__RefHeading___Toc4532_1452158057">
            <w:r>
              <w:rPr>
                <w:rStyle w:val="IndexLink"/>
              </w:rPr>
              <w:t>13 APPLY FASTFAX KEY &amp; VALIDATE</w:t>
              <w:tab/>
              <w:t>24</w:t>
            </w:r>
          </w:hyperlink>
        </w:p>
        <w:p>
          <w:pPr>
            <w:pStyle w:val="TOC1"/>
            <w:tabs>
              <w:tab w:val="clear" w:pos="9360"/>
              <w:tab w:val="right" w:pos="9359" w:leader="dot"/>
            </w:tabs>
            <w:rPr/>
          </w:pPr>
          <w:hyperlink w:anchor="__RefHeading___Toc4534_1452158057">
            <w:r>
              <w:rPr>
                <w:rStyle w:val="IndexLink"/>
              </w:rPr>
              <w:t>14 HANDOVER TO TESTERS &amp; START LEVEL 3</w:t>
              <w:tab/>
              <w:t>26</w:t>
            </w:r>
          </w:hyperlink>
        </w:p>
        <w:p>
          <w:pPr>
            <w:pStyle w:val="TOC1"/>
            <w:tabs>
              <w:tab w:val="clear" w:pos="9360"/>
              <w:tab w:val="right" w:pos="9359" w:leader="dot"/>
            </w:tabs>
            <w:rPr/>
          </w:pPr>
          <w:hyperlink w:anchor="__RefHeading___Toc4536_1452158057">
            <w:r>
              <w:rPr>
                <w:rStyle w:val="IndexLink"/>
              </w:rPr>
              <w:t>15 POST-DR JOBS &amp; FINAL CLEANUP</w:t>
              <w:tab/>
              <w:t>27</w:t>
            </w:r>
          </w:hyperlink>
        </w:p>
        <w:p>
          <w:pPr>
            <w:pStyle w:val="TOC1"/>
            <w:tabs>
              <w:tab w:val="clear" w:pos="9360"/>
              <w:tab w:val="right" w:pos="9359" w:leader="dot"/>
            </w:tabs>
            <w:rPr/>
          </w:pPr>
          <w:hyperlink w:anchor="__RefHeading___Toc4538_1452158057">
            <w:r>
              <w:rPr>
                <w:rStyle w:val="IndexLink"/>
              </w:rPr>
              <w:t>16 GOLDENGATE RESTART &amp; APPLICATION SERVICES</w:t>
              <w:tab/>
              <w:t>28</w:t>
            </w:r>
          </w:hyperlink>
        </w:p>
        <w:p>
          <w:pPr>
            <w:pStyle w:val="TOC1"/>
            <w:tabs>
              <w:tab w:val="clear" w:pos="9360"/>
              <w:tab w:val="right" w:pos="9359" w:leader="dot"/>
            </w:tabs>
            <w:rPr/>
          </w:pPr>
          <w:hyperlink w:anchor="__RefHeading___Toc4540_1452158057">
            <w:r>
              <w:rPr>
                <w:rStyle w:val="IndexLink"/>
              </w:rPr>
              <w:t>17 ROBOT NETWORK GUI CONFIGURATION</w:t>
              <w:tab/>
              <w:t>29</w:t>
            </w:r>
          </w:hyperlink>
        </w:p>
        <w:p>
          <w:pPr>
            <w:pStyle w:val="TOC1"/>
            <w:tabs>
              <w:tab w:val="clear" w:pos="9360"/>
              <w:tab w:val="right" w:pos="9359" w:leader="dot"/>
            </w:tabs>
            <w:rPr/>
          </w:pPr>
          <w:hyperlink w:anchor="__RefHeading___Toc4542_1452158057">
            <w:r>
              <w:rPr>
                <w:rStyle w:val="IndexLink"/>
              </w:rPr>
              <w:t>18 DR EXECUTION SIGN-OFF</w:t>
              <w:tab/>
              <w:t>30</w:t>
            </w:r>
          </w:hyperlink>
        </w:p>
        <w:p>
          <w:pPr>
            <w:pStyle w:val="TOC1"/>
            <w:tabs>
              <w:tab w:val="clear" w:pos="9360"/>
              <w:tab w:val="right" w:pos="9359" w:leader="dot"/>
            </w:tabs>
            <w:rPr/>
          </w:pPr>
          <w:hyperlink w:anchor="__RefHeading___Toc4544_1452158057">
            <w:r>
              <w:rPr>
                <w:rStyle w:val="IndexLink"/>
              </w:rPr>
              <w:t>19 DETAILED POST-DR VERIFICATION CHECKLIST</w:t>
              <w:tab/>
              <w:t>31</w:t>
            </w:r>
          </w:hyperlink>
        </w:p>
        <w:p>
          <w:pPr>
            <w:pStyle w:val="TOC1"/>
            <w:tabs>
              <w:tab w:val="clear" w:pos="9360"/>
              <w:tab w:val="right" w:pos="9359" w:leader="dot"/>
            </w:tabs>
            <w:rPr/>
          </w:pPr>
          <w:hyperlink w:anchor="__RefHeading___Toc4546_1452158057">
            <w:r>
              <w:rPr>
                <w:rStyle w:val="IndexLink"/>
              </w:rPr>
              <w:t>20 KNOWN ISSUES &amp; WORKAROUNDS</w:t>
              <w:tab/>
              <w:t>34</w:t>
            </w:r>
          </w:hyperlink>
        </w:p>
        <w:p>
          <w:pPr>
            <w:pStyle w:val="TOC1"/>
            <w:tabs>
              <w:tab w:val="clear" w:pos="9360"/>
              <w:tab w:val="right" w:pos="9359" w:leader="dot"/>
            </w:tabs>
            <w:rPr/>
          </w:pPr>
          <w:hyperlink w:anchor="__RefHeading___Toc4548_1452158057">
            <w:r>
              <w:rPr>
                <w:rStyle w:val="IndexLink"/>
              </w:rPr>
              <w:t>21 SOFTWARE LICENSE KEY REFERENCE</w:t>
              <w:tab/>
              <w:t>35</w:t>
            </w:r>
          </w:hyperlink>
        </w:p>
        <w:p>
          <w:pPr>
            <w:pStyle w:val="TOC1"/>
            <w:tabs>
              <w:tab w:val="clear" w:pos="9360"/>
              <w:tab w:val="right" w:pos="9359" w:leader="dot"/>
            </w:tabs>
            <w:rPr/>
          </w:pPr>
          <w:hyperlink w:anchor="__RefHeading___Toc4550_1452158057">
            <w:r>
              <w:rPr>
                <w:rStyle w:val="IndexLink"/>
              </w:rPr>
              <w:t>22 EXPECTED ACTIVE SUBSYSTEMS — DEVAT/TEMPLE</w:t>
              <w:tab/>
              <w:t>37</w:t>
            </w:r>
          </w:hyperlink>
        </w:p>
        <w:p>
          <w:pPr>
            <w:pStyle w:val="TOC1"/>
            <w:tabs>
              <w:tab w:val="clear" w:pos="9360"/>
              <w:tab w:val="right" w:pos="9359" w:leader="dot"/>
            </w:tabs>
            <w:rPr/>
          </w:pPr>
          <w:hyperlink w:anchor="__RefHeading___Toc4552_1452158057">
            <w:r>
              <w:rPr>
                <w:rStyle w:val="IndexLink"/>
              </w:rPr>
              <w:t>23 DNS &amp; NETWORK REFERENCE</w:t>
              <w:tab/>
              <w:t>38</w:t>
            </w:r>
          </w:hyperlink>
        </w:p>
        <w:p>
          <w:pPr>
            <w:pStyle w:val="TOC1"/>
            <w:tabs>
              <w:tab w:val="clear" w:pos="9360"/>
              <w:tab w:val="right" w:pos="9359" w:leader="dot"/>
            </w:tabs>
            <w:rPr/>
          </w:pPr>
          <w:hyperlink w:anchor="__RefHeading___Toc4554_1452158057">
            <w:r>
              <w:rPr>
                <w:rStyle w:val="IndexLink"/>
              </w:rPr>
              <w:t>24 QUICK REFERENCE — KEY COMMANDS</w:t>
              <w:tab/>
              <w:t>39</w:t>
            </w:r>
          </w:hyperlink>
          <w:r>
            <w:rPr>
              <w:rStyle w:val="IndexLink"/>
            </w:rPr>
            <w:fldChar w:fldCharType="end"/>
          </w:r>
        </w:p>
      </w:sdtContent>
    </w:sdt>
    <w:p>
      <w:pPr>
        <w:pStyle w:val="Normal"/>
        <w:rPr/>
      </w:pPr>
      <w:r>
        <w:rPr/>
      </w:r>
      <w:r>
        <w:br w:type="page"/>
      </w:r>
    </w:p>
    <w:p>
      <w:pPr>
        <w:pStyle w:val="Heading1"/>
        <w:shd w:val="clear" w:fill="0D2340"/>
        <w:spacing w:before="360" w:after="0"/>
        <w:ind w:left="80"/>
        <w:rPr/>
      </w:pPr>
      <w:bookmarkStart w:id="0" w:name="__RefHeading___Toc4464_1452158057"/>
      <w:bookmarkEnd w:id="0"/>
      <w:r>
        <w:rPr>
          <w:rFonts w:eastAsia="Arial" w:cs="Arial" w:ascii="Arial" w:hAnsi="Arial"/>
          <w:b/>
          <w:bCs/>
          <w:color w:val="2E75B6"/>
          <w:sz w:val="22"/>
          <w:szCs w:val="22"/>
        </w:rPr>
        <w:t>1</w:t>
      </w:r>
      <w:r>
        <w:rPr>
          <w:rFonts w:eastAsia="Arial" w:cs="Arial" w:ascii="Arial" w:hAnsi="Arial"/>
          <w:sz w:val="22"/>
          <w:szCs w:val="22"/>
        </w:rPr>
        <w:t xml:space="preserve">   </w:t>
      </w:r>
      <w:r>
        <w:rPr>
          <w:rFonts w:eastAsia="Arial" w:cs="Arial" w:ascii="Arial" w:hAnsi="Arial"/>
          <w:b/>
          <w:bCs/>
          <w:color w:val="FFFFFF"/>
          <w:sz w:val="26"/>
          <w:szCs w:val="26"/>
        </w:rPr>
        <w:t>EXECUTIVE SUMMARY</w:t>
      </w:r>
    </w:p>
    <w:p>
      <w:pPr>
        <w:pStyle w:val="Normal"/>
        <w:shd w:val="clear" w:fill="1F4E79"/>
        <w:spacing w:before="0" w:after="160"/>
        <w:ind w:left="80"/>
        <w:rPr/>
      </w:pPr>
      <w:r>
        <w:rPr>
          <w:rFonts w:eastAsia="Arial" w:cs="Arial"/>
          <w:i/>
          <w:iCs/>
          <w:color w:val="EBF3FB"/>
          <w:sz w:val="18"/>
          <w:szCs w:val="18"/>
        </w:rPr>
        <w:t>Purpose, Scope &amp; Governance Framework</w:t>
      </w:r>
    </w:p>
    <w:p>
      <w:pPr>
        <w:pStyle w:val="Normal"/>
        <w:spacing w:before="0" w:after="120"/>
        <w:rPr/>
      </w:pPr>
      <w:r>
        <w:rPr>
          <w:rFonts w:eastAsia="Arial" w:cs="Arial"/>
          <w:i w:val="false"/>
          <w:iCs w:val="false"/>
          <w:color w:val="44546A"/>
          <w:sz w:val="20"/>
          <w:szCs w:val="20"/>
        </w:rPr>
        <w:t>This Disaster Recovery Playbook defines the step-by-step procedure to activate the iSeries DEV Disaster Recovery environment by switching the active IBM i partition from DEVAC/Equinix (primary) to DEVAT/Temple (DR target). The switchover is orchestrated using IBM PowerHA SystemMirror for the IASP (DAHAIASP), with Mimix providing continuous journal-based replication between the two sites.</w:t>
      </w:r>
    </w:p>
    <w:tbl>
      <w:tblPr>
        <w:tblW w:w="9360" w:type="dxa"/>
        <w:jc w:val="left"/>
        <w:tblInd w:w="0" w:type="dxa"/>
        <w:tblLayout w:type="fixed"/>
        <w:tblCellMar>
          <w:top w:w="90" w:type="dxa"/>
          <w:left w:w="160" w:type="dxa"/>
          <w:bottom w:w="90" w:type="dxa"/>
          <w:right w:w="160" w:type="dxa"/>
        </w:tblCellMar>
      </w:tblPr>
      <w:tblGrid>
        <w:gridCol w:w="1900"/>
        <w:gridCol w:w="7459"/>
      </w:tblGrid>
      <w:tr>
        <w:trPr/>
        <w:tc>
          <w:tcPr>
            <w:tcW w:w="9359" w:type="dxa"/>
            <w:gridSpan w:val="2"/>
            <w:tcBorders>
              <w:top w:val="single" w:sz="4" w:space="0" w:color="1A3A5C"/>
              <w:left w:val="single" w:sz="4" w:space="0" w:color="1A3A5C"/>
              <w:bottom w:val="single" w:sz="4" w:space="0" w:color="1A3A5C"/>
              <w:right w:val="single" w:sz="4" w:space="0" w:color="1A3A5C"/>
            </w:tcBorders>
            <w:shd w:fill="1A3A5C" w:val="clear"/>
          </w:tcPr>
          <w:p>
            <w:pPr>
              <w:pStyle w:val="Normal"/>
              <w:rPr/>
            </w:pPr>
            <w:r>
              <w:rPr>
                <w:rFonts w:eastAsia="Arial" w:cs="Arial"/>
                <w:b/>
                <w:bCs/>
                <w:color w:val="FFFFFF"/>
                <w:sz w:val="19"/>
                <w:szCs w:val="19"/>
              </w:rPr>
              <w:t>KEY FACTS &amp; GOVERNANCE PARAMETERS</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Objective</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Switch the active IBM i partition from DEVAC/Equinix (primary) to DEVAT/Temple (DR target) with minimum disruption and full auditability.</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Scope</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IBM i (iSeries) DEV environment — PowerHA-controlled IASP switchover, Mimix replication reversal, 3rd-party software key application, TCP host table updates, and full post-DR validation.</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Source Facility</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The DEVAC source site is hosted at Equinix. All references to "DEVAC" without a site suffix refer to the Equinix facility.</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HA Strategy</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IBM PowerHA SystemMirror controls the IASP (DAHAIASP) switchover via the DEVADEVCRG cluster resource group across 4 cluster nodes. Mimix reverses replication direction once the switchover completes.</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Target RTO</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To be defined by management based on business criticality tiers. Currently under review.</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Target RPO</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Near-zero data loss — Mimix journal-based replication ensures minimal data loss under normal switchover conditions.</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Evidence Policy</w:t>
            </w:r>
          </w:p>
        </w:tc>
        <w:tc>
          <w:tcPr>
            <w:tcW w:w="7459" w:type="dxa"/>
            <w:tcBorders>
              <w:top w:val="single" w:sz="4" w:space="0" w:color="EBF3FB"/>
              <w:left w:val="single" w:sz="4" w:space="0" w:color="EBF3FB"/>
              <w:bottom w:val="single" w:sz="4" w:space="0" w:color="EBF3FB"/>
              <w:right w:val="single" w:sz="4" w:space="0" w:color="EBF3FB"/>
            </w:tcBorders>
            <w:shd w:fill="FFF2CC" w:val="clear"/>
            <w:tcMar>
              <w:top w:w="80" w:type="dxa"/>
              <w:left w:w="140" w:type="dxa"/>
              <w:bottom w:w="80" w:type="dxa"/>
              <w:right w:w="140" w:type="dxa"/>
            </w:tcMar>
          </w:tcPr>
          <w:p>
            <w:pPr>
              <w:pStyle w:val="Normal"/>
              <w:rPr/>
            </w:pPr>
            <w:r>
              <w:rPr>
                <w:rFonts w:eastAsia="Arial" w:cs="Arial"/>
                <w:color w:val="44546A"/>
                <w:sz w:val="19"/>
                <w:szCs w:val="19"/>
              </w:rPr>
              <w:t>Verification evidence (completion record, timestamp, and system output) is required at every milestone identified as a checkpoint in this playbook. Administrative and preparatory steps are tracked via step-level completion only.</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Escalation Threshold</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Mimix replication direction not reversing: escalate immediately to the Mimix Administrator (FS7300). DEVAC ASP State stuck beyond 10 minutes: escalate to IBM support.</w:t>
            </w:r>
          </w:p>
        </w:tc>
      </w:tr>
      <w:tr>
        <w:trPr/>
        <w:tc>
          <w:tcPr>
            <w:tcW w:w="1900" w:type="dxa"/>
            <w:tcBorders>
              <w:top w:val="single" w:sz="4" w:space="0" w:color="EBF3FB"/>
              <w:left w:val="single" w:sz="4" w:space="0" w:color="EBF3FB"/>
              <w:bottom w:val="single" w:sz="4" w:space="0" w:color="EBF3FB"/>
              <w:right w:val="single" w:sz="4" w:space="0" w:color="EBF3FB"/>
            </w:tcBorders>
            <w:shd w:fill="D6E4F0" w:val="clear"/>
            <w:tcMar>
              <w:top w:w="80" w:type="dxa"/>
              <w:left w:w="140" w:type="dxa"/>
              <w:bottom w:w="80" w:type="dxa"/>
              <w:right w:w="140" w:type="dxa"/>
            </w:tcMar>
          </w:tcPr>
          <w:p>
            <w:pPr>
              <w:pStyle w:val="Normal"/>
              <w:rPr/>
            </w:pPr>
            <w:r>
              <w:rPr>
                <w:rFonts w:eastAsia="Arial" w:cs="Arial"/>
                <w:b/>
                <w:bCs/>
                <w:color w:val="1A3A5C"/>
                <w:sz w:val="19"/>
                <w:szCs w:val="19"/>
              </w:rPr>
              <w:t>Communication Policy</w:t>
            </w:r>
          </w:p>
        </w:tc>
        <w:tc>
          <w:tcPr>
            <w:tcW w:w="7459" w:type="dxa"/>
            <w:tcBorders>
              <w:top w:val="single" w:sz="4" w:space="0" w:color="EBF3FB"/>
              <w:left w:val="single" w:sz="4" w:space="0" w:color="EBF3FB"/>
              <w:bottom w:val="single" w:sz="4" w:space="0" w:color="EBF3FB"/>
              <w:right w:val="single" w:sz="4" w:space="0" w:color="EBF3FB"/>
            </w:tcBorders>
            <w:shd w:fill="FFFFFF" w:val="clear"/>
            <w:tcMar>
              <w:top w:w="80" w:type="dxa"/>
              <w:left w:w="140" w:type="dxa"/>
              <w:bottom w:w="80" w:type="dxa"/>
              <w:right w:w="140" w:type="dxa"/>
            </w:tcMar>
          </w:tcPr>
          <w:p>
            <w:pPr>
              <w:pStyle w:val="Normal"/>
              <w:rPr/>
            </w:pPr>
            <w:r>
              <w:rPr>
                <w:rFonts w:eastAsia="Arial" w:cs="Arial"/>
                <w:color w:val="44546A"/>
                <w:sz w:val="19"/>
                <w:szCs w:val="19"/>
              </w:rPr>
              <w:t>All team members (DR Lead, SYSMGMT, MLENGBR2, QSECOFR, DXRECOV, Mimix Administrator) must be confirmed on the DR coordination call before Phase 1 begins.</w:t>
            </w:r>
          </w:p>
        </w:tc>
      </w:tr>
    </w:tbl>
    <w:p>
      <w:pPr>
        <w:pStyle w:val="Normal"/>
        <w:spacing w:before="160" w:after="160"/>
        <w:rPr/>
      </w:pPr>
      <w:r>
        <w:rPr/>
      </w:r>
    </w:p>
    <w:p>
      <w:pPr>
        <w:pStyle w:val="Heading2"/>
        <w:spacing w:before="200" w:after="60"/>
        <w:rPr/>
      </w:pPr>
      <w:bookmarkStart w:id="1" w:name="__RefHeading___Toc4466_1452158057"/>
      <w:bookmarkEnd w:id="1"/>
      <w:r>
        <w:rPr>
          <w:rFonts w:eastAsia="Arial" w:cs="Arial" w:ascii="Arial" w:hAnsi="Arial"/>
          <w:b/>
          <w:bCs/>
          <w:color w:val="2E75B6"/>
          <w:sz w:val="22"/>
          <w:szCs w:val="22"/>
        </w:rPr>
        <w:t xml:space="preserve">1.1  </w:t>
      </w:r>
      <w:r>
        <w:rPr>
          <w:rFonts w:eastAsia="Arial" w:cs="Arial" w:ascii="Arial" w:hAnsi="Arial"/>
          <w:b/>
          <w:bCs/>
          <w:color w:val="1A3A5C"/>
          <w:sz w:val="22"/>
          <w:szCs w:val="22"/>
        </w:rPr>
        <w:t>DR Lifecycle — Phase Overview</w:t>
      </w:r>
    </w:p>
    <w:p>
      <w:pPr>
        <w:pStyle w:val="Normal"/>
        <w:pBdr>
          <w:bottom w:val="single" w:sz="8" w:space="1" w:color="2E75B6"/>
        </w:pBdr>
        <w:spacing w:before="0" w:after="60"/>
        <w:rPr/>
      </w:pPr>
      <w:r>
        <w:rPr/>
      </w:r>
    </w:p>
    <w:p>
      <w:pPr>
        <w:pStyle w:val="Normal"/>
        <w:spacing w:before="0" w:after="120"/>
        <w:rPr/>
      </w:pPr>
      <w:r>
        <w:rPr>
          <w:rFonts w:eastAsia="Arial" w:cs="Arial"/>
          <w:i w:val="false"/>
          <w:iCs w:val="false"/>
          <w:color w:val="44546A"/>
          <w:sz w:val="20"/>
          <w:szCs w:val="20"/>
        </w:rPr>
        <w:t>The following sequence reflects the end-to-end role swap execution order. Each phase gate requires evidence sign-off before proceeding to the next.</w:t>
      </w:r>
    </w:p>
    <w:tbl>
      <w:tblPr>
        <w:tblW w:w="9360" w:type="dxa"/>
        <w:jc w:val="left"/>
        <w:tblInd w:w="0" w:type="dxa"/>
        <w:tblLayout w:type="fixed"/>
        <w:tblCellMar>
          <w:top w:w="80" w:type="dxa"/>
          <w:left w:w="80" w:type="dxa"/>
          <w:bottom w:w="80" w:type="dxa"/>
          <w:right w:w="80" w:type="dxa"/>
        </w:tblCellMar>
      </w:tblPr>
      <w:tblGrid>
        <w:gridCol w:w="1170"/>
        <w:gridCol w:w="1170"/>
        <w:gridCol w:w="1170"/>
        <w:gridCol w:w="1170"/>
        <w:gridCol w:w="1170"/>
        <w:gridCol w:w="1170"/>
        <w:gridCol w:w="1170"/>
        <w:gridCol w:w="1169"/>
      </w:tblGrid>
      <w:tr>
        <w:trPr/>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1–2</w:t>
            </w:r>
          </w:p>
          <w:p>
            <w:pPr>
              <w:pStyle w:val="Normal"/>
              <w:jc w:val="center"/>
              <w:rPr/>
            </w:pPr>
            <w:r>
              <w:rPr>
                <w:rFonts w:eastAsia="Arial" w:cs="Arial"/>
                <w:b/>
                <w:bCs/>
                <w:color w:val="FFFFFF"/>
                <w:sz w:val="16"/>
                <w:szCs w:val="16"/>
              </w:rPr>
              <w:t>Pre-DR Prep &amp; DNS</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3</w:t>
            </w:r>
          </w:p>
          <w:p>
            <w:pPr>
              <w:pStyle w:val="Normal"/>
              <w:jc w:val="center"/>
              <w:rPr/>
            </w:pPr>
            <w:r>
              <w:rPr>
                <w:rFonts w:eastAsia="Arial" w:cs="Arial"/>
                <w:b/>
                <w:bCs/>
                <w:color w:val="FFFFFF"/>
                <w:sz w:val="16"/>
                <w:szCs w:val="16"/>
              </w:rPr>
              <w:t>GoldenGate &amp; Level 3</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4</w:t>
            </w:r>
          </w:p>
          <w:p>
            <w:pPr>
              <w:pStyle w:val="Normal"/>
              <w:jc w:val="center"/>
              <w:rPr/>
            </w:pPr>
            <w:r>
              <w:rPr>
                <w:rFonts w:eastAsia="Arial" w:cs="Arial"/>
                <w:b/>
                <w:bCs/>
                <w:color w:val="FFFFFF"/>
                <w:sz w:val="16"/>
                <w:szCs w:val="16"/>
              </w:rPr>
              <w:t>PowerHA Switchover</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5–6</w:t>
            </w:r>
          </w:p>
          <w:p>
            <w:pPr>
              <w:pStyle w:val="Normal"/>
              <w:jc w:val="center"/>
              <w:rPr/>
            </w:pPr>
            <w:r>
              <w:rPr>
                <w:rFonts w:eastAsia="Arial" w:cs="Arial"/>
                <w:b/>
                <w:bCs/>
                <w:color w:val="FFFFFF"/>
                <w:sz w:val="16"/>
                <w:szCs w:val="16"/>
              </w:rPr>
              <w:t>Mimix &amp; Cluster</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7</w:t>
            </w:r>
          </w:p>
          <w:p>
            <w:pPr>
              <w:pStyle w:val="Normal"/>
              <w:jc w:val="center"/>
              <w:rPr/>
            </w:pPr>
            <w:r>
              <w:rPr>
                <w:rFonts w:eastAsia="Arial" w:cs="Arial"/>
                <w:b/>
                <w:bCs/>
                <w:color w:val="FFFFFF"/>
                <w:sz w:val="16"/>
                <w:szCs w:val="16"/>
              </w:rPr>
              <w:t>3rd-Party Keys</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8</w:t>
            </w:r>
          </w:p>
          <w:p>
            <w:pPr>
              <w:pStyle w:val="Normal"/>
              <w:jc w:val="center"/>
              <w:rPr/>
            </w:pPr>
            <w:r>
              <w:rPr>
                <w:rFonts w:eastAsia="Arial" w:cs="Arial"/>
                <w:b/>
                <w:bCs/>
                <w:color w:val="FFFFFF"/>
                <w:sz w:val="16"/>
                <w:szCs w:val="16"/>
              </w:rPr>
              <w:t>Host Tables</w:t>
            </w:r>
          </w:p>
        </w:tc>
        <w:tc>
          <w:tcPr>
            <w:tcW w:w="117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9–12</w:t>
            </w:r>
          </w:p>
          <w:p>
            <w:pPr>
              <w:pStyle w:val="Normal"/>
              <w:jc w:val="center"/>
              <w:rPr/>
            </w:pPr>
            <w:r>
              <w:rPr>
                <w:rFonts w:eastAsia="Arial" w:cs="Arial"/>
                <w:b/>
                <w:bCs/>
                <w:color w:val="FFFFFF"/>
                <w:sz w:val="16"/>
                <w:szCs w:val="16"/>
              </w:rPr>
              <w:t>FastFax &amp; Handover</w:t>
            </w:r>
          </w:p>
        </w:tc>
        <w:tc>
          <w:tcPr>
            <w:tcW w:w="116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jc w:val="center"/>
              <w:rPr/>
            </w:pPr>
            <w:r>
              <w:rPr>
                <w:rFonts w:eastAsia="Arial" w:cs="Arial"/>
                <w:b/>
                <w:bCs/>
                <w:color w:val="D6E4F0"/>
                <w:sz w:val="16"/>
                <w:szCs w:val="16"/>
              </w:rPr>
              <w:t>Phase 13–14</w:t>
            </w:r>
          </w:p>
          <w:p>
            <w:pPr>
              <w:pStyle w:val="Normal"/>
              <w:jc w:val="center"/>
              <w:rPr/>
            </w:pPr>
            <w:r>
              <w:rPr>
                <w:rFonts w:eastAsia="Arial" w:cs="Arial"/>
                <w:b/>
                <w:bCs/>
                <w:color w:val="FFFFFF"/>
                <w:sz w:val="16"/>
                <w:szCs w:val="16"/>
              </w:rPr>
              <w:t>Services &amp; Robot GUI</w:t>
            </w:r>
          </w:p>
        </w:tc>
      </w:tr>
      <w:tr>
        <w:trPr/>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Coordination call · Baseline capture · DNS pointer change</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Stop GoldenGate · End subsystems · End Level 3 (DEVAC)</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Pre-switch checks · Initiate switch · Monitor ASP state</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Replication direction reversed · 4-node cluster verified</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Spyview · Turnover · DSI · JDE · DXRECOV · Robot Schedule</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TCP host table updates — PA, PE, DEVAT, DEVAC, DSST, DSSC</w:t>
            </w:r>
          </w:p>
        </w:tc>
        <w:tc>
          <w:tcPr>
            <w:tcW w:w="1170"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FastFax key · Tester handover · Level 3 start · Post-DR jobs</w:t>
            </w:r>
          </w:p>
        </w:tc>
        <w:tc>
          <w:tcPr>
            <w:tcW w:w="1169" w:type="dxa"/>
            <w:tcBorders>
              <w:top w:val="single" w:sz="4" w:space="0" w:color="EBF3FB"/>
              <w:left w:val="single" w:sz="4" w:space="0" w:color="EBF3FB"/>
              <w:bottom w:val="single" w:sz="4" w:space="0" w:color="EBF3FB"/>
              <w:right w:val="single" w:sz="4" w:space="0" w:color="EBF3FB"/>
            </w:tcBorders>
            <w:shd w:fill="F2F6FA" w:val="clear"/>
          </w:tcPr>
          <w:p>
            <w:pPr>
              <w:pStyle w:val="Normal"/>
              <w:jc w:val="center"/>
              <w:rPr/>
            </w:pPr>
            <w:r>
              <w:rPr>
                <w:rFonts w:eastAsia="Arial" w:cs="Arial"/>
                <w:color w:val="44546A"/>
                <w:sz w:val="14"/>
                <w:szCs w:val="14"/>
              </w:rPr>
              <w:t>GoldenGate restart · App services · Robot Network GUI config</w:t>
            </w:r>
          </w:p>
        </w:tc>
      </w:tr>
    </w:tbl>
    <w:p>
      <w:pPr>
        <w:pStyle w:val="Normal"/>
        <w:rPr/>
      </w:pPr>
      <w:r>
        <w:rPr/>
      </w:r>
      <w:r>
        <w:br w:type="page"/>
      </w:r>
    </w:p>
    <w:p>
      <w:pPr>
        <w:pStyle w:val="Heading1"/>
        <w:shd w:val="clear" w:fill="0D2340"/>
        <w:spacing w:before="0" w:after="0"/>
        <w:ind w:left="80"/>
        <w:rPr/>
      </w:pPr>
      <w:bookmarkStart w:id="2" w:name="__RefHeading___Toc4468_1452158057"/>
      <w:bookmarkEnd w:id="2"/>
      <w:r>
        <w:rPr>
          <w:rFonts w:eastAsia="Arial" w:cs="Arial" w:ascii="Arial" w:hAnsi="Arial"/>
          <w:b/>
          <w:bCs/>
          <w:color w:val="2E75B6"/>
          <w:sz w:val="22"/>
          <w:szCs w:val="22"/>
        </w:rPr>
        <w:t>2</w:t>
      </w:r>
      <w:r>
        <w:rPr>
          <w:rFonts w:eastAsia="Arial" w:cs="Arial" w:ascii="Arial" w:hAnsi="Arial"/>
          <w:sz w:val="22"/>
          <w:szCs w:val="22"/>
        </w:rPr>
        <w:t xml:space="preserve">   </w:t>
      </w:r>
      <w:r>
        <w:rPr>
          <w:rFonts w:eastAsia="Arial" w:cs="Arial" w:ascii="Arial" w:hAnsi="Arial"/>
          <w:b/>
          <w:bCs/>
          <w:color w:val="FFFFFF"/>
          <w:sz w:val="26"/>
          <w:szCs w:val="26"/>
        </w:rPr>
        <w:t>SCOPE &amp; ENVIRONMENT</w:t>
      </w:r>
    </w:p>
    <w:p>
      <w:pPr>
        <w:pStyle w:val="Normal"/>
        <w:shd w:val="clear" w:fill="1F4E79"/>
        <w:spacing w:before="0" w:after="160"/>
        <w:ind w:left="80"/>
        <w:rPr/>
      </w:pPr>
      <w:r>
        <w:rPr>
          <w:rFonts w:eastAsia="Arial" w:cs="Arial"/>
          <w:i/>
          <w:iCs/>
          <w:color w:val="EBF3FB"/>
          <w:sz w:val="18"/>
          <w:szCs w:val="18"/>
        </w:rPr>
        <w:t>Technology Stack, Source/Target Systems &amp; Network Scope</w:t>
      </w:r>
    </w:p>
    <w:p>
      <w:pPr>
        <w:pStyle w:val="Heading2"/>
        <w:spacing w:before="200" w:after="60"/>
        <w:rPr/>
      </w:pPr>
      <w:bookmarkStart w:id="3" w:name="__RefHeading___Toc4470_1452158057"/>
      <w:bookmarkEnd w:id="3"/>
      <w:r>
        <w:rPr>
          <w:rFonts w:eastAsia="Arial" w:cs="Arial" w:ascii="Arial" w:hAnsi="Arial"/>
          <w:b/>
          <w:bCs/>
          <w:color w:val="2E75B6"/>
          <w:sz w:val="22"/>
          <w:szCs w:val="22"/>
        </w:rPr>
        <w:t xml:space="preserve">2.1  </w:t>
      </w:r>
      <w:r>
        <w:rPr>
          <w:rFonts w:eastAsia="Arial" w:cs="Arial" w:ascii="Arial" w:hAnsi="Arial"/>
          <w:b/>
          <w:bCs/>
          <w:color w:val="1A3A5C"/>
          <w:sz w:val="22"/>
          <w:szCs w:val="22"/>
        </w:rPr>
        <w:t>Technology Stack</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2799"/>
        <w:gridCol w:w="6560"/>
      </w:tblGrid>
      <w:tr>
        <w:trPr>
          <w:tblHeader w:val="true"/>
          <w:cantSplit w:val="true"/>
        </w:trPr>
        <w:tc>
          <w:tcPr>
            <w:tcW w:w="27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Component</w:t>
            </w:r>
          </w:p>
        </w:tc>
        <w:tc>
          <w:tcPr>
            <w:tcW w:w="656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Role</w:t>
            </w:r>
          </w:p>
        </w:tc>
      </w:tr>
      <w:tr>
        <w:trPr>
          <w:cantSplit w:val="true"/>
        </w:trPr>
        <w:tc>
          <w:tcPr>
            <w:tcW w:w="27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IBM PowerHA SystemMirror</w:t>
            </w:r>
          </w:p>
        </w:tc>
        <w:tc>
          <w:tcPr>
            <w:tcW w:w="6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Cluster resource group (DEVADEVCRG) controls IASP switchover via WRKCLU across 4 cluster nodes.</w:t>
            </w:r>
          </w:p>
        </w:tc>
      </w:tr>
      <w:tr>
        <w:trPr>
          <w:cantSplit w:val="true"/>
        </w:trPr>
        <w:tc>
          <w:tcPr>
            <w:tcW w:w="27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Mimix</w:t>
            </w:r>
          </w:p>
        </w:tc>
        <w:tc>
          <w:tcPr>
            <w:tcW w:w="65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Journal-based replication between DEVAC and DEVAT. The Mimix Administrator (FS7300) verifies replication direction after the PowerHA switchover.</w:t>
            </w:r>
          </w:p>
        </w:tc>
      </w:tr>
      <w:tr>
        <w:trPr>
          <w:cantSplit w:val="true"/>
        </w:trPr>
        <w:tc>
          <w:tcPr>
            <w:tcW w:w="27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GoldenGate</w:t>
            </w:r>
          </w:p>
        </w:tc>
        <w:tc>
          <w:tcPr>
            <w:tcW w:w="6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Data replication processes that must be stopped on source before switchover and restarted on target after.</w:t>
            </w:r>
          </w:p>
        </w:tc>
      </w:tr>
      <w:tr>
        <w:trPr>
          <w:cantSplit w:val="true"/>
        </w:trPr>
        <w:tc>
          <w:tcPr>
            <w:tcW w:w="27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DAHAIASP</w:t>
            </w:r>
          </w:p>
        </w:tc>
        <w:tc>
          <w:tcPr>
            <w:tcW w:w="65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The IASP containing DEV application data, managed by PowerHA across the 4 cluster nodes.</w:t>
            </w:r>
          </w:p>
        </w:tc>
      </w:tr>
      <w:tr>
        <w:trPr>
          <w:cantSplit w:val="true"/>
        </w:trPr>
        <w:tc>
          <w:tcPr>
            <w:tcW w:w="27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DEVAHA</w:t>
            </w:r>
          </w:p>
        </w:tc>
        <w:tc>
          <w:tcPr>
            <w:tcW w:w="6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The HA node; ASP copy is verified here before initiating the switchover.</w:t>
            </w:r>
          </w:p>
        </w:tc>
      </w:tr>
    </w:tbl>
    <w:p>
      <w:pPr>
        <w:pStyle w:val="Normal"/>
        <w:spacing w:before="160" w:after="160"/>
        <w:rPr/>
      </w:pPr>
      <w:r>
        <w:rPr/>
      </w:r>
    </w:p>
    <w:p>
      <w:pPr>
        <w:pStyle w:val="Heading2"/>
        <w:spacing w:before="200" w:after="60"/>
        <w:rPr/>
      </w:pPr>
      <w:bookmarkStart w:id="4" w:name="__RefHeading___Toc4472_1452158057"/>
      <w:bookmarkEnd w:id="4"/>
      <w:r>
        <w:rPr>
          <w:rFonts w:eastAsia="Arial" w:cs="Arial" w:ascii="Arial" w:hAnsi="Arial"/>
          <w:b/>
          <w:bCs/>
          <w:color w:val="2E75B6"/>
          <w:sz w:val="22"/>
          <w:szCs w:val="22"/>
        </w:rPr>
        <w:t xml:space="preserve">2.2  </w:t>
      </w:r>
      <w:r>
        <w:rPr>
          <w:rFonts w:eastAsia="Arial" w:cs="Arial" w:ascii="Arial" w:hAnsi="Arial"/>
          <w:b/>
          <w:bCs/>
          <w:color w:val="1A3A5C"/>
          <w:sz w:val="22"/>
          <w:szCs w:val="22"/>
        </w:rPr>
        <w:t>Source / Target Systems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2399"/>
        <w:gridCol w:w="3480"/>
        <w:gridCol w:w="3481"/>
      </w:tblGrid>
      <w:tr>
        <w:trPr>
          <w:tblHeader w:val="true"/>
          <w:cantSplit w:val="true"/>
        </w:trPr>
        <w:tc>
          <w:tcPr>
            <w:tcW w:w="23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Component</w:t>
            </w:r>
          </w:p>
        </w:tc>
        <w:tc>
          <w:tcPr>
            <w:tcW w:w="348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Source (DEVAC / Equinix)</w:t>
            </w:r>
          </w:p>
        </w:tc>
        <w:tc>
          <w:tcPr>
            <w:tcW w:w="348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Target (DEVAT / Temple)</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Role</w:t>
            </w:r>
          </w:p>
        </w:tc>
        <w:tc>
          <w:tcPr>
            <w:tcW w:w="34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Primary — Active</w:t>
            </w:r>
          </w:p>
        </w:tc>
        <w:tc>
          <w:tcPr>
            <w:tcW w:w="34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DR Target — Standby</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Location</w:t>
            </w:r>
          </w:p>
        </w:tc>
        <w:tc>
          <w:tcPr>
            <w:tcW w:w="34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Equinix</w:t>
            </w:r>
          </w:p>
        </w:tc>
        <w:tc>
          <w:tcPr>
            <w:tcW w:w="34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Temple</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IP Address</w:t>
            </w:r>
          </w:p>
        </w:tc>
        <w:tc>
          <w:tcPr>
            <w:tcW w:w="34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10.7.1.130</w:t>
            </w:r>
          </w:p>
        </w:tc>
        <w:tc>
          <w:tcPr>
            <w:tcW w:w="34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10.7.1.180</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Mimix Replication IP</w:t>
            </w:r>
          </w:p>
        </w:tc>
        <w:tc>
          <w:tcPr>
            <w:tcW w:w="34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10.7.1.132</w:t>
            </w:r>
          </w:p>
        </w:tc>
        <w:tc>
          <w:tcPr>
            <w:tcW w:w="34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10.7.1.182</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DNS Pointer (DEVA)</w:t>
            </w:r>
          </w:p>
        </w:tc>
        <w:tc>
          <w:tcPr>
            <w:tcW w:w="34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10.7.1.161</w:t>
            </w:r>
          </w:p>
        </w:tc>
        <w:tc>
          <w:tcPr>
            <w:tcW w:w="34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10.7.1.231</w:t>
            </w:r>
          </w:p>
        </w:tc>
      </w:tr>
      <w:tr>
        <w:trPr>
          <w:cantSplit w:val="true"/>
        </w:trPr>
        <w:tc>
          <w:tcPr>
            <w:tcW w:w="23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IASP</w:t>
            </w:r>
          </w:p>
        </w:tc>
        <w:tc>
          <w:tcPr>
            <w:tcW w:w="34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DAHAIASP (Active)</w:t>
            </w:r>
          </w:p>
        </w:tc>
        <w:tc>
          <w:tcPr>
            <w:tcW w:w="34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DAHAIASP (Varies On During Switch)</w:t>
            </w:r>
          </w:p>
        </w:tc>
      </w:tr>
    </w:tbl>
    <w:p>
      <w:pPr>
        <w:pStyle w:val="Normal"/>
        <w:spacing w:before="160" w:after="160"/>
        <w:rPr/>
      </w:pPr>
      <w:r>
        <w:rPr/>
      </w:r>
    </w:p>
    <w:p>
      <w:pPr>
        <w:pStyle w:val="Heading2"/>
        <w:spacing w:before="200" w:after="60"/>
        <w:rPr/>
      </w:pPr>
      <w:bookmarkStart w:id="5" w:name="__RefHeading___Toc4474_1452158057"/>
      <w:bookmarkEnd w:id="5"/>
      <w:r>
        <w:rPr>
          <w:rFonts w:eastAsia="Arial" w:cs="Arial" w:ascii="Arial" w:hAnsi="Arial"/>
          <w:b/>
          <w:bCs/>
          <w:color w:val="2E75B6"/>
          <w:sz w:val="22"/>
          <w:szCs w:val="22"/>
        </w:rPr>
        <w:t xml:space="preserve">2.3  </w:t>
      </w:r>
      <w:r>
        <w:rPr>
          <w:rFonts w:eastAsia="Arial" w:cs="Arial" w:ascii="Arial" w:hAnsi="Arial"/>
          <w:b/>
          <w:bCs/>
          <w:color w:val="1A3A5C"/>
          <w:sz w:val="22"/>
          <w:szCs w:val="22"/>
        </w:rPr>
        <w:t>Scope Details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3200"/>
        <w:gridCol w:w="6159"/>
      </w:tblGrid>
      <w:tr>
        <w:trPr>
          <w:tblHeader w:val="true"/>
          <w:cantSplit w:val="true"/>
        </w:trPr>
        <w:tc>
          <w:tcPr>
            <w:tcW w:w="32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Item</w:t>
            </w:r>
          </w:p>
        </w:tc>
        <w:tc>
          <w:tcPr>
            <w:tcW w:w="615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Detail</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Host table updates required on</w:t>
            </w:r>
          </w:p>
        </w:tc>
        <w:tc>
          <w:tcPr>
            <w:tcW w:w="61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DEVAT, DEVAC, PRODA (PA), PRODE (PE), PRODDSS (DSST), PRODDSSC (DSSC)</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Execution phases</w:t>
            </w:r>
          </w:p>
        </w:tc>
        <w:tc>
          <w:tcPr>
            <w:tcW w:w="61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14 execution phases covering all DR steps from pre-DR preparation through GoldenGate and application service restart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3rd-party software requiring key re-application</w:t>
            </w:r>
          </w:p>
        </w:tc>
        <w:tc>
          <w:tcPr>
            <w:tcW w:w="61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Spyview, Turnover, DSI, JDE World, DXRECOV, FastFax (see Section 21 for full reference)</w:t>
            </w:r>
          </w:p>
        </w:tc>
      </w:tr>
    </w:tbl>
    <w:p>
      <w:pPr>
        <w:pStyle w:val="Normal"/>
        <w:rPr/>
      </w:pPr>
      <w:r>
        <w:rPr/>
      </w:r>
      <w:r>
        <w:br w:type="page"/>
      </w:r>
    </w:p>
    <w:p>
      <w:pPr>
        <w:pStyle w:val="Heading1"/>
        <w:shd w:val="clear" w:fill="0D2340"/>
        <w:spacing w:before="0" w:after="0"/>
        <w:ind w:left="80"/>
        <w:rPr/>
      </w:pPr>
      <w:bookmarkStart w:id="6" w:name="__RefHeading___Toc4476_1452158057"/>
      <w:bookmarkEnd w:id="6"/>
      <w:r>
        <w:rPr>
          <w:rFonts w:eastAsia="Arial" w:cs="Arial" w:ascii="Arial" w:hAnsi="Arial"/>
          <w:b/>
          <w:bCs/>
          <w:color w:val="2E75B6"/>
          <w:sz w:val="22"/>
          <w:szCs w:val="22"/>
        </w:rPr>
        <w:t>3</w:t>
      </w:r>
      <w:r>
        <w:rPr>
          <w:rFonts w:eastAsia="Arial" w:cs="Arial" w:ascii="Arial" w:hAnsi="Arial"/>
          <w:sz w:val="22"/>
          <w:szCs w:val="22"/>
        </w:rPr>
        <w:t xml:space="preserve">   </w:t>
      </w:r>
      <w:r>
        <w:rPr>
          <w:rFonts w:eastAsia="Arial" w:cs="Arial" w:ascii="Arial" w:hAnsi="Arial"/>
          <w:b/>
          <w:bCs/>
          <w:color w:val="FFFFFF"/>
          <w:sz w:val="26"/>
          <w:szCs w:val="26"/>
        </w:rPr>
        <w:t>ROLES &amp; CONTACTS</w:t>
      </w:r>
    </w:p>
    <w:p>
      <w:pPr>
        <w:pStyle w:val="Normal"/>
        <w:shd w:val="clear" w:fill="1F4E79"/>
        <w:spacing w:before="0" w:after="160"/>
        <w:ind w:left="80"/>
        <w:rPr/>
      </w:pPr>
      <w:r>
        <w:rPr>
          <w:rFonts w:eastAsia="Arial" w:cs="Arial"/>
          <w:i/>
          <w:iCs/>
          <w:color w:val="EBF3FB"/>
          <w:sz w:val="18"/>
          <w:szCs w:val="18"/>
        </w:rPr>
        <w:t>DR Execution Team — Confirmed Availability Required Before Initiation</w:t>
      </w:r>
    </w:p>
    <w:p>
      <w:pPr>
        <w:pStyle w:val="Normal"/>
        <w:spacing w:before="0" w:after="120"/>
        <w:rPr/>
      </w:pPr>
      <w:r>
        <w:rPr>
          <w:rFonts w:eastAsia="Arial" w:cs="Arial"/>
          <w:i w:val="false"/>
          <w:iCs w:val="false"/>
          <w:color w:val="44546A"/>
          <w:sz w:val="20"/>
          <w:szCs w:val="20"/>
        </w:rPr>
        <w:t>All profiles listed below must be confirmed available and reachable before initiating the role swap. All team members must be on the DR coordination call before Phase 1 begins.</w:t>
      </w:r>
    </w:p>
    <w:tbl>
      <w:tblPr>
        <w:tblW w:w="9360" w:type="dxa"/>
        <w:jc w:val="left"/>
        <w:tblInd w:w="0" w:type="dxa"/>
        <w:tblLayout w:type="fixed"/>
        <w:tblCellMar>
          <w:top w:w="80" w:type="dxa"/>
          <w:left w:w="140" w:type="dxa"/>
          <w:bottom w:w="80" w:type="dxa"/>
          <w:right w:w="140" w:type="dxa"/>
        </w:tblCellMar>
      </w:tblPr>
      <w:tblGrid>
        <w:gridCol w:w="1799"/>
        <w:gridCol w:w="4300"/>
        <w:gridCol w:w="1700"/>
        <w:gridCol w:w="1560"/>
      </w:tblGrid>
      <w:tr>
        <w:trPr>
          <w:tblHeader w:val="true"/>
          <w:cantSplit w:val="true"/>
        </w:trPr>
        <w:tc>
          <w:tcPr>
            <w:tcW w:w="17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Profile / Role</w:t>
            </w:r>
          </w:p>
        </w:tc>
        <w:tc>
          <w:tcPr>
            <w:tcW w:w="43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Responsibilities</w:t>
            </w:r>
          </w:p>
        </w:tc>
        <w:tc>
          <w:tcPr>
            <w:tcW w:w="17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Systems</w:t>
            </w:r>
          </w:p>
        </w:tc>
        <w:tc>
          <w:tcPr>
            <w:tcW w:w="156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20"/>
              <w:rPr/>
            </w:pPr>
            <w:r>
              <w:rPr>
                <w:rFonts w:eastAsia="Arial" w:cs="Arial"/>
                <w:b/>
                <w:bCs/>
                <w:color w:val="FFFFFF"/>
                <w:sz w:val="19"/>
                <w:szCs w:val="19"/>
              </w:rPr>
              <w:t>Availability</w:t>
            </w:r>
          </w:p>
          <w:p>
            <w:pPr>
              <w:pStyle w:val="Normal"/>
              <w:spacing w:before="0" w:after="0"/>
              <w:rPr/>
            </w:pPr>
            <w:r>
              <w:rPr>
                <w:rFonts w:eastAsia="Arial" w:cs="Arial"/>
                <w:b/>
                <w:bCs/>
                <w:color w:val="FFFFFF"/>
                <w:sz w:val="19"/>
                <w:szCs w:val="19"/>
              </w:rPr>
              <w:t>Confirmed</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DR Lead / Sysadmin</w:t>
            </w:r>
          </w:p>
        </w:tc>
        <w:tc>
          <w:tcPr>
            <w:tcW w:w="4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DR orchestration. Handles DNS changes, Spyview key application, DSI key, JDE key initiation, GoldenGate restart, Robot Network GUI, FormsPrint queues, SMTP, and QNTC connectivity.</w:t>
            </w:r>
          </w:p>
        </w:tc>
        <w:tc>
          <w:tcPr>
            <w:tcW w:w="17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DEVAT / DEVAC</w:t>
            </w:r>
          </w:p>
        </w:tc>
        <w:tc>
          <w:tcPr>
            <w:tcW w:w="1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SYSMGMT</w:t>
            </w:r>
          </w:p>
        </w:tc>
        <w:tc>
          <w:tcPr>
            <w:tcW w:w="4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System Management privileged profile. Responsible for ending/starting Level 3, applying 3rd-party keys (Spyview, Turnover, FastFax), and post-DR job execution (ETS51000, ETS50020, ETS50001, ETS40080, OPS90100).</w:t>
            </w:r>
          </w:p>
        </w:tc>
        <w:tc>
          <w:tcPr>
            <w:tcW w:w="17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DEVAT / DEVAC</w:t>
            </w:r>
          </w:p>
        </w:tc>
        <w:tc>
          <w:tcPr>
            <w:tcW w:w="15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MLENGBR2</w:t>
            </w:r>
          </w:p>
        </w:tc>
        <w:tc>
          <w:tcPr>
            <w:tcW w:w="4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Operations / Middleware profile. Stops GoldenGate (GGSCI), runs Robot stop/start jobs (ETS95040, ETS95010, ETS95030), Robot Schedule reset (RSLSETOID), FormsPrint verification, and TCP host table updates across all systems.</w:t>
            </w:r>
          </w:p>
        </w:tc>
        <w:tc>
          <w:tcPr>
            <w:tcW w:w="17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DEVAT / DEVAC / PA / PE</w:t>
            </w:r>
          </w:p>
        </w:tc>
        <w:tc>
          <w:tcPr>
            <w:tcW w:w="1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QSECOFR</w:t>
            </w:r>
          </w:p>
        </w:tc>
        <w:tc>
          <w:tcPr>
            <w:tcW w:w="4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Security Officer profile. Responsible for IBM PowerHA cluster operations via WRKCLU — verifying/switching the DEVADEVCRG Resource Group, monitoring IASP VARYOFF/AVAILABLE states, and rebuilding JDE index objects.</w:t>
            </w:r>
          </w:p>
        </w:tc>
        <w:tc>
          <w:tcPr>
            <w:tcW w:w="17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DEVAC / DEVAT</w:t>
            </w:r>
          </w:p>
        </w:tc>
        <w:tc>
          <w:tcPr>
            <w:tcW w:w="15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DXRECOV</w:t>
            </w:r>
          </w:p>
        </w:tc>
        <w:tc>
          <w:tcPr>
            <w:tcW w:w="4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Recovery profile used exclusively for applying the DXRECOV system install key and verifying the software security code via the CSEC/G94 menu.</w:t>
            </w:r>
          </w:p>
        </w:tc>
        <w:tc>
          <w:tcPr>
            <w:tcW w:w="17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DEVAT</w:t>
            </w:r>
          </w:p>
        </w:tc>
        <w:tc>
          <w:tcPr>
            <w:tcW w:w="1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Mimix Administrator (FS7300)</w:t>
            </w:r>
          </w:p>
        </w:tc>
        <w:tc>
          <w:tcPr>
            <w:tcW w:w="4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Verifies that the Mimix replication direction has switched after the PowerHA IASP switchover completes.</w:t>
            </w:r>
          </w:p>
        </w:tc>
        <w:tc>
          <w:tcPr>
            <w:tcW w:w="17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Replication (10.7.1.132/182)</w:t>
            </w:r>
          </w:p>
        </w:tc>
        <w:tc>
          <w:tcPr>
            <w:tcW w:w="15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w:t>
            </w:r>
          </w:p>
        </w:tc>
      </w:tr>
      <w:tr>
        <w:trPr>
          <w:cantSplit w:val="true"/>
        </w:trPr>
        <w:tc>
          <w:tcPr>
            <w:tcW w:w="17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DR Test Team</w:t>
            </w:r>
          </w:p>
        </w:tc>
        <w:tc>
          <w:tcPr>
            <w:tcW w:w="4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Performs application-level smoke tests on DEVAT/Temple to confirm the DR environment is functional before Level 3 is started.</w:t>
            </w:r>
          </w:p>
        </w:tc>
        <w:tc>
          <w:tcPr>
            <w:tcW w:w="17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DEVAT</w:t>
            </w:r>
          </w:p>
        </w:tc>
        <w:tc>
          <w:tcPr>
            <w:tcW w:w="15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t>
            </w:r>
          </w:p>
        </w:tc>
      </w:tr>
    </w:tbl>
    <w:p>
      <w:pPr>
        <w:pStyle w:val="Normal"/>
        <w:rPr/>
      </w:pPr>
      <w:r>
        <w:rPr/>
      </w:r>
      <w:r>
        <w:br w:type="page"/>
      </w:r>
    </w:p>
    <w:p>
      <w:pPr>
        <w:pStyle w:val="Heading1"/>
        <w:shd w:val="clear" w:fill="0D2340"/>
        <w:spacing w:before="0" w:after="0"/>
        <w:ind w:left="80"/>
        <w:rPr/>
      </w:pPr>
      <w:bookmarkStart w:id="7" w:name="__RefHeading___Toc4478_1452158057"/>
      <w:bookmarkEnd w:id="7"/>
      <w:r>
        <w:rPr>
          <w:rFonts w:eastAsia="Arial" w:cs="Arial" w:ascii="Arial" w:hAnsi="Arial"/>
          <w:b/>
          <w:bCs/>
          <w:color w:val="2E75B6"/>
          <w:sz w:val="22"/>
          <w:szCs w:val="22"/>
        </w:rPr>
        <w:t>4</w:t>
      </w:r>
      <w:r>
        <w:rPr>
          <w:rFonts w:eastAsia="Arial" w:cs="Arial" w:ascii="Arial" w:hAnsi="Arial"/>
          <w:sz w:val="22"/>
          <w:szCs w:val="22"/>
        </w:rPr>
        <w:t xml:space="preserve">   </w:t>
      </w:r>
      <w:r>
        <w:rPr>
          <w:rFonts w:eastAsia="Arial" w:cs="Arial" w:ascii="Arial" w:hAnsi="Arial"/>
          <w:b/>
          <w:bCs/>
          <w:color w:val="FFFFFF"/>
          <w:sz w:val="26"/>
          <w:szCs w:val="26"/>
        </w:rPr>
        <w:t>PREREQUISITES &amp; PRE-DR CHECKS</w:t>
      </w:r>
    </w:p>
    <w:p>
      <w:pPr>
        <w:pStyle w:val="Normal"/>
        <w:shd w:val="clear" w:fill="1F4E79"/>
        <w:spacing w:before="0" w:after="160"/>
        <w:ind w:left="80"/>
        <w:rPr/>
      </w:pPr>
      <w:r>
        <w:rPr>
          <w:rFonts w:eastAsia="Arial" w:cs="Arial"/>
          <w:i/>
          <w:iCs/>
          <w:color w:val="EBF3FB"/>
          <w:sz w:val="18"/>
          <w:szCs w:val="18"/>
        </w:rPr>
        <w:t>Readiness Confirmation Before Role Swap Execution</w:t>
      </w:r>
    </w:p>
    <w:p>
      <w:pPr>
        <w:pStyle w:val="Normal"/>
        <w:spacing w:before="0" w:after="120"/>
        <w:rPr/>
      </w:pPr>
      <w:r>
        <w:rPr>
          <w:rFonts w:eastAsia="Arial" w:cs="Arial"/>
          <w:i w:val="false"/>
          <w:iCs w:val="false"/>
          <w:color w:val="44546A"/>
          <w:sz w:val="20"/>
          <w:szCs w:val="20"/>
        </w:rPr>
        <w:t>All items in this section must be verified before initiating the role swap. Do not proceed to Section 5 until every applicable item is complete.</w:t>
      </w:r>
    </w:p>
    <w:p>
      <w:pPr>
        <w:pStyle w:val="Heading2"/>
        <w:spacing w:before="200" w:after="60"/>
        <w:rPr/>
      </w:pPr>
      <w:bookmarkStart w:id="8" w:name="__RefHeading___Toc4480_1452158057"/>
      <w:bookmarkEnd w:id="8"/>
      <w:r>
        <w:rPr>
          <w:rFonts w:eastAsia="Arial" w:cs="Arial" w:ascii="Arial" w:hAnsi="Arial"/>
          <w:b/>
          <w:bCs/>
          <w:color w:val="2E75B6"/>
          <w:sz w:val="22"/>
          <w:szCs w:val="22"/>
        </w:rPr>
        <w:t xml:space="preserve">4.1  </w:t>
      </w:r>
      <w:r>
        <w:rPr>
          <w:rFonts w:eastAsia="Arial" w:cs="Arial" w:ascii="Arial" w:hAnsi="Arial"/>
          <w:b/>
          <w:bCs/>
          <w:color w:val="1A3A5C"/>
          <w:sz w:val="22"/>
          <w:szCs w:val="22"/>
        </w:rPr>
        <w:t>Required Before Starting DR</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all team members are present on the DR coordination call: DR Lead, SYSMGMT, MLENGBR2, QSECOFR, DXRECOV, and the Mimix Administrator (FS7300).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Run ETS50021 on DEVAC to enable the SYSMGMT profile. This must be run before any SYSMGMT logon.</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Clean document folders on all LPARs prior to DR: WRKFLR, STATDOC, WRKDOC. These should be empty — validate on DEVAHA before proceeding (the program deletes these at the end of the CL).</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Capture pre-DR screenshots for rollback comparison: JDE key (DSPDTAARA JDFOBJA73/QJDF) and the DXRECOV security code (G94 &gt; 14 &gt; F6).</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the network/DNS administrator is available to update the DEVA DNS pointer.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all 3rd-party licence keys are staged and accessible.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the Mimix Administrator (FS7300) is available and standing by.</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9" w:name="__RefHeading___Toc4482_1452158057"/>
      <w:bookmarkEnd w:id="9"/>
      <w:r>
        <w:rPr>
          <w:rFonts w:eastAsia="Arial" w:cs="Arial" w:ascii="Arial" w:hAnsi="Arial"/>
          <w:b/>
          <w:bCs/>
          <w:color w:val="2E75B6"/>
          <w:sz w:val="22"/>
          <w:szCs w:val="22"/>
        </w:rPr>
        <w:t xml:space="preserve">4.2  </w:t>
      </w:r>
      <w:r>
        <w:rPr>
          <w:rFonts w:eastAsia="Arial" w:cs="Arial" w:ascii="Arial" w:hAnsi="Arial"/>
          <w:b/>
          <w:bCs/>
          <w:color w:val="1A3A5C"/>
          <w:sz w:val="22"/>
          <w:szCs w:val="22"/>
        </w:rPr>
        <w:t>PowerHA Pre-Checks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the DEVADEVCRG Resource Group is Active (WRKCLU Option 9).</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the Primary Node is correctly set to DEVAC/Equinix before initiating the role swap.</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the ASP copy is current and verified on DEVAHA (WRKCLU Option 10 &gt; Option 25).</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all 4 cluster nodes are active and communicating.</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10" w:name="__RefHeading___Toc4484_1452158057"/>
      <w:bookmarkEnd w:id="10"/>
      <w:r>
        <w:rPr>
          <w:rFonts w:eastAsia="Arial" w:cs="Arial" w:ascii="Arial" w:hAnsi="Arial"/>
          <w:b/>
          <w:bCs/>
          <w:color w:val="2E75B6"/>
          <w:sz w:val="22"/>
          <w:szCs w:val="22"/>
        </w:rPr>
        <w:t xml:space="preserve">4.3  </w:t>
      </w:r>
      <w:r>
        <w:rPr>
          <w:rFonts w:eastAsia="Arial" w:cs="Arial" w:ascii="Arial" w:hAnsi="Arial"/>
          <w:b/>
          <w:bCs/>
          <w:color w:val="1A3A5C"/>
          <w:sz w:val="22"/>
          <w:szCs w:val="22"/>
        </w:rPr>
        <w:t>GoldenGate Pre-Checks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Confirm GoldenGate is running and healthy on DEVAC before starting the DR event.</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GoldenGate will be stopped cleanly (GGSCI &gt; STOP MANAGER) before Level 3 is ended in Phase 3.</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rPr/>
      </w:pPr>
      <w:r>
        <w:rPr/>
      </w:r>
      <w:r>
        <w:br w:type="page"/>
      </w:r>
    </w:p>
    <w:p>
      <w:pPr>
        <w:pStyle w:val="Heading1"/>
        <w:shd w:val="clear" w:fill="0D2340"/>
        <w:spacing w:before="0" w:after="0"/>
        <w:ind w:left="80"/>
        <w:rPr/>
      </w:pPr>
      <w:bookmarkStart w:id="11" w:name="__RefHeading___Toc4486_1452158057"/>
      <w:bookmarkEnd w:id="11"/>
      <w:r>
        <w:rPr>
          <w:rFonts w:eastAsia="Arial" w:cs="Arial" w:ascii="Arial" w:hAnsi="Arial"/>
          <w:b/>
          <w:bCs/>
          <w:color w:val="2E75B6"/>
          <w:sz w:val="22"/>
          <w:szCs w:val="22"/>
        </w:rPr>
        <w:t>5</w:t>
      </w:r>
      <w:r>
        <w:rPr>
          <w:rFonts w:eastAsia="Arial" w:cs="Arial" w:ascii="Arial" w:hAnsi="Arial"/>
          <w:sz w:val="22"/>
          <w:szCs w:val="22"/>
        </w:rPr>
        <w:t xml:space="preserve">   </w:t>
      </w:r>
      <w:r>
        <w:rPr>
          <w:rFonts w:eastAsia="Arial" w:cs="Arial" w:ascii="Arial" w:hAnsi="Arial"/>
          <w:b/>
          <w:bCs/>
          <w:color w:val="FFFFFF"/>
          <w:sz w:val="26"/>
          <w:szCs w:val="26"/>
        </w:rPr>
        <w:t>PRE-DR PREPARATION &amp; ENVIRONMENT CHECKS</w:t>
      </w:r>
    </w:p>
    <w:p>
      <w:pPr>
        <w:pStyle w:val="Normal"/>
        <w:shd w:val="clear" w:fill="1F4E79"/>
        <w:spacing w:before="0" w:after="160"/>
        <w:ind w:left="80"/>
        <w:rPr/>
      </w:pPr>
      <w:r>
        <w:rPr>
          <w:rFonts w:eastAsia="Arial" w:cs="Arial"/>
          <w:i/>
          <w:iCs/>
          <w:color w:val="EBF3FB"/>
          <w:sz w:val="18"/>
          <w:szCs w:val="18"/>
        </w:rPr>
        <w:t>Phase 1 — Console Logon &amp; Baseline Capture</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Signon to CONSOLE as SYSMGMT on DEVA/Equinix (IP: 10.7.1.130). Go to Option 10 on screen.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Verify system values and capture baseline system state for comparison after the role swap:</w:t>
            </w:r>
          </w:p>
          <w:p>
            <w:pPr>
              <w:pStyle w:val="Normal"/>
              <w:shd w:val="clear" w:fill="1E1E2E"/>
              <w:spacing w:before="40" w:after="20"/>
              <w:rPr/>
            </w:pPr>
            <w:r>
              <w:rPr>
                <w:rFonts w:eastAsia="Courier New" w:cs="Courier New" w:ascii="Courier New" w:hAnsi="Courier New"/>
                <w:color w:val="A8D8EA"/>
                <w:sz w:val="17"/>
                <w:szCs w:val="17"/>
              </w:rPr>
              <w:t>DSPSYSVAL SYSVAL(QABNORMSW)</w:t>
            </w:r>
          </w:p>
          <w:p>
            <w:pPr>
              <w:pStyle w:val="Normal"/>
              <w:shd w:val="clear" w:fill="1E1E2E"/>
              <w:spacing w:before="40" w:after="20"/>
              <w:rPr/>
            </w:pPr>
            <w:r>
              <w:rPr>
                <w:rFonts w:eastAsia="Courier New" w:cs="Courier New" w:ascii="Courier New" w:hAnsi="Courier New"/>
                <w:color w:val="A8D8EA"/>
                <w:sz w:val="17"/>
                <w:szCs w:val="17"/>
              </w:rPr>
              <w:t>DSPFMWSTS</w:t>
            </w:r>
          </w:p>
          <w:p>
            <w:pPr>
              <w:pStyle w:val="Normal"/>
              <w:shd w:val="clear" w:fill="1E1E2E"/>
              <w:spacing w:before="40" w:after="20"/>
              <w:rPr/>
            </w:pPr>
            <w:r>
              <w:rPr>
                <w:rFonts w:eastAsia="Courier New" w:cs="Courier New" w:ascii="Courier New" w:hAnsi="Courier New"/>
                <w:color w:val="A8D8EA"/>
                <w:sz w:val="17"/>
                <w:szCs w:val="17"/>
              </w:rPr>
              <w:t>WRKLICINF</w:t>
            </w:r>
          </w:p>
          <w:p>
            <w:pPr>
              <w:pStyle w:val="Normal"/>
              <w:shd w:val="clear" w:fill="1E1E2E"/>
              <w:spacing w:before="40" w:after="20"/>
              <w:rPr/>
            </w:pPr>
            <w:r>
              <w:rPr>
                <w:rFonts w:eastAsia="Courier New" w:cs="Courier New" w:ascii="Courier New" w:hAnsi="Courier New"/>
                <w:color w:val="A8D8EA"/>
                <w:sz w:val="17"/>
                <w:szCs w:val="17"/>
              </w:rPr>
              <w:t>GO LICPGM OPTION(10)</w:t>
            </w:r>
          </w:p>
          <w:p>
            <w:pPr>
              <w:pStyle w:val="Normal"/>
              <w:shd w:val="clear" w:fill="1E1E2E"/>
              <w:spacing w:before="40" w:after="20"/>
              <w:rPr/>
            </w:pPr>
            <w:r>
              <w:rPr>
                <w:rFonts w:eastAsia="Courier New" w:cs="Courier New" w:ascii="Courier New" w:hAnsi="Courier New"/>
                <w:color w:val="A8D8EA"/>
                <w:sz w:val="17"/>
                <w:szCs w:val="17"/>
              </w:rPr>
              <w:t>CALL QSFWINV</w:t>
            </w:r>
          </w:p>
          <w:p>
            <w:pPr>
              <w:pStyle w:val="Normal"/>
              <w:shd w:val="clear" w:fill="1E1E2E"/>
              <w:spacing w:before="40" w:after="0"/>
              <w:rPr/>
            </w:pPr>
            <w:r>
              <w:rPr>
                <w:rFonts w:eastAsia="Courier New" w:cs="Courier New" w:ascii="Courier New" w:hAnsi="Courier New"/>
                <w:color w:val="A8D8EA"/>
                <w:sz w:val="17"/>
                <w:szCs w:val="17"/>
              </w:rPr>
              <w:t>DSPSFWRSC</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rPr/>
      </w:pPr>
      <w:r>
        <w:rPr/>
      </w:r>
      <w:r>
        <w:br w:type="page"/>
      </w:r>
    </w:p>
    <w:p>
      <w:pPr>
        <w:pStyle w:val="Heading1"/>
        <w:shd w:val="clear" w:fill="0D2340"/>
        <w:spacing w:before="0" w:after="0"/>
        <w:ind w:left="80"/>
        <w:rPr/>
      </w:pPr>
      <w:bookmarkStart w:id="12" w:name="__RefHeading___Toc4488_1452158057"/>
      <w:bookmarkEnd w:id="12"/>
      <w:r>
        <w:rPr>
          <w:rFonts w:eastAsia="Arial" w:cs="Arial" w:ascii="Arial" w:hAnsi="Arial"/>
          <w:b/>
          <w:bCs/>
          <w:color w:val="2E75B6"/>
          <w:sz w:val="22"/>
          <w:szCs w:val="22"/>
        </w:rPr>
        <w:t>6</w:t>
      </w:r>
      <w:r>
        <w:rPr>
          <w:rFonts w:eastAsia="Arial" w:cs="Arial" w:ascii="Arial" w:hAnsi="Arial"/>
          <w:sz w:val="22"/>
          <w:szCs w:val="22"/>
        </w:rPr>
        <w:t xml:space="preserve">   </w:t>
      </w:r>
      <w:r>
        <w:rPr>
          <w:rFonts w:eastAsia="Arial" w:cs="Arial" w:ascii="Arial" w:hAnsi="Arial"/>
          <w:b/>
          <w:bCs/>
          <w:color w:val="FFFFFF"/>
          <w:sz w:val="26"/>
          <w:szCs w:val="26"/>
        </w:rPr>
        <w:t>DNS UPDATE</w:t>
      </w:r>
    </w:p>
    <w:p>
      <w:pPr>
        <w:pStyle w:val="Normal"/>
        <w:shd w:val="clear" w:fill="1F4E79"/>
        <w:spacing w:before="0" w:after="160"/>
        <w:ind w:left="80"/>
        <w:rPr/>
      </w:pPr>
      <w:r>
        <w:rPr>
          <w:rFonts w:eastAsia="Arial" w:cs="Arial"/>
          <w:i/>
          <w:iCs/>
          <w:color w:val="EBF3FB"/>
          <w:sz w:val="18"/>
          <w:szCs w:val="18"/>
        </w:rPr>
        <w:t>Phase 2 — Network Team Coordination</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C55A00"/>
              <w:left w:val="single" w:sz="18" w:space="0" w:color="C55A00"/>
              <w:bottom w:val="single" w:sz="6" w:space="0" w:color="C55A00"/>
              <w:right w:val="single" w:sz="6" w:space="0" w:color="C55A00"/>
            </w:tcBorders>
            <w:shd w:fill="FFF2CC" w:val="clear"/>
          </w:tcPr>
          <w:p>
            <w:pPr>
              <w:pStyle w:val="Normal"/>
              <w:rPr/>
            </w:pPr>
            <w:r>
              <w:rPr>
                <w:rFonts w:eastAsia="Arial" w:cs="Arial"/>
                <w:b/>
                <w:bCs/>
                <w:color w:val="C55A00"/>
                <w:sz w:val="19"/>
                <w:szCs w:val="19"/>
              </w:rPr>
              <w:t xml:space="preserve">⚠  </w:t>
            </w:r>
            <w:r>
              <w:rPr>
                <w:rFonts w:eastAsia="Arial" w:cs="Arial"/>
                <w:b/>
                <w:bCs/>
                <w:color w:val="C55A00"/>
                <w:sz w:val="19"/>
                <w:szCs w:val="19"/>
              </w:rPr>
              <w:t>MANDATORY ADVISORY</w:t>
            </w:r>
          </w:p>
          <w:p>
            <w:pPr>
              <w:pStyle w:val="Normal"/>
              <w:spacing w:before="60" w:after="0"/>
              <w:rPr/>
            </w:pPr>
            <w:r>
              <w:rPr>
                <w:rFonts w:eastAsia="Arial" w:cs="Arial"/>
                <w:color w:val="44546A"/>
                <w:sz w:val="19"/>
                <w:szCs w:val="19"/>
              </w:rPr>
              <w:t>The DNS change must be made before any subsystems are ended. Do not proceed to Phase 3 until ping tests confirm DNS propagation.</w:t>
            </w:r>
          </w:p>
        </w:tc>
      </w:tr>
    </w:tbl>
    <w:p>
      <w:pPr>
        <w:pStyle w:val="Normal"/>
        <w:spacing w:before="160" w:after="1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Open the DR validation URL to confirm current routing, then flush the local DNS cache:</w:t>
            </w:r>
          </w:p>
          <w:p>
            <w:pPr>
              <w:pStyle w:val="Normal"/>
              <w:shd w:val="clear" w:fill="1E1E2E"/>
              <w:spacing w:before="40" w:after="20"/>
              <w:rPr/>
            </w:pPr>
            <w:r>
              <w:rPr>
                <w:rFonts w:eastAsia="Courier New" w:cs="Courier New" w:ascii="Courier New" w:hAnsi="Courier New"/>
                <w:color w:val="A8D8EA"/>
                <w:sz w:val="17"/>
                <w:szCs w:val="17"/>
              </w:rPr>
              <w:t>https://olamvssprod.mclaneco.com</w:t>
            </w:r>
          </w:p>
          <w:p>
            <w:pPr>
              <w:pStyle w:val="Normal"/>
              <w:shd w:val="clear" w:fill="1E1E2E"/>
              <w:spacing w:before="40" w:after="0"/>
              <w:rPr/>
            </w:pPr>
            <w:r>
              <w:rPr>
                <w:rFonts w:eastAsia="Courier New" w:cs="Courier New" w:ascii="Courier New" w:hAnsi="Courier New"/>
                <w:color w:val="A8D8EA"/>
                <w:sz w:val="17"/>
                <w:szCs w:val="17"/>
              </w:rPr>
              <w:t>ipconfig /flushdns</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DEVA currently resolves to DEVAC/Equinix before making any change.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Select the DR Template in the DNS management console. Change the DEVA pointer from 10.7.1.161 (DEVAC/Equinix) to 10.7.1.231 (DEVAT/Temple).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Test ping to confirm DNS propagation on all client machines (repeat ipconfig /flushdns as needed):</w:t>
            </w:r>
          </w:p>
          <w:p>
            <w:pPr>
              <w:pStyle w:val="Normal"/>
              <w:shd w:val="clear" w:fill="1E1E2E"/>
              <w:spacing w:before="40" w:after="20"/>
              <w:rPr/>
            </w:pPr>
            <w:r>
              <w:rPr>
                <w:rFonts w:eastAsia="Courier New" w:cs="Courier New" w:ascii="Courier New" w:hAnsi="Courier New"/>
                <w:color w:val="A8D8EA"/>
                <w:sz w:val="17"/>
                <w:szCs w:val="17"/>
              </w:rPr>
              <w:t>ping DEVA</w:t>
            </w:r>
          </w:p>
          <w:p>
            <w:pPr>
              <w:pStyle w:val="Normal"/>
              <w:shd w:val="clear" w:fill="1E1E2E"/>
              <w:spacing w:before="40" w:after="0"/>
              <w:rPr/>
            </w:pPr>
            <w:r>
              <w:rPr>
                <w:rFonts w:eastAsia="Courier New" w:cs="Courier New" w:ascii="Courier New" w:hAnsi="Courier New"/>
                <w:color w:val="A8D8EA"/>
                <w:sz w:val="17"/>
                <w:szCs w:val="17"/>
              </w:rPr>
              <w:t>ping DEVA.APPN.SNA.IBM.COM</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6 — DNS Pointer Updated &amp; Propagation Confirmed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13" w:name="__RefHeading___Toc4490_1452158057"/>
      <w:bookmarkEnd w:id="13"/>
      <w:r>
        <w:rPr>
          <w:rFonts w:eastAsia="Arial" w:cs="Arial" w:ascii="Arial" w:hAnsi="Arial"/>
          <w:b/>
          <w:bCs/>
          <w:color w:val="2E75B6"/>
          <w:sz w:val="22"/>
          <w:szCs w:val="22"/>
        </w:rPr>
        <w:t>7</w:t>
      </w:r>
      <w:r>
        <w:rPr>
          <w:rFonts w:eastAsia="Arial" w:cs="Arial" w:ascii="Arial" w:hAnsi="Arial"/>
          <w:sz w:val="22"/>
          <w:szCs w:val="22"/>
        </w:rPr>
        <w:t xml:space="preserve">   </w:t>
      </w:r>
      <w:r>
        <w:rPr>
          <w:rFonts w:eastAsia="Arial" w:cs="Arial" w:ascii="Arial" w:hAnsi="Arial"/>
          <w:b/>
          <w:bCs/>
          <w:color w:val="FFFFFF"/>
          <w:sz w:val="26"/>
          <w:szCs w:val="26"/>
        </w:rPr>
        <w:t>STOP GOLDENGATE &amp; END SUBSYSTEMS</w:t>
      </w:r>
    </w:p>
    <w:p>
      <w:pPr>
        <w:pStyle w:val="Normal"/>
        <w:shd w:val="clear" w:fill="1F4E79"/>
        <w:spacing w:before="0" w:after="160"/>
        <w:ind w:left="80"/>
        <w:rPr/>
      </w:pPr>
      <w:r>
        <w:rPr>
          <w:rFonts w:eastAsia="Arial" w:cs="Arial"/>
          <w:i/>
          <w:iCs/>
          <w:color w:val="EBF3FB"/>
          <w:sz w:val="18"/>
          <w:szCs w:val="18"/>
        </w:rPr>
        <w:t>Phase 3 — Source-Side Wind-Down (DEVAC/Equinix)</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C55A00"/>
              <w:left w:val="single" w:sz="18" w:space="0" w:color="C55A00"/>
              <w:bottom w:val="single" w:sz="6" w:space="0" w:color="C55A00"/>
              <w:right w:val="single" w:sz="6" w:space="0" w:color="C55A00"/>
            </w:tcBorders>
            <w:shd w:fill="FFF2CC" w:val="clear"/>
          </w:tcPr>
          <w:p>
            <w:pPr>
              <w:pStyle w:val="Normal"/>
              <w:rPr/>
            </w:pPr>
            <w:r>
              <w:rPr>
                <w:rFonts w:eastAsia="Arial" w:cs="Arial"/>
                <w:b/>
                <w:bCs/>
                <w:color w:val="C55A00"/>
                <w:sz w:val="19"/>
                <w:szCs w:val="19"/>
              </w:rPr>
              <w:t xml:space="preserve">⚠  </w:t>
            </w:r>
            <w:r>
              <w:rPr>
                <w:rFonts w:eastAsia="Arial" w:cs="Arial"/>
                <w:b/>
                <w:bCs/>
                <w:color w:val="C55A00"/>
                <w:sz w:val="19"/>
                <w:szCs w:val="19"/>
              </w:rPr>
              <w:t>MANDATORY ADVISORY</w:t>
            </w:r>
          </w:p>
          <w:p>
            <w:pPr>
              <w:pStyle w:val="Normal"/>
              <w:spacing w:before="60" w:after="0"/>
              <w:rPr/>
            </w:pPr>
            <w:r>
              <w:rPr>
                <w:rFonts w:eastAsia="Arial" w:cs="Arial"/>
                <w:color w:val="44546A"/>
                <w:sz w:val="19"/>
                <w:szCs w:val="19"/>
              </w:rPr>
              <w:t>GoldenGate must be fully stopped before Level 3 is ended. Do not initiate the PowerHA switchover (Section 8) until all user subsystems on DEVAC have ended.</w:t>
            </w:r>
          </w:p>
        </w:tc>
      </w:tr>
    </w:tbl>
    <w:p>
      <w:pPr>
        <w:pStyle w:val="Normal"/>
        <w:spacing w:before="160" w:after="1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Logon to DEVAC and stop the GoldenGate manager:</w:t>
            </w:r>
          </w:p>
          <w:p>
            <w:pPr>
              <w:pStyle w:val="Normal"/>
              <w:shd w:val="clear" w:fill="1E1E2E"/>
              <w:spacing w:before="40" w:after="20"/>
              <w:rPr/>
            </w:pPr>
            <w:r>
              <w:rPr>
                <w:rFonts w:eastAsia="Courier New" w:cs="Courier New" w:ascii="Courier New" w:hAnsi="Courier New"/>
                <w:color w:val="A8D8EA"/>
                <w:sz w:val="17"/>
                <w:szCs w:val="17"/>
              </w:rPr>
              <w:t>ADDLIBLE GOLDENGATE</w:t>
            </w:r>
          </w:p>
          <w:p>
            <w:pPr>
              <w:pStyle w:val="Normal"/>
              <w:shd w:val="clear" w:fill="1E1E2E"/>
              <w:spacing w:before="40" w:after="20"/>
              <w:rPr/>
            </w:pPr>
            <w:r>
              <w:rPr>
                <w:rFonts w:eastAsia="Courier New" w:cs="Courier New" w:ascii="Courier New" w:hAnsi="Courier New"/>
                <w:color w:val="A8D8EA"/>
                <w:sz w:val="17"/>
                <w:szCs w:val="17"/>
              </w:rPr>
              <w:t>GGSCI</w:t>
            </w:r>
          </w:p>
          <w:p>
            <w:pPr>
              <w:pStyle w:val="Normal"/>
              <w:shd w:val="clear" w:fill="1E1E2E"/>
              <w:spacing w:before="40" w:after="0"/>
              <w:rPr/>
            </w:pPr>
            <w:r>
              <w:rPr>
                <w:rFonts w:eastAsia="Courier New" w:cs="Courier New" w:ascii="Courier New" w:hAnsi="Courier New"/>
                <w:color w:val="A8D8EA"/>
                <w:sz w:val="17"/>
                <w:szCs w:val="17"/>
              </w:rPr>
              <w:t>STOP MANAGER   (enter 'Y' to confirm)</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Run the Robot job to stop all GoldenGate processes: ETS95040 — stopAll. Confirm the job completes successfully.</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End the GoldenGate subsystem and verify it has ended:</w:t>
            </w:r>
          </w:p>
          <w:p>
            <w:pPr>
              <w:pStyle w:val="Normal"/>
              <w:shd w:val="clear" w:fill="1E1E2E"/>
              <w:spacing w:before="40" w:after="0"/>
              <w:rPr/>
            </w:pPr>
            <w:r>
              <w:rPr>
                <w:rFonts w:eastAsia="Courier New" w:cs="Courier New" w:ascii="Courier New" w:hAnsi="Courier New"/>
                <w:color w:val="A8D8EA"/>
                <w:sz w:val="17"/>
                <w:szCs w:val="17"/>
              </w:rPr>
              <w:t>ENDSBS SBS(GOLDENGATE) OPTION(*IMMED)</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End Level 3 on DEVA/Equinix (Option 3). Wait until the IPL_PRCS job completes:</w:t>
            </w:r>
          </w:p>
          <w:p>
            <w:pPr>
              <w:pStyle w:val="Normal"/>
              <w:shd w:val="clear" w:fill="1E1E2E"/>
              <w:spacing w:before="40" w:after="0"/>
              <w:rPr/>
            </w:pPr>
            <w:r>
              <w:rPr>
                <w:rFonts w:eastAsia="Courier New" w:cs="Courier New" w:ascii="Courier New" w:hAnsi="Courier New"/>
                <w:color w:val="A8D8EA"/>
                <w:sz w:val="17"/>
                <w:szCs w:val="17"/>
              </w:rPr>
              <w:t>WRKACTJOB SBS(QCTL)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Verify all user subsystems have ended in Level 3 before proceeding: ORDERPOST, DCL511SBS, TSERVER, RBTSLEEPER.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7 — GoldenGate Stopped &amp; DEVAC Subsystems Ended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14" w:name="__RefHeading___Toc4492_1452158057"/>
      <w:bookmarkEnd w:id="14"/>
      <w:r>
        <w:rPr>
          <w:rFonts w:eastAsia="Arial" w:cs="Arial" w:ascii="Arial" w:hAnsi="Arial"/>
          <w:b/>
          <w:bCs/>
          <w:color w:val="2E75B6"/>
          <w:sz w:val="22"/>
          <w:szCs w:val="22"/>
        </w:rPr>
        <w:t>8</w:t>
      </w:r>
      <w:r>
        <w:rPr>
          <w:rFonts w:eastAsia="Arial" w:cs="Arial" w:ascii="Arial" w:hAnsi="Arial"/>
          <w:sz w:val="22"/>
          <w:szCs w:val="22"/>
        </w:rPr>
        <w:t xml:space="preserve">   </w:t>
      </w:r>
      <w:r>
        <w:rPr>
          <w:rFonts w:eastAsia="Arial" w:cs="Arial" w:ascii="Arial" w:hAnsi="Arial"/>
          <w:b/>
          <w:bCs/>
          <w:color w:val="FFFFFF"/>
          <w:sz w:val="26"/>
          <w:szCs w:val="26"/>
        </w:rPr>
        <w:t>POWERHA CLUSTER OPERATIONS &amp; IASP SWITCHOVER</w:t>
      </w:r>
    </w:p>
    <w:p>
      <w:pPr>
        <w:pStyle w:val="Normal"/>
        <w:shd w:val="clear" w:fill="1F4E79"/>
        <w:spacing w:before="0" w:after="160"/>
        <w:ind w:left="80"/>
        <w:rPr/>
      </w:pPr>
      <w:r>
        <w:rPr>
          <w:rFonts w:eastAsia="Arial" w:cs="Arial"/>
          <w:i/>
          <w:iCs/>
          <w:color w:val="EBF3FB"/>
          <w:sz w:val="18"/>
          <w:szCs w:val="18"/>
        </w:rPr>
        <w:t>Phase 4 — DEVAC/Equinix → DEVAT/Temple Role Swap</w:t>
      </w:r>
    </w:p>
    <w:p>
      <w:pPr>
        <w:pStyle w:val="Heading2"/>
        <w:spacing w:before="200" w:after="60"/>
        <w:rPr/>
      </w:pPr>
      <w:bookmarkStart w:id="15" w:name="__RefHeading___Toc4494_1452158057"/>
      <w:bookmarkEnd w:id="15"/>
      <w:r>
        <w:rPr>
          <w:rFonts w:eastAsia="Arial" w:cs="Arial" w:ascii="Arial" w:hAnsi="Arial"/>
          <w:b/>
          <w:bCs/>
          <w:color w:val="2E75B6"/>
          <w:sz w:val="22"/>
          <w:szCs w:val="22"/>
        </w:rPr>
        <w:t xml:space="preserve">8.1  </w:t>
      </w:r>
      <w:r>
        <w:rPr>
          <w:rFonts w:eastAsia="Arial" w:cs="Arial" w:ascii="Arial" w:hAnsi="Arial"/>
          <w:b/>
          <w:bCs/>
          <w:color w:val="1A3A5C"/>
          <w:sz w:val="22"/>
          <w:szCs w:val="22"/>
        </w:rPr>
        <w:t>Pre-Switchover Checks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Logoff SYSMGMT and logon to CONSOLE as QSECOFR on DEVAC/Equinix (IP: 10.7.1.130).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Open the PowerHA Cluster Manager:</w:t>
            </w:r>
          </w:p>
          <w:p>
            <w:pPr>
              <w:pStyle w:val="Normal"/>
              <w:shd w:val="clear" w:fill="1E1E2E"/>
              <w:spacing w:before="40" w:after="0"/>
              <w:rPr/>
            </w:pPr>
            <w:r>
              <w:rPr>
                <w:rFonts w:eastAsia="Courier New" w:cs="Courier New" w:ascii="Courier New" w:hAnsi="Courier New"/>
                <w:color w:val="A8D8EA"/>
                <w:sz w:val="17"/>
                <w:szCs w:val="17"/>
              </w:rPr>
              <w:t>WRKCLU</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Check for duplicate libraries in the IASP and resolve any conflicts before switchover:</w:t>
            </w:r>
          </w:p>
          <w:p>
            <w:pPr>
              <w:pStyle w:val="Normal"/>
              <w:shd w:val="clear" w:fill="1E1E2E"/>
              <w:spacing w:before="40" w:after="20"/>
              <w:rPr/>
            </w:pPr>
            <w:r>
              <w:rPr>
                <w:rFonts w:eastAsia="Courier New" w:cs="Courier New" w:ascii="Courier New" w:hAnsi="Courier New"/>
                <w:color w:val="A8D8EA"/>
                <w:sz w:val="17"/>
                <w:szCs w:val="17"/>
              </w:rPr>
              <w:t>ADDLIBLE QZRDPWRHA/QZRDHASM</w:t>
            </w:r>
          </w:p>
          <w:p>
            <w:pPr>
              <w:pStyle w:val="Normal"/>
              <w:shd w:val="clear" w:fill="1E1E2E"/>
              <w:spacing w:before="40" w:after="0"/>
              <w:rPr/>
            </w:pPr>
            <w:r>
              <w:rPr>
                <w:rFonts w:eastAsia="Courier New" w:cs="Courier New" w:ascii="Courier New" w:hAnsi="Courier New"/>
                <w:color w:val="A8D8EA"/>
                <w:sz w:val="17"/>
                <w:szCs w:val="17"/>
              </w:rPr>
              <w:t>CHKDUPLIBS IASP(DAHAIASP)</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End all IASP-related jobs. Verify ALL subsystems have ended in Level 3 before proceeding:</w:t>
            </w:r>
          </w:p>
          <w:p>
            <w:pPr>
              <w:pStyle w:val="Normal"/>
              <w:shd w:val="clear" w:fill="1E1E2E"/>
              <w:spacing w:before="40" w:after="0"/>
              <w:rPr/>
            </w:pPr>
            <w:r>
              <w:rPr>
                <w:rFonts w:eastAsia="Courier New" w:cs="Courier New" w:ascii="Courier New" w:hAnsi="Courier New"/>
                <w:color w:val="A8D8EA"/>
                <w:sz w:val="17"/>
                <w:szCs w:val="17"/>
              </w:rPr>
              <w:t>QSYS/WRKASPJOB   →   *End all jobs</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WRKCLU → Option 9 — verify the DEVADEVCRG Resource Group is Active and the Primary Node is correctly set to DEVAC/Equinix, with all 4 cluster nodes shown.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WRKCLU → Option 10 → Verify ASP Copy. Take Option 25 on DEVAHA (the HA node) and confirm the ASP copy is correct and current.</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Start the QBATCH subsystem on all 4 nodes — required before PowerHA can complete the switchover (repeat on DEVAC, DEVAT, and both HA nodes):</w:t>
            </w:r>
          </w:p>
          <w:p>
            <w:pPr>
              <w:pStyle w:val="Normal"/>
              <w:shd w:val="clear" w:fill="1E1E2E"/>
              <w:spacing w:before="40" w:after="0"/>
              <w:rPr/>
            </w:pPr>
            <w:r>
              <w:rPr>
                <w:rFonts w:eastAsia="Courier New" w:cs="Courier New" w:ascii="Courier New" w:hAnsi="Courier New"/>
                <w:color w:val="A8D8EA"/>
                <w:sz w:val="17"/>
                <w:szCs w:val="17"/>
              </w:rPr>
              <w:t>STRSBS SBS(QBATCH) LIB(QSYS)</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16" w:name="__RefHeading___Toc4496_1452158057"/>
      <w:bookmarkEnd w:id="16"/>
      <w:r>
        <w:rPr>
          <w:rFonts w:eastAsia="Arial" w:cs="Arial" w:ascii="Arial" w:hAnsi="Arial"/>
          <w:b/>
          <w:bCs/>
          <w:color w:val="2E75B6"/>
          <w:sz w:val="22"/>
          <w:szCs w:val="22"/>
        </w:rPr>
        <w:t xml:space="preserve">8.2  </w:t>
      </w:r>
      <w:r>
        <w:rPr>
          <w:rFonts w:eastAsia="Arial" w:cs="Arial" w:ascii="Arial" w:hAnsi="Arial"/>
          <w:b/>
          <w:bCs/>
          <w:color w:val="1A3A5C"/>
          <w:sz w:val="22"/>
          <w:szCs w:val="22"/>
        </w:rPr>
        <w:t>Initiate the Switchover</w:t>
      </w:r>
    </w:p>
    <w:p>
      <w:pPr>
        <w:pStyle w:val="Normal"/>
        <w:pBdr>
          <w:bottom w:val="single" w:sz="8" w:space="1" w:color="2E75B6"/>
        </w:pBdr>
        <w:spacing w:before="0" w:after="6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C55A00"/>
              <w:left w:val="single" w:sz="18" w:space="0" w:color="C55A00"/>
              <w:bottom w:val="single" w:sz="6" w:space="0" w:color="C55A00"/>
              <w:right w:val="single" w:sz="6" w:space="0" w:color="C55A00"/>
            </w:tcBorders>
            <w:shd w:fill="FFF2CC" w:val="clear"/>
          </w:tcPr>
          <w:p>
            <w:pPr>
              <w:pStyle w:val="Normal"/>
              <w:rPr/>
            </w:pPr>
            <w:r>
              <w:rPr>
                <w:rFonts w:eastAsia="Arial" w:cs="Arial"/>
                <w:b/>
                <w:bCs/>
                <w:color w:val="C55A00"/>
                <w:sz w:val="19"/>
                <w:szCs w:val="19"/>
              </w:rPr>
              <w:t xml:space="preserve">⚠  </w:t>
            </w:r>
            <w:r>
              <w:rPr>
                <w:rFonts w:eastAsia="Arial" w:cs="Arial"/>
                <w:b/>
                <w:bCs/>
                <w:color w:val="C55A00"/>
                <w:sz w:val="19"/>
                <w:szCs w:val="19"/>
              </w:rPr>
              <w:t>MANDATORY ADVISORY</w:t>
            </w:r>
          </w:p>
          <w:p>
            <w:pPr>
              <w:pStyle w:val="Normal"/>
              <w:spacing w:before="60" w:after="0"/>
              <w:rPr/>
            </w:pPr>
            <w:r>
              <w:rPr>
                <w:rFonts w:eastAsia="Arial" w:cs="Arial"/>
                <w:color w:val="44546A"/>
                <w:sz w:val="19"/>
                <w:szCs w:val="19"/>
              </w:rPr>
              <w:t>The PowerHA session may drop during switchover (Switch Pending state). This is expected behavior — the system self-corrects once the IASP varyoff/varyon completes. Reconnect and continue monitoring.</w:t>
            </w:r>
          </w:p>
        </w:tc>
      </w:tr>
    </w:tbl>
    <w:p>
      <w:pPr>
        <w:pStyle w:val="Normal"/>
        <w:spacing w:before="120" w:after="12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WRKCLU → Option 9 → Option 3 = Change Primary. Select resource group DEVADEVCRG and change the primary to DEVAT/Temple. This initiates the PowerHA-controlled IASP switchover from DEVAC to DEVAT.</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Monitor the switchover status: WRKCLU → Option 6, repeating to refresh status. The status will show Switch Pending → in progress.</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17" w:name="__RefHeading___Toc4498_1452158057"/>
      <w:bookmarkEnd w:id="17"/>
      <w:r>
        <w:rPr>
          <w:rFonts w:eastAsia="Arial" w:cs="Arial" w:ascii="Arial" w:hAnsi="Arial"/>
          <w:b/>
          <w:bCs/>
          <w:color w:val="2E75B6"/>
          <w:sz w:val="22"/>
          <w:szCs w:val="22"/>
        </w:rPr>
        <w:t xml:space="preserve">8.3  </w:t>
      </w:r>
      <w:r>
        <w:rPr>
          <w:rFonts w:eastAsia="Arial" w:cs="Arial" w:ascii="Arial" w:hAnsi="Arial"/>
          <w:b/>
          <w:bCs/>
          <w:color w:val="1A3A5C"/>
          <w:sz w:val="22"/>
          <w:szCs w:val="22"/>
        </w:rPr>
        <w:t>Monitor Switchover Progress</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Open a second session to DEVAC and monitor the ASP State under QSYSWRK using WRKASPJOB. ASP State on DEVAC/Equinix will progress to VARYOFF (expected duration: ~3 minutes 10 seconds). The job ends once the IASP has varied off — the session may drop, which is expected.</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Signon to CONSOLE as QSECOFR on DEVAT/Temple (IP: 10.7.1.180) and monitor. ASP State will progress to AVAILABLE (expected duration: ~1 minute 23 seconds to vary on). Do not proceed until DEVAT ASP State = AVAILABLE.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8 — PowerHA IASP Switchover Complete (DEVAC → DEVAT)</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18" w:name="__RefHeading___Toc4500_1452158057"/>
      <w:bookmarkEnd w:id="18"/>
      <w:r>
        <w:rPr>
          <w:rFonts w:eastAsia="Arial" w:cs="Arial" w:ascii="Arial" w:hAnsi="Arial"/>
          <w:b/>
          <w:bCs/>
          <w:color w:val="2E75B6"/>
          <w:sz w:val="22"/>
          <w:szCs w:val="22"/>
        </w:rPr>
        <w:t>9</w:t>
      </w:r>
      <w:r>
        <w:rPr>
          <w:rFonts w:eastAsia="Arial" w:cs="Arial" w:ascii="Arial" w:hAnsi="Arial"/>
          <w:sz w:val="22"/>
          <w:szCs w:val="22"/>
        </w:rPr>
        <w:t xml:space="preserve">   </w:t>
      </w:r>
      <w:r>
        <w:rPr>
          <w:rFonts w:eastAsia="Arial" w:cs="Arial" w:ascii="Arial" w:hAnsi="Arial"/>
          <w:b/>
          <w:bCs/>
          <w:color w:val="FFFFFF"/>
          <w:sz w:val="26"/>
          <w:szCs w:val="26"/>
        </w:rPr>
        <w:t>MIMIX REPLICATION VERIFICATION</w:t>
      </w:r>
    </w:p>
    <w:p>
      <w:pPr>
        <w:pStyle w:val="Normal"/>
        <w:shd w:val="clear" w:fill="1F4E79"/>
        <w:spacing w:before="0" w:after="160"/>
        <w:ind w:left="80"/>
        <w:rPr/>
      </w:pPr>
      <w:r>
        <w:rPr>
          <w:rFonts w:eastAsia="Arial" w:cs="Arial"/>
          <w:i/>
          <w:iCs/>
          <w:color w:val="EBF3FB"/>
          <w:sz w:val="18"/>
          <w:szCs w:val="18"/>
        </w:rPr>
        <w:t>Phase 5 — Confirm Replication Direction Reversal</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Mimix Administrator (FS7300): verify that the Mimix replication direction has reversed following the PowerHA IASP switchover — source is now DEVAT/Temple, target is now DEVAC/Equinix. Replication IPs: 10.7.1.132 / 10.7.1.182.</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all Mimix journal receivers and replication processes are running in the new direction and synchronizing correctly. Capture a screenshot of the Mimix status showing the new replication direction.</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9 — Mimix Replication Direction Reversed &amp; Synchronizing</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19" w:name="__RefHeading___Toc4502_1452158057"/>
      <w:bookmarkEnd w:id="19"/>
      <w:r>
        <w:rPr>
          <w:rFonts w:eastAsia="Arial" w:cs="Arial" w:ascii="Arial" w:hAnsi="Arial"/>
          <w:b/>
          <w:bCs/>
          <w:color w:val="2E75B6"/>
          <w:sz w:val="22"/>
          <w:szCs w:val="22"/>
        </w:rPr>
        <w:t>10</w:t>
      </w:r>
      <w:r>
        <w:rPr>
          <w:rFonts w:eastAsia="Arial" w:cs="Arial" w:ascii="Arial" w:hAnsi="Arial"/>
          <w:sz w:val="22"/>
          <w:szCs w:val="22"/>
        </w:rPr>
        <w:t xml:space="preserve">   </w:t>
      </w:r>
      <w:r>
        <w:rPr>
          <w:rFonts w:eastAsia="Arial" w:cs="Arial" w:ascii="Arial" w:hAnsi="Arial"/>
          <w:b/>
          <w:bCs/>
          <w:color w:val="FFFFFF"/>
          <w:sz w:val="26"/>
          <w:szCs w:val="26"/>
        </w:rPr>
        <w:t>POST-SWITCHOVER CLUSTER VERIFICATION</w:t>
      </w:r>
    </w:p>
    <w:p>
      <w:pPr>
        <w:pStyle w:val="Normal"/>
        <w:shd w:val="clear" w:fill="1F4E79"/>
        <w:spacing w:before="0" w:after="160"/>
        <w:ind w:left="80"/>
        <w:rPr/>
      </w:pPr>
      <w:r>
        <w:rPr>
          <w:rFonts w:eastAsia="Arial" w:cs="Arial"/>
          <w:i/>
          <w:iCs/>
          <w:color w:val="EBF3FB"/>
          <w:sz w:val="18"/>
          <w:szCs w:val="18"/>
        </w:rPr>
        <w:t>Phase 6 — Confirm Cluster Health on DEVAT/Temple</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all 4 PowerHA cluster nodes are active:</w:t>
            </w:r>
          </w:p>
          <w:p>
            <w:pPr>
              <w:pStyle w:val="Normal"/>
              <w:shd w:val="clear" w:fill="1E1E2E"/>
              <w:spacing w:before="40" w:after="0"/>
              <w:rPr/>
            </w:pPr>
            <w:r>
              <w:rPr>
                <w:rFonts w:eastAsia="Courier New" w:cs="Courier New" w:ascii="Courier New" w:hAnsi="Courier New"/>
                <w:color w:val="A8D8EA"/>
                <w:sz w:val="17"/>
                <w:szCs w:val="17"/>
              </w:rPr>
              <w:t>WRKCLU   (confirm all nodes show as Active)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Confirm the DEVADEVCRG Resource Group now shows Primary Node: DEVAT/Temple, Status: Active (WRKCLU Option 9).</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10 — Cluster Verified Active on DEVAT/Temple</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20" w:name="__RefHeading___Toc4504_1452158057"/>
      <w:bookmarkEnd w:id="20"/>
      <w:r>
        <w:rPr>
          <w:rFonts w:eastAsia="Arial" w:cs="Arial" w:ascii="Arial" w:hAnsi="Arial"/>
          <w:b/>
          <w:bCs/>
          <w:color w:val="2E75B6"/>
          <w:sz w:val="22"/>
          <w:szCs w:val="22"/>
        </w:rPr>
        <w:t>11</w:t>
      </w:r>
      <w:r>
        <w:rPr>
          <w:rFonts w:eastAsia="Arial" w:cs="Arial" w:ascii="Arial" w:hAnsi="Arial"/>
          <w:sz w:val="22"/>
          <w:szCs w:val="22"/>
        </w:rPr>
        <w:t xml:space="preserve">   </w:t>
      </w:r>
      <w:r>
        <w:rPr>
          <w:rFonts w:eastAsia="Arial" w:cs="Arial" w:ascii="Arial" w:hAnsi="Arial"/>
          <w:b/>
          <w:bCs/>
          <w:color w:val="FFFFFF"/>
          <w:sz w:val="26"/>
          <w:szCs w:val="26"/>
        </w:rPr>
        <w:t>APPLY 3RD-PARTY SOFTWARE KEYS</w:t>
      </w:r>
    </w:p>
    <w:p>
      <w:pPr>
        <w:pStyle w:val="Normal"/>
        <w:shd w:val="clear" w:fill="1F4E79"/>
        <w:spacing w:before="0" w:after="160"/>
        <w:ind w:left="80"/>
        <w:rPr/>
      </w:pPr>
      <w:r>
        <w:rPr>
          <w:rFonts w:eastAsia="Arial" w:cs="Arial"/>
          <w:i/>
          <w:iCs/>
          <w:color w:val="EBF3FB"/>
          <w:sz w:val="18"/>
          <w:szCs w:val="18"/>
        </w:rPr>
        <w:t>Phase 7 — DEVAT/Temple, Performed After Switchover &amp; Cluster Verification</w:t>
      </w:r>
    </w:p>
    <w:p>
      <w:pPr>
        <w:pStyle w:val="Normal"/>
        <w:spacing w:before="0" w:after="120"/>
        <w:rPr/>
      </w:pPr>
      <w:r>
        <w:rPr>
          <w:rFonts w:eastAsia="Arial" w:cs="Arial"/>
          <w:i w:val="false"/>
          <w:iCs w:val="false"/>
          <w:color w:val="44546A"/>
          <w:sz w:val="20"/>
          <w:szCs w:val="20"/>
        </w:rPr>
        <w:t>All keys marked SYSBAS are outside the IASP and must be applied manually after switchover. Keys stored in the IASP (Robot Schedule, Turnover) replicate automatically via PowerHA. Apply all SYSBAS keys on DEVAT/Temple after the PowerHA switchover is confirmed complete.</w:t>
      </w:r>
    </w:p>
    <w:p>
      <w:pPr>
        <w:pStyle w:val="Heading2"/>
        <w:spacing w:before="200" w:after="60"/>
        <w:rPr/>
      </w:pPr>
      <w:bookmarkStart w:id="21" w:name="__RefHeading___Toc4506_1452158057"/>
      <w:bookmarkEnd w:id="21"/>
      <w:r>
        <w:rPr>
          <w:rFonts w:eastAsia="Arial" w:cs="Arial" w:ascii="Arial" w:hAnsi="Arial"/>
          <w:b/>
          <w:bCs/>
          <w:color w:val="2E75B6"/>
          <w:sz w:val="22"/>
          <w:szCs w:val="22"/>
        </w:rPr>
        <w:t xml:space="preserve">11.1  </w:t>
      </w:r>
      <w:r>
        <w:rPr>
          <w:rFonts w:eastAsia="Arial" w:cs="Arial" w:ascii="Arial" w:hAnsi="Arial"/>
          <w:b/>
          <w:bCs/>
          <w:color w:val="1A3A5C"/>
          <w:sz w:val="22"/>
          <w:szCs w:val="22"/>
        </w:rPr>
        <w:t>Spyview Key (SN# 7858201, LPAR 002)</w:t>
      </w:r>
    </w:p>
    <w:p>
      <w:pPr>
        <w:pStyle w:val="Normal"/>
        <w:pBdr>
          <w:bottom w:val="single" w:sz="8" w:space="1" w:color="2E75B6"/>
        </w:pBdr>
        <w:spacing w:before="0" w:after="6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top w:val="single" w:sz="6" w:space="0" w:color="C55A00"/>
              <w:left w:val="single" w:sz="18" w:space="0" w:color="C55A00"/>
              <w:bottom w:val="single" w:sz="6" w:space="0" w:color="C55A00"/>
              <w:right w:val="single" w:sz="6" w:space="0" w:color="C55A00"/>
            </w:tcBorders>
            <w:shd w:fill="FFF2CC" w:val="clear"/>
          </w:tcPr>
          <w:p>
            <w:pPr>
              <w:pStyle w:val="Normal"/>
              <w:rPr/>
            </w:pPr>
            <w:r>
              <w:rPr>
                <w:rFonts w:eastAsia="Arial" w:cs="Arial"/>
                <w:b/>
                <w:bCs/>
                <w:color w:val="C55A00"/>
                <w:sz w:val="19"/>
                <w:szCs w:val="19"/>
              </w:rPr>
              <w:t xml:space="preserve">⚠  </w:t>
            </w:r>
            <w:r>
              <w:rPr>
                <w:rFonts w:eastAsia="Arial" w:cs="Arial"/>
                <w:b/>
                <w:bCs/>
                <w:color w:val="C55A00"/>
                <w:sz w:val="19"/>
                <w:szCs w:val="19"/>
              </w:rPr>
              <w:t>MANDATORY ADVISORY</w:t>
            </w:r>
          </w:p>
          <w:p>
            <w:pPr>
              <w:pStyle w:val="Normal"/>
              <w:spacing w:before="60" w:after="0"/>
              <w:rPr/>
            </w:pPr>
            <w:r>
              <w:rPr>
                <w:rFonts w:eastAsia="Arial" w:cs="Arial"/>
                <w:color w:val="44546A"/>
                <w:sz w:val="19"/>
                <w:szCs w:val="19"/>
              </w:rPr>
              <w:t>Prerequisite: QPMLPMGT/QSYS must have *PUBLIC = *USE (not *EXCLUDE). Spyview will fail to apply if this authority is set to *EXCLUDE — change it first if needed.</w:t>
            </w:r>
          </w:p>
        </w:tc>
      </w:tr>
    </w:tbl>
    <w:p>
      <w:pPr>
        <w:pStyle w:val="Normal"/>
        <w:spacing w:before="120" w:after="12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Login as SYSMGMT on DEVAT.</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Clear the existing Spyview license files:</w:t>
            </w:r>
          </w:p>
          <w:p>
            <w:pPr>
              <w:pStyle w:val="Normal"/>
              <w:shd w:val="clear" w:fill="1E1E2E"/>
              <w:spacing w:before="40" w:after="20"/>
              <w:rPr/>
            </w:pPr>
            <w:r>
              <w:rPr>
                <w:rFonts w:eastAsia="Courier New" w:cs="Courier New" w:ascii="Courier New" w:hAnsi="Courier New"/>
                <w:color w:val="A8D8EA"/>
                <w:sz w:val="17"/>
                <w:szCs w:val="17"/>
              </w:rPr>
              <w:t>STRSPY &gt; F21</w:t>
            </w:r>
          </w:p>
          <w:p>
            <w:pPr>
              <w:pStyle w:val="Normal"/>
              <w:shd w:val="clear" w:fill="1E1E2E"/>
              <w:spacing w:before="40" w:after="20"/>
              <w:rPr/>
            </w:pPr>
            <w:r>
              <w:rPr>
                <w:rFonts w:eastAsia="Courier New" w:cs="Courier New" w:ascii="Courier New" w:hAnsi="Courier New"/>
                <w:color w:val="A8D8EA"/>
                <w:sz w:val="17"/>
                <w:szCs w:val="17"/>
              </w:rPr>
              <w:t>CLRPFM FILE(SPYVIEW/MFKYLIC)</w:t>
            </w:r>
          </w:p>
          <w:p>
            <w:pPr>
              <w:pStyle w:val="Normal"/>
              <w:shd w:val="clear" w:fill="1E1E2E"/>
              <w:spacing w:before="40" w:after="0"/>
              <w:rPr/>
            </w:pPr>
            <w:r>
              <w:rPr>
                <w:rFonts w:eastAsia="Courier New" w:cs="Courier New" w:ascii="Courier New" w:hAnsi="Courier New"/>
                <w:color w:val="A8D8EA"/>
                <w:sz w:val="17"/>
                <w:szCs w:val="17"/>
              </w:rPr>
              <w:t>CLRPFM FILE(SPYVIEW/MFKYMST)</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Apply the new Spyview key (F12 &gt; Option 7), LPAR number 002:</w:t>
            </w:r>
          </w:p>
          <w:p>
            <w:pPr>
              <w:pStyle w:val="Normal"/>
              <w:shd w:val="clear" w:fill="1E1E2E"/>
              <w:spacing w:before="40" w:after="0"/>
              <w:rPr/>
            </w:pPr>
            <w:r>
              <w:rPr>
                <w:rFonts w:eastAsia="Courier New" w:cs="Courier New" w:ascii="Courier New" w:hAnsi="Courier New"/>
                <w:color w:val="A8D8EA"/>
                <w:sz w:val="17"/>
                <w:szCs w:val="17"/>
              </w:rPr>
              <w:t>D259D0E7699C670F2A05A6F6EFF74106</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Select Products and apply Users and Demo Date. Confirm all licensed products are selected.</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Start Spyview Print Distribution (starts 335 jobs in jobq SPYGLSDST):</w:t>
            </w:r>
          </w:p>
          <w:p>
            <w:pPr>
              <w:pStyle w:val="Normal"/>
              <w:shd w:val="clear" w:fill="1E1E2E"/>
              <w:spacing w:before="40" w:after="20"/>
              <w:rPr/>
            </w:pPr>
            <w:r>
              <w:rPr>
                <w:rFonts w:eastAsia="Courier New" w:cs="Courier New" w:ascii="Courier New" w:hAnsi="Courier New"/>
                <w:color w:val="A8D8EA"/>
                <w:sz w:val="17"/>
                <w:szCs w:val="17"/>
              </w:rPr>
              <w:t>START SPYVIEW PRINT DISTRIBUTION</w:t>
            </w:r>
          </w:p>
          <w:p>
            <w:pPr>
              <w:pStyle w:val="Normal"/>
              <w:shd w:val="clear" w:fill="1E1E2E"/>
              <w:spacing w:before="40" w:after="0"/>
              <w:rPr/>
            </w:pPr>
            <w:r>
              <w:rPr>
                <w:rFonts w:eastAsia="Courier New" w:cs="Courier New" w:ascii="Courier New" w:hAnsi="Courier New"/>
                <w:color w:val="A8D8EA"/>
                <w:sz w:val="17"/>
                <w:szCs w:val="17"/>
              </w:rPr>
              <w:t>CALL PRDETSSRC/STRDSTLIS4</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Start the Spyview monitor if needed: STRMON (only if not already running).</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11.1 — Spyview Key Applied &amp; Print Distribution Active</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spacing w:before="160" w:after="200"/>
        <w:rPr/>
      </w:pPr>
      <w:r>
        <w:rPr/>
      </w:r>
    </w:p>
    <w:p>
      <w:pPr>
        <w:pStyle w:val="Heading2"/>
        <w:spacing w:before="200" w:after="60"/>
        <w:rPr/>
      </w:pPr>
      <w:bookmarkStart w:id="22" w:name="__RefHeading___Toc4508_1452158057"/>
      <w:bookmarkEnd w:id="22"/>
      <w:r>
        <w:rPr>
          <w:rFonts w:eastAsia="Arial" w:cs="Arial" w:ascii="Arial" w:hAnsi="Arial"/>
          <w:b/>
          <w:bCs/>
          <w:color w:val="2E75B6"/>
          <w:sz w:val="22"/>
          <w:szCs w:val="22"/>
        </w:rPr>
        <w:t xml:space="preserve">11.2  </w:t>
      </w:r>
      <w:r>
        <w:rPr>
          <w:rFonts w:eastAsia="Arial" w:cs="Arial" w:ascii="Arial" w:hAnsi="Arial"/>
          <w:b/>
          <w:bCs/>
          <w:color w:val="1A3A5C"/>
          <w:sz w:val="22"/>
          <w:szCs w:val="22"/>
        </w:rPr>
        <w:t>Turnover Key (SN# 7858201, LPAR 002)</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Verify the Turnover IFS key path (this key is in IFS/IASP and replicates automatically): /home/unicom/licenses/* TN4.</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Rename the Turnover license files so DEVAT picks up the correct license file: rename current License file to LicenseC2025, then rename LicenseT2025 to License.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the Turnover license shows as valid (LPAR 002):</w:t>
            </w:r>
          </w:p>
          <w:p>
            <w:pPr>
              <w:pStyle w:val="Normal"/>
              <w:shd w:val="clear" w:fill="1E1E2E"/>
              <w:spacing w:before="40" w:after="0"/>
              <w:rPr/>
            </w:pPr>
            <w:r>
              <w:rPr>
                <w:rFonts w:eastAsia="Courier New" w:cs="Courier New" w:ascii="Courier New" w:hAnsi="Courier New"/>
                <w:color w:val="A8D8EA"/>
                <w:sz w:val="17"/>
                <w:szCs w:val="17"/>
              </w:rPr>
              <w:t>TWRKLIC</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Start the TSERVER subsystem if not already running — required for Turnover operations:</w:t>
            </w:r>
          </w:p>
          <w:p>
            <w:pPr>
              <w:pStyle w:val="Normal"/>
              <w:shd w:val="clear" w:fill="1E1E2E"/>
              <w:spacing w:before="40" w:after="0"/>
              <w:rPr/>
            </w:pPr>
            <w:r>
              <w:rPr>
                <w:rFonts w:eastAsia="Courier New" w:cs="Courier New" w:ascii="Courier New" w:hAnsi="Courier New"/>
                <w:color w:val="A8D8EA"/>
                <w:sz w:val="17"/>
                <w:szCs w:val="17"/>
              </w:rPr>
              <w:t>STRSBS AMSCONFIG/TSERVER</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Logon as MLENGBR2. Update the Turnover serial number to local (Option 11 &gt; Option 1 &gt; 2=Change DEVA &gt; change Serial Number to *LOCAL). Serial: 400-42A-7858201.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11.2 — Turnover Key Applied &amp; License Verified Valid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spacing w:before="160" w:after="200"/>
        <w:rPr/>
      </w:pPr>
      <w:r>
        <w:rPr/>
      </w:r>
    </w:p>
    <w:p>
      <w:pPr>
        <w:pStyle w:val="Heading2"/>
        <w:spacing w:before="200" w:after="60"/>
        <w:rPr/>
      </w:pPr>
      <w:bookmarkStart w:id="23" w:name="__RefHeading___Toc4510_1452158057"/>
      <w:bookmarkEnd w:id="23"/>
      <w:r>
        <w:rPr>
          <w:rFonts w:eastAsia="Arial" w:cs="Arial" w:ascii="Arial" w:hAnsi="Arial"/>
          <w:b/>
          <w:bCs/>
          <w:color w:val="2E75B6"/>
          <w:sz w:val="22"/>
          <w:szCs w:val="22"/>
        </w:rPr>
        <w:t xml:space="preserve">11.3  </w:t>
      </w:r>
      <w:r>
        <w:rPr>
          <w:rFonts w:eastAsia="Arial" w:cs="Arial" w:ascii="Arial" w:hAnsi="Arial"/>
          <w:b/>
          <w:bCs/>
          <w:color w:val="1A3A5C"/>
          <w:sz w:val="22"/>
          <w:szCs w:val="22"/>
        </w:rPr>
        <w:t>DSI Key (90-Day, by Serial Number)</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Logon to DEVAT to verify the DSI key. Capture screenshots for the permanent key request. (The key is by serial number, used for SVC_DCLINK interface 13 — the key is not required for DSI to run.)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Delete the existing DSI protection data area:</w:t>
            </w:r>
          </w:p>
          <w:p>
            <w:pPr>
              <w:pStyle w:val="Normal"/>
              <w:shd w:val="clear" w:fill="1E1E2E"/>
              <w:spacing w:before="40" w:after="0"/>
              <w:rPr/>
            </w:pPr>
            <w:r>
              <w:rPr>
                <w:rFonts w:eastAsia="Courier New" w:cs="Courier New" w:ascii="Courier New" w:hAnsi="Courier New"/>
                <w:color w:val="A8D8EA"/>
                <w:sz w:val="17"/>
                <w:szCs w:val="17"/>
              </w:rPr>
              <w:t>DLTOBJ OBJ(DCL511DTA/DSIPROTECT) OBJTYPE(*DTAARA)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Create the new DSI protection data area with the Temple key (no spaces in the hex value):</w:t>
            </w:r>
          </w:p>
          <w:p>
            <w:pPr>
              <w:pStyle w:val="Normal"/>
              <w:shd w:val="clear" w:fill="1E1E2E"/>
              <w:spacing w:before="40" w:after="20"/>
              <w:rPr/>
            </w:pPr>
            <w:r>
              <w:rPr>
                <w:rFonts w:eastAsia="Courier New" w:cs="Courier New" w:ascii="Courier New" w:hAnsi="Courier New"/>
                <w:color w:val="A8D8EA"/>
                <w:sz w:val="17"/>
                <w:szCs w:val="17"/>
              </w:rPr>
              <w:t>CRTDTAARA DTAARA(DCL511DTA/DSIPROTECT) TYPE(*CHAR) LEN(24)</w:t>
            </w:r>
          </w:p>
          <w:p>
            <w:pPr>
              <w:pStyle w:val="Normal"/>
              <w:shd w:val="clear" w:fill="1E1E2E"/>
              <w:spacing w:before="40" w:after="0"/>
              <w:rPr/>
            </w:pPr>
            <w:r>
              <w:rPr>
                <w:rFonts w:eastAsia="Courier New" w:cs="Courier New" w:ascii="Courier New" w:hAnsi="Courier New"/>
                <w:color w:val="A8D8EA"/>
                <w:sz w:val="17"/>
                <w:szCs w:val="17"/>
              </w:rPr>
              <w:t>VALUE(X'C1E935EDACCF9B5D14DBE418D19A7E5CC4DDD2CC383A813A')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11.3 — DSI Protection Data Area Created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2"/>
        <w:spacing w:before="0" w:after="60"/>
        <w:rPr/>
      </w:pPr>
      <w:bookmarkStart w:id="24" w:name="__RefHeading___Toc4512_1452158057"/>
      <w:bookmarkEnd w:id="24"/>
      <w:r>
        <w:rPr>
          <w:rFonts w:eastAsia="Arial" w:cs="Arial" w:ascii="Arial" w:hAnsi="Arial"/>
          <w:b/>
          <w:bCs/>
          <w:color w:val="2E75B6"/>
          <w:sz w:val="22"/>
          <w:szCs w:val="22"/>
        </w:rPr>
        <w:t xml:space="preserve">11.4  </w:t>
      </w:r>
      <w:r>
        <w:rPr>
          <w:rFonts w:eastAsia="Arial" w:cs="Arial" w:ascii="Arial" w:hAnsi="Arial"/>
          <w:b/>
          <w:bCs/>
          <w:color w:val="1A3A5C"/>
          <w:sz w:val="22"/>
          <w:szCs w:val="22"/>
        </w:rPr>
        <w:t>JDE World Keys (A7.3 cum 7, SN# 7858201)</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Initiate the JDE key process — verify version A7.3 cum 7:</w:t>
            </w:r>
          </w:p>
          <w:p>
            <w:pPr>
              <w:pStyle w:val="Normal"/>
              <w:shd w:val="clear" w:fill="1E1E2E"/>
              <w:spacing w:before="40" w:after="0"/>
              <w:rPr/>
            </w:pPr>
            <w:r>
              <w:rPr>
                <w:rFonts w:eastAsia="Courier New" w:cs="Courier New" w:ascii="Courier New" w:hAnsi="Courier New"/>
                <w:color w:val="A8D8EA"/>
                <w:sz w:val="17"/>
                <w:szCs w:val="17"/>
              </w:rPr>
              <w:t>DSPJDELVL/97</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Key reference URLs (same key as before, by serial number — will be the same for PRODE):</w:t>
            </w:r>
          </w:p>
          <w:p>
            <w:pPr>
              <w:pStyle w:val="Normal"/>
              <w:shd w:val="clear" w:fill="1E1E2E"/>
              <w:spacing w:before="40" w:after="20"/>
              <w:rPr/>
            </w:pPr>
            <w:r>
              <w:rPr>
                <w:rFonts w:eastAsia="Courier New" w:cs="Courier New" w:ascii="Courier New" w:hAnsi="Courier New"/>
                <w:color w:val="A8D8EA"/>
                <w:sz w:val="17"/>
                <w:szCs w:val="17"/>
              </w:rPr>
              <w:t>https://licensecodes.oracle.com/cgi-bin/keygen.pl</w:t>
            </w:r>
          </w:p>
          <w:p>
            <w:pPr>
              <w:pStyle w:val="Normal"/>
              <w:shd w:val="clear" w:fill="1E1E2E"/>
              <w:spacing w:before="40" w:after="0"/>
              <w:rPr/>
            </w:pPr>
            <w:r>
              <w:rPr>
                <w:rFonts w:eastAsia="Courier New" w:cs="Courier New" w:ascii="Courier New" w:hAnsi="Courier New"/>
                <w:color w:val="A8D8EA"/>
                <w:sz w:val="17"/>
                <w:szCs w:val="17"/>
              </w:rPr>
              <w:t>https://www.oracle.com/support/license-codes/jd-edwards-world.html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Logon as SYSMGMT and apply the JDE key (SN# 7858201):</w:t>
            </w:r>
          </w:p>
          <w:p>
            <w:pPr>
              <w:pStyle w:val="Normal"/>
              <w:shd w:val="clear" w:fill="1E1E2E"/>
              <w:spacing w:before="40" w:after="0"/>
              <w:rPr/>
            </w:pPr>
            <w:r>
              <w:rPr>
                <w:rFonts w:eastAsia="Courier New" w:cs="Courier New" w:ascii="Courier New" w:hAnsi="Courier New"/>
                <w:color w:val="A8D8EA"/>
                <w:sz w:val="17"/>
                <w:szCs w:val="17"/>
              </w:rPr>
              <w:t>CHGDTAARA DTAARA(JDFOBJA73/QJDF (496 17)) VALUE('060139RPGHDB00701')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Verify the JDE key was applied. Take a screenshot after DR and compare to the pre-DR screenshot taken in Section 4.1:</w:t>
            </w:r>
          </w:p>
          <w:p>
            <w:pPr>
              <w:pStyle w:val="Normal"/>
              <w:shd w:val="clear" w:fill="1E1E2E"/>
              <w:spacing w:before="40" w:after="0"/>
              <w:rPr/>
            </w:pPr>
            <w:r>
              <w:rPr>
                <w:rFonts w:eastAsia="Courier New" w:cs="Courier New" w:ascii="Courier New" w:hAnsi="Courier New"/>
                <w:color w:val="A8D8EA"/>
                <w:sz w:val="17"/>
                <w:szCs w:val="17"/>
              </w:rPr>
              <w:t>DSPDTAARA JDFOBJA73/QJDF</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Logon as QSECOFR and set the ASP Group — required before accessing IASP-resident JDE objects:</w:t>
            </w:r>
          </w:p>
          <w:p>
            <w:pPr>
              <w:pStyle w:val="Normal"/>
              <w:shd w:val="clear" w:fill="1E1E2E"/>
              <w:spacing w:before="40" w:after="0"/>
              <w:rPr/>
            </w:pPr>
            <w:r>
              <w:rPr>
                <w:rFonts w:eastAsia="Courier New" w:cs="Courier New" w:ascii="Courier New" w:hAnsi="Courier New"/>
                <w:color w:val="A8D8EA"/>
                <w:sz w:val="17"/>
                <w:szCs w:val="17"/>
              </w:rPr>
              <w:t>SETASPGRP ASPGRP(DAHAIASP)</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Check locks on each JDE index object individually before deletion:</w:t>
            </w:r>
          </w:p>
          <w:p>
            <w:pPr>
              <w:pStyle w:val="Normal"/>
              <w:shd w:val="clear" w:fill="1E1E2E"/>
              <w:spacing w:before="40" w:after="20"/>
              <w:rPr/>
            </w:pPr>
            <w:r>
              <w:rPr>
                <w:rFonts w:eastAsia="Courier New" w:cs="Courier New" w:ascii="Courier New" w:hAnsi="Courier New"/>
                <w:color w:val="A8D8EA"/>
                <w:sz w:val="17"/>
                <w:szCs w:val="17"/>
              </w:rPr>
              <w:t>WRKOBJLCK OBJ(QGPL/JDE_IDX_1) OBJTYPE(*USRIDX)</w:t>
            </w:r>
          </w:p>
          <w:p>
            <w:pPr>
              <w:pStyle w:val="Normal"/>
              <w:shd w:val="clear" w:fill="1E1E2E"/>
              <w:spacing w:before="40" w:after="20"/>
              <w:rPr/>
            </w:pPr>
            <w:r>
              <w:rPr>
                <w:rFonts w:eastAsia="Courier New" w:cs="Courier New" w:ascii="Courier New" w:hAnsi="Courier New"/>
                <w:color w:val="A8D8EA"/>
                <w:sz w:val="17"/>
                <w:szCs w:val="17"/>
              </w:rPr>
              <w:t>WRKOBJLCK OBJ(QGPL/JDE_IDX_2) OBJTYPE(*USRIDX)</w:t>
            </w:r>
          </w:p>
          <w:p>
            <w:pPr>
              <w:pStyle w:val="Normal"/>
              <w:shd w:val="clear" w:fill="1E1E2E"/>
              <w:spacing w:before="40" w:after="20"/>
              <w:rPr/>
            </w:pPr>
            <w:r>
              <w:rPr>
                <w:rFonts w:eastAsia="Courier New" w:cs="Courier New" w:ascii="Courier New" w:hAnsi="Courier New"/>
                <w:color w:val="A8D8EA"/>
                <w:sz w:val="17"/>
                <w:szCs w:val="17"/>
              </w:rPr>
              <w:t>WRKOBJLCK OBJ(QGPL/JDE_IDX_3) OBJTYPE(*USRIDX)</w:t>
            </w:r>
          </w:p>
          <w:p>
            <w:pPr>
              <w:pStyle w:val="Normal"/>
              <w:shd w:val="clear" w:fill="1E1E2E"/>
              <w:spacing w:before="40" w:after="20"/>
              <w:rPr/>
            </w:pPr>
            <w:r>
              <w:rPr>
                <w:rFonts w:eastAsia="Courier New" w:cs="Courier New" w:ascii="Courier New" w:hAnsi="Courier New"/>
                <w:color w:val="A8D8EA"/>
                <w:sz w:val="17"/>
                <w:szCs w:val="17"/>
              </w:rPr>
              <w:t>WRKOBJLCK OBJ(QGPL/JDE_IDX_4) OBJTYPE(*USRIDX)</w:t>
            </w:r>
          </w:p>
          <w:p>
            <w:pPr>
              <w:pStyle w:val="Normal"/>
              <w:shd w:val="clear" w:fill="1E1E2E"/>
              <w:spacing w:before="40" w:after="0"/>
              <w:rPr/>
            </w:pPr>
            <w:r>
              <w:rPr>
                <w:rFonts w:eastAsia="Courier New" w:cs="Courier New" w:ascii="Courier New" w:hAnsi="Courier New"/>
                <w:color w:val="A8D8EA"/>
                <w:sz w:val="17"/>
                <w:szCs w:val="17"/>
              </w:rPr>
              <w:t>WRKOBJ OBJ(QGPL/JDE*) OBJTYPE(*USRIDX)</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Delete JDE index objects IDX_1 through IDX_4 ONLY — do not delete any other JDE* objects.</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8</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Rebuild the JDE indexes by submitting the rebuild job, then verify (rebuilds JDE_IDX_1 through JDE_IDX_4; use CALL QCMD and paste the command):</w:t>
            </w:r>
          </w:p>
          <w:p>
            <w:pPr>
              <w:pStyle w:val="Normal"/>
              <w:shd w:val="clear" w:fill="1E1E2E"/>
              <w:spacing w:before="40" w:after="20"/>
              <w:rPr/>
            </w:pPr>
            <w:r>
              <w:rPr>
                <w:rFonts w:eastAsia="Courier New" w:cs="Courier New" w:ascii="Courier New" w:hAnsi="Courier New"/>
                <w:color w:val="A8D8EA"/>
                <w:sz w:val="17"/>
                <w:szCs w:val="17"/>
              </w:rPr>
              <w:t>SBMJOB CMD(CALL PGM(JDFOBJA73/J98802JQ)) JOBQ(QUSRSYS/QCTL1)</w:t>
            </w:r>
          </w:p>
          <w:p>
            <w:pPr>
              <w:pStyle w:val="Normal"/>
              <w:shd w:val="clear" w:fill="1E1E2E"/>
              <w:spacing w:before="40" w:after="20"/>
              <w:rPr/>
            </w:pPr>
            <w:r>
              <w:rPr>
                <w:rFonts w:eastAsia="Courier New" w:cs="Courier New" w:ascii="Courier New" w:hAnsi="Courier New"/>
                <w:color w:val="A8D8EA"/>
                <w:sz w:val="17"/>
                <w:szCs w:val="17"/>
              </w:rPr>
              <w:t>INLLIBL(QTEMP JDFOBJA73 PRDCOMA73 PRDDATA73 SECUREA73 QGPL) LOG(0 99 *SECLVL)</w:t>
            </w:r>
          </w:p>
          <w:p>
            <w:pPr>
              <w:pStyle w:val="Normal"/>
              <w:shd w:val="clear" w:fill="1E1E2E"/>
              <w:spacing w:before="40" w:after="0"/>
              <w:rPr/>
            </w:pPr>
            <w:r>
              <w:rPr>
                <w:rFonts w:eastAsia="Courier New" w:cs="Courier New" w:ascii="Courier New" w:hAnsi="Courier New"/>
                <w:color w:val="A8D8EA"/>
                <w:sz w:val="17"/>
                <w:szCs w:val="17"/>
              </w:rPr>
              <w:t>WRKOBJ OBJ(QGPL/JDE*) OBJTYPE(*USRIDX)</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11.4 — JDE Key Applied &amp; Indexes Rebuilt</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spacing w:before="160" w:after="200"/>
        <w:rPr/>
      </w:pPr>
      <w:r>
        <w:rPr/>
      </w:r>
    </w:p>
    <w:p>
      <w:pPr>
        <w:pStyle w:val="Heading2"/>
        <w:spacing w:before="200" w:after="60"/>
        <w:rPr/>
      </w:pPr>
      <w:bookmarkStart w:id="25" w:name="__RefHeading___Toc4514_1452158057"/>
      <w:bookmarkEnd w:id="25"/>
      <w:r>
        <w:rPr>
          <w:rFonts w:eastAsia="Arial" w:cs="Arial" w:ascii="Arial" w:hAnsi="Arial"/>
          <w:b/>
          <w:bCs/>
          <w:color w:val="2E75B6"/>
          <w:sz w:val="22"/>
          <w:szCs w:val="22"/>
        </w:rPr>
        <w:t xml:space="preserve">11.5  </w:t>
      </w:r>
      <w:r>
        <w:rPr>
          <w:rFonts w:eastAsia="Arial" w:cs="Arial" w:ascii="Arial" w:hAnsi="Arial"/>
          <w:b/>
          <w:bCs/>
          <w:color w:val="1A3A5C"/>
          <w:sz w:val="22"/>
          <w:szCs w:val="22"/>
        </w:rPr>
        <w:t>DXRECOV System Install Key</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Signoff the current session and logon as the DXRECOV profile.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Navigate to the JDE install key menu and apply the System 00 Install Key (take a screenshot before and after applying):</w:t>
            </w:r>
          </w:p>
          <w:p>
            <w:pPr>
              <w:pStyle w:val="Normal"/>
              <w:shd w:val="clear" w:fill="1E1E2E"/>
              <w:spacing w:before="40" w:after="20"/>
              <w:rPr/>
            </w:pPr>
            <w:r>
              <w:rPr>
                <w:rFonts w:eastAsia="Courier New" w:cs="Courier New" w:ascii="Courier New" w:hAnsi="Courier New"/>
                <w:color w:val="A8D8EA"/>
                <w:sz w:val="17"/>
                <w:szCs w:val="17"/>
              </w:rPr>
              <w:t>G90 &gt; Option 5 &gt; F2</w:t>
            </w:r>
          </w:p>
          <w:p>
            <w:pPr>
              <w:pStyle w:val="Normal"/>
              <w:shd w:val="clear" w:fill="1E1E2E"/>
              <w:spacing w:before="40" w:after="20"/>
              <w:rPr/>
            </w:pPr>
            <w:r>
              <w:rPr>
                <w:rFonts w:eastAsia="Courier New" w:cs="Courier New" w:ascii="Courier New" w:hAnsi="Courier New"/>
                <w:color w:val="A8D8EA"/>
                <w:sz w:val="17"/>
                <w:szCs w:val="17"/>
              </w:rPr>
              <w:t>CALL J99LSF#</w:t>
            </w:r>
          </w:p>
          <w:p>
            <w:pPr>
              <w:pStyle w:val="Normal"/>
              <w:shd w:val="clear" w:fill="1E1E2E"/>
              <w:spacing w:before="40" w:after="20"/>
              <w:rPr/>
            </w:pPr>
            <w:r>
              <w:rPr>
                <w:rFonts w:eastAsia="Courier New" w:cs="Courier New" w:ascii="Courier New" w:hAnsi="Courier New"/>
                <w:color w:val="A8D8EA"/>
                <w:sz w:val="17"/>
                <w:szCs w:val="17"/>
              </w:rPr>
              <w:t>I &gt; 00 &gt; Press Enter</w:t>
            </w:r>
          </w:p>
          <w:p>
            <w:pPr>
              <w:pStyle w:val="Normal"/>
              <w:shd w:val="clear" w:fill="1E1E2E"/>
              <w:spacing w:before="40" w:after="20"/>
              <w:rPr/>
            </w:pPr>
            <w:r>
              <w:rPr>
                <w:rFonts w:eastAsia="Courier New" w:cs="Courier New" w:ascii="Courier New" w:hAnsi="Courier New"/>
                <w:color w:val="A8D8EA"/>
                <w:sz w:val="17"/>
                <w:szCs w:val="17"/>
              </w:rPr>
              <w:t>C &gt; 00 &gt; Apply new Install Key Matrix &gt; Press Enter</w:t>
            </w:r>
          </w:p>
          <w:p>
            <w:pPr>
              <w:pStyle w:val="Normal"/>
              <w:shd w:val="clear" w:fill="1E1E2E"/>
              <w:spacing w:before="40" w:after="0"/>
              <w:rPr/>
            </w:pPr>
            <w:r>
              <w:rPr>
                <w:rFonts w:eastAsia="Courier New" w:cs="Courier New" w:ascii="Courier New" w:hAnsi="Courier New"/>
                <w:color w:val="A8D8EA"/>
                <w:sz w:val="17"/>
                <w:szCs w:val="17"/>
              </w:rPr>
              <w:t>Install Key: L123M12345NO27</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via the CSEC menu that the install key is correctly applied:</w:t>
            </w:r>
          </w:p>
          <w:p>
            <w:pPr>
              <w:pStyle w:val="Normal"/>
              <w:shd w:val="clear" w:fill="1E1E2E"/>
              <w:spacing w:before="40" w:after="20"/>
              <w:rPr/>
            </w:pPr>
            <w:r>
              <w:rPr>
                <w:rFonts w:eastAsia="Courier New" w:cs="Courier New" w:ascii="Courier New" w:hAnsi="Courier New"/>
                <w:color w:val="A8D8EA"/>
                <w:sz w:val="17"/>
                <w:szCs w:val="17"/>
              </w:rPr>
              <w:t>CSEC Menu &gt; Option 2</w:t>
            </w:r>
          </w:p>
          <w:p>
            <w:pPr>
              <w:pStyle w:val="Normal"/>
              <w:shd w:val="clear" w:fill="1E1E2E"/>
              <w:spacing w:before="40" w:after="20"/>
              <w:rPr/>
            </w:pPr>
            <w:r>
              <w:rPr>
                <w:rFonts w:eastAsia="Courier New" w:cs="Courier New" w:ascii="Courier New" w:hAnsi="Courier New"/>
                <w:color w:val="A8D8EA"/>
                <w:sz w:val="17"/>
                <w:szCs w:val="17"/>
              </w:rPr>
              <w:t>Alpha Name: A &gt; Press Enter</w:t>
            </w:r>
          </w:p>
          <w:p>
            <w:pPr>
              <w:pStyle w:val="Normal"/>
              <w:shd w:val="clear" w:fill="1E1E2E"/>
              <w:spacing w:before="40" w:after="0"/>
              <w:rPr/>
            </w:pPr>
            <w:r>
              <w:rPr>
                <w:rFonts w:eastAsia="Courier New" w:cs="Courier New" w:ascii="Courier New" w:hAnsi="Courier New"/>
                <w:color w:val="A8D8EA"/>
                <w:sz w:val="17"/>
                <w:szCs w:val="17"/>
              </w:rPr>
              <w:t>Option 2 for Verification &gt; I &gt; Page Down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Verify the Software Security Code. Take a screenshot for evidence — the first line should change from '3' to blank:</w:t>
            </w:r>
          </w:p>
          <w:p>
            <w:pPr>
              <w:pStyle w:val="Normal"/>
              <w:shd w:val="clear" w:fill="1E1E2E"/>
              <w:spacing w:before="40" w:after="0"/>
              <w:rPr/>
            </w:pPr>
            <w:r>
              <w:rPr>
                <w:rFonts w:eastAsia="Courier New" w:cs="Courier New" w:ascii="Courier New" w:hAnsi="Courier New"/>
                <w:color w:val="A8D8EA"/>
                <w:sz w:val="17"/>
                <w:szCs w:val="17"/>
              </w:rPr>
              <w:t>G94 &gt; 14 &gt; F6</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11.5 — DXRECOV Install Key Applied &amp; Security Code Verified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2"/>
        <w:spacing w:before="0" w:after="60"/>
        <w:rPr/>
      </w:pPr>
      <w:bookmarkStart w:id="26" w:name="__RefHeading___Toc4516_1452158057"/>
      <w:bookmarkEnd w:id="26"/>
      <w:r>
        <w:rPr>
          <w:rFonts w:eastAsia="Arial" w:cs="Arial" w:ascii="Arial" w:hAnsi="Arial"/>
          <w:b/>
          <w:bCs/>
          <w:color w:val="2E75B6"/>
          <w:sz w:val="22"/>
          <w:szCs w:val="22"/>
        </w:rPr>
        <w:t xml:space="preserve">11.6  </w:t>
      </w:r>
      <w:r>
        <w:rPr>
          <w:rFonts w:eastAsia="Arial" w:cs="Arial" w:ascii="Arial" w:hAnsi="Arial"/>
          <w:b/>
          <w:bCs/>
          <w:color w:val="1A3A5C"/>
          <w:sz w:val="22"/>
          <w:szCs w:val="22"/>
        </w:rPr>
        <w:t>Robot Schedule Reset</w:t>
      </w:r>
    </w:p>
    <w:p>
      <w:pPr>
        <w:pStyle w:val="Normal"/>
        <w:pBdr>
          <w:bottom w:val="single" w:sz="8" w:space="1" w:color="2E75B6"/>
        </w:pBdr>
        <w:spacing w:before="0" w:after="60"/>
        <w:rPr/>
      </w:pPr>
      <w:r>
        <w:rPr/>
      </w:r>
    </w:p>
    <w:p>
      <w:pPr>
        <w:pStyle w:val="Normal"/>
        <w:spacing w:before="0" w:after="120"/>
        <w:rPr/>
      </w:pPr>
      <w:r>
        <w:rPr>
          <w:rFonts w:eastAsia="Arial" w:cs="Arial"/>
          <w:i w:val="false"/>
          <w:iCs w:val="false"/>
          <w:color w:val="44546A"/>
          <w:sz w:val="20"/>
          <w:szCs w:val="20"/>
        </w:rPr>
        <w:t>Robot Schedule changes are required due to the different system names recorded in completion history. The system name (DEVA) itself is unchanged, so RSLCHGSYSN is skipped.</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Bring down the RBTSLEEPER subsystem — must be shut down before resetting the OID:</w:t>
            </w:r>
          </w:p>
          <w:p>
            <w:pPr>
              <w:pStyle w:val="Normal"/>
              <w:shd w:val="clear" w:fill="1E1E2E"/>
              <w:spacing w:before="40" w:after="0"/>
              <w:rPr/>
            </w:pPr>
            <w:r>
              <w:rPr>
                <w:rFonts w:eastAsia="Courier New" w:cs="Courier New" w:ascii="Courier New" w:hAnsi="Courier New"/>
                <w:color w:val="A8D8EA"/>
                <w:sz w:val="17"/>
                <w:szCs w:val="17"/>
              </w:rPr>
              <w:t>RBTSYSLIB/RSLSHUTDWN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Reset the Robot Schedule OID for the new node (RSLCHGSYSN is skipped — the system name DEVA is the same on both nodes):</w:t>
            </w:r>
          </w:p>
          <w:p>
            <w:pPr>
              <w:pStyle w:val="Normal"/>
              <w:shd w:val="clear" w:fill="1E1E2E"/>
              <w:spacing w:before="40" w:after="0"/>
              <w:rPr/>
            </w:pPr>
            <w:r>
              <w:rPr>
                <w:rFonts w:eastAsia="Courier New" w:cs="Courier New" w:ascii="Courier New" w:hAnsi="Courier New"/>
                <w:color w:val="A8D8EA"/>
                <w:sz w:val="17"/>
                <w:szCs w:val="17"/>
              </w:rPr>
              <w:t>RSLSETOID PRC(RBT)</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Restart the RBTSLEEPER subsystem. The delay setting changes from 3 to blank (no delay in Robot startup minutes):</w:t>
            </w:r>
          </w:p>
          <w:p>
            <w:pPr>
              <w:pStyle w:val="Normal"/>
              <w:shd w:val="clear" w:fill="1E1E2E"/>
              <w:spacing w:before="40" w:after="0"/>
              <w:rPr/>
            </w:pPr>
            <w:r>
              <w:rPr>
                <w:rFonts w:eastAsia="Courier New" w:cs="Courier New" w:ascii="Courier New" w:hAnsi="Courier New"/>
                <w:color w:val="A8D8EA"/>
                <w:sz w:val="17"/>
                <w:szCs w:val="17"/>
              </w:rPr>
              <w:t>STRSBS SBSD(RBTSYSLIB/RBTSLEEPER)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Verify the FormsPrint license (keys live in ICSPROG/SYSBAS and must be verified manually — can skip if confirmed current):</w:t>
            </w:r>
          </w:p>
          <w:p>
            <w:pPr>
              <w:pStyle w:val="Normal"/>
              <w:shd w:val="clear" w:fill="1E1E2E"/>
              <w:spacing w:before="40" w:after="20"/>
              <w:rPr/>
            </w:pPr>
            <w:r>
              <w:rPr>
                <w:rFonts w:eastAsia="Courier New" w:cs="Courier New" w:ascii="Courier New" w:hAnsi="Courier New"/>
                <w:color w:val="A8D8EA"/>
                <w:sz w:val="17"/>
                <w:szCs w:val="17"/>
              </w:rPr>
              <w:t>F16 &gt; 3 &gt; Verify</w:t>
            </w:r>
          </w:p>
          <w:p>
            <w:pPr>
              <w:pStyle w:val="Normal"/>
              <w:shd w:val="clear" w:fill="1E1E2E"/>
              <w:spacing w:before="40" w:after="20"/>
              <w:rPr/>
            </w:pPr>
            <w:r>
              <w:rPr>
                <w:rFonts w:eastAsia="Courier New" w:cs="Courier New" w:ascii="Courier New" w:hAnsi="Courier New"/>
                <w:color w:val="A8D8EA"/>
                <w:sz w:val="17"/>
                <w:szCs w:val="17"/>
              </w:rPr>
              <w:t>CALL ICSPROG/FMSTCTLA</w:t>
            </w:r>
          </w:p>
          <w:p>
            <w:pPr>
              <w:pStyle w:val="Normal"/>
              <w:shd w:val="clear" w:fill="1E1E2E"/>
              <w:spacing w:before="40" w:after="0"/>
              <w:rPr/>
            </w:pPr>
            <w:r>
              <w:rPr>
                <w:rFonts w:eastAsia="Courier New" w:cs="Courier New" w:ascii="Courier New" w:hAnsi="Courier New"/>
                <w:color w:val="A8D8EA"/>
                <w:sz w:val="17"/>
                <w:szCs w:val="17"/>
              </w:rPr>
              <w:t>CALL ICSPROG/LICENSE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Verify all expected subsystems are active (see Section 22 for the reference list): WRKACTJOB or WRKSBS.</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Verify all TCP servers and host servers that should be active are active: STRTCPSVR / STRHOSTSVR.</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11.6 — Robot Schedule Reset &amp; Subsystems Verified Active</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27" w:name="__RefHeading___Toc4518_1452158057"/>
      <w:bookmarkEnd w:id="27"/>
      <w:r>
        <w:rPr>
          <w:rFonts w:eastAsia="Arial" w:cs="Arial" w:ascii="Arial" w:hAnsi="Arial"/>
          <w:b/>
          <w:bCs/>
          <w:color w:val="2E75B6"/>
          <w:sz w:val="22"/>
          <w:szCs w:val="22"/>
        </w:rPr>
        <w:t>12</w:t>
      </w:r>
      <w:r>
        <w:rPr>
          <w:rFonts w:eastAsia="Arial" w:cs="Arial" w:ascii="Arial" w:hAnsi="Arial"/>
          <w:sz w:val="22"/>
          <w:szCs w:val="22"/>
        </w:rPr>
        <w:t xml:space="preserve">   </w:t>
      </w:r>
      <w:r>
        <w:rPr>
          <w:rFonts w:eastAsia="Arial" w:cs="Arial" w:ascii="Arial" w:hAnsi="Arial"/>
          <w:b/>
          <w:bCs/>
          <w:color w:val="FFFFFF"/>
          <w:sz w:val="26"/>
          <w:szCs w:val="26"/>
        </w:rPr>
        <w:t>TCP HOST TABLE UPDATES</w:t>
      </w:r>
    </w:p>
    <w:p>
      <w:pPr>
        <w:pStyle w:val="Normal"/>
        <w:shd w:val="clear" w:fill="1F4E79"/>
        <w:spacing w:before="0" w:after="160"/>
        <w:ind w:left="80"/>
        <w:rPr/>
      </w:pPr>
      <w:r>
        <w:rPr>
          <w:rFonts w:eastAsia="Arial" w:cs="Arial"/>
          <w:i/>
          <w:iCs/>
          <w:color w:val="EBF3FB"/>
          <w:sz w:val="18"/>
          <w:szCs w:val="18"/>
        </w:rPr>
        <w:t>Phase 8 — All Systems: PA, PE, DEVAT, DEVAC, DSST, DSSC</w:t>
      </w:r>
    </w:p>
    <w:p>
      <w:pPr>
        <w:pStyle w:val="Normal"/>
        <w:spacing w:before="0" w:after="120"/>
        <w:rPr/>
      </w:pPr>
      <w:r>
        <w:rPr>
          <w:rFonts w:eastAsia="Arial" w:cs="Arial"/>
          <w:i w:val="false"/>
          <w:iCs w:val="false"/>
          <w:color w:val="44546A"/>
          <w:sz w:val="20"/>
          <w:szCs w:val="20"/>
        </w:rPr>
        <w:t>Each system below requires its TCP host table entries removed and re-added so that DEVA resolves to the new Temple address. Use F15 to Position To in the host table on each system before making changes.</w:t>
      </w:r>
    </w:p>
    <w:p>
      <w:pPr>
        <w:pStyle w:val="Heading2"/>
        <w:spacing w:before="200" w:after="60"/>
        <w:rPr/>
      </w:pPr>
      <w:bookmarkStart w:id="28" w:name="__RefHeading___Toc4520_1452158057"/>
      <w:bookmarkEnd w:id="28"/>
      <w:r>
        <w:rPr>
          <w:rFonts w:eastAsia="Arial" w:cs="Arial" w:ascii="Arial" w:hAnsi="Arial"/>
          <w:b/>
          <w:bCs/>
          <w:color w:val="2E75B6"/>
          <w:sz w:val="22"/>
          <w:szCs w:val="22"/>
        </w:rPr>
        <w:t xml:space="preserve">12.1  </w:t>
      </w:r>
      <w:r>
        <w:rPr>
          <w:rFonts w:eastAsia="Arial" w:cs="Arial" w:ascii="Arial" w:hAnsi="Arial"/>
          <w:b/>
          <w:bCs/>
          <w:color w:val="1A3A5C"/>
          <w:sz w:val="22"/>
          <w:szCs w:val="22"/>
        </w:rPr>
        <w:t>PRODA (PA)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INTNETADR('10.7.1.231')</w:t>
            </w:r>
          </w:p>
          <w:p>
            <w:pPr>
              <w:pStyle w:val="Normal"/>
              <w:shd w:val="clear" w:fill="1E1E2E"/>
              <w:spacing w:before="40" w:after="0"/>
              <w:rPr/>
            </w:pPr>
            <w:r>
              <w:rPr>
                <w:rFonts w:eastAsia="Courier New" w:cs="Courier New" w:ascii="Courier New" w:hAnsi="Courier New"/>
                <w:color w:val="A8D8EA"/>
                <w:sz w:val="17"/>
                <w:szCs w:val="17"/>
              </w:rPr>
              <w:t>RMVTCPHTE INTNETADR('10.7.1.161')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DEVAT entry with the full PRODA hostname list:</w:t>
            </w:r>
          </w:p>
          <w:p>
            <w:pPr>
              <w:pStyle w:val="Normal"/>
              <w:shd w:val="clear" w:fill="1E1E2E"/>
              <w:spacing w:before="40" w:after="20"/>
              <w:rPr/>
            </w:pPr>
            <w:r>
              <w:rPr>
                <w:rFonts w:eastAsia="Courier New" w:cs="Courier New" w:ascii="Courier New" w:hAnsi="Courier New"/>
                <w:color w:val="A8D8EA"/>
                <w:sz w:val="17"/>
                <w:szCs w:val="17"/>
              </w:rPr>
              <w:t>ADDTCPHTE INTNETADR('10.7.1.231')</w:t>
            </w:r>
          </w:p>
          <w:p>
            <w:pPr>
              <w:pStyle w:val="Normal"/>
              <w:shd w:val="clear" w:fill="1E1E2E"/>
              <w:spacing w:before="40" w:after="0"/>
              <w:rPr/>
            </w:pPr>
            <w:r>
              <w:rPr>
                <w:rFonts w:eastAsia="Courier New" w:cs="Courier New" w:ascii="Courier New" w:hAnsi="Courier New"/>
                <w:color w:val="A8D8EA"/>
                <w:sz w:val="17"/>
                <w:szCs w:val="17"/>
              </w:rPr>
              <w:t>HOSTNAME((DEVA)(DEVA.APPN.SNA.IBM.COM)(WWDEVA.APPN.SNA.IBM.COM)(MXLDEVA)(VDEVA)(XMXLDEVA))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INTNETADR('10.7.1.161')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29" w:name="__RefHeading___Toc4522_1452158057"/>
      <w:bookmarkEnd w:id="29"/>
      <w:r>
        <w:rPr>
          <w:rFonts w:eastAsia="Arial" w:cs="Arial" w:ascii="Arial" w:hAnsi="Arial"/>
          <w:b/>
          <w:bCs/>
          <w:color w:val="2E75B6"/>
          <w:sz w:val="22"/>
          <w:szCs w:val="22"/>
        </w:rPr>
        <w:t xml:space="preserve">12.2  </w:t>
      </w:r>
      <w:r>
        <w:rPr>
          <w:rFonts w:eastAsia="Arial" w:cs="Arial" w:ascii="Arial" w:hAnsi="Arial"/>
          <w:b/>
          <w:bCs/>
          <w:color w:val="1A3A5C"/>
          <w:sz w:val="22"/>
          <w:szCs w:val="22"/>
        </w:rPr>
        <w:t>PRODE (PE)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INTNETADR('10.7.1.231')</w:t>
            </w:r>
          </w:p>
          <w:p>
            <w:pPr>
              <w:pStyle w:val="Normal"/>
              <w:shd w:val="clear" w:fill="1E1E2E"/>
              <w:spacing w:before="40" w:after="0"/>
              <w:rPr/>
            </w:pPr>
            <w:r>
              <w:rPr>
                <w:rFonts w:eastAsia="Courier New" w:cs="Courier New" w:ascii="Courier New" w:hAnsi="Courier New"/>
                <w:color w:val="A8D8EA"/>
                <w:sz w:val="17"/>
                <w:szCs w:val="17"/>
              </w:rPr>
              <w:t>RMVTCPHTE INTNETADR('10.7.1.161')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DEVAT entry with the full PRODE hostname list:</w:t>
            </w:r>
          </w:p>
          <w:p>
            <w:pPr>
              <w:pStyle w:val="Normal"/>
              <w:shd w:val="clear" w:fill="1E1E2E"/>
              <w:spacing w:before="40" w:after="20"/>
              <w:rPr/>
            </w:pPr>
            <w:r>
              <w:rPr>
                <w:rFonts w:eastAsia="Courier New" w:cs="Courier New" w:ascii="Courier New" w:hAnsi="Courier New"/>
                <w:color w:val="A8D8EA"/>
                <w:sz w:val="17"/>
                <w:szCs w:val="17"/>
              </w:rPr>
              <w:t>ADDTCPHTE INTNETADR('10.7.1.231')</w:t>
            </w:r>
          </w:p>
          <w:p>
            <w:pPr>
              <w:pStyle w:val="Normal"/>
              <w:shd w:val="clear" w:fill="1E1E2E"/>
              <w:spacing w:before="40" w:after="0"/>
              <w:rPr/>
            </w:pPr>
            <w:r>
              <w:rPr>
                <w:rFonts w:eastAsia="Courier New" w:cs="Courier New" w:ascii="Courier New" w:hAnsi="Courier New"/>
                <w:color w:val="A8D8EA"/>
                <w:sz w:val="17"/>
                <w:szCs w:val="17"/>
              </w:rPr>
              <w:t>HOSTNAME((DEVA)(DEVA.APPN.SNA.IBM.COM)(WWDEVA.APPN.SNA.IBM.COM)(MXLDEVA)(VDEVA)(XMXLDEVA))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INTNETADR('10.7.1.161')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rPr/>
      </w:pPr>
      <w:r>
        <w:rPr/>
      </w:r>
      <w:r>
        <w:br w:type="page"/>
      </w:r>
    </w:p>
    <w:p>
      <w:pPr>
        <w:pStyle w:val="Heading2"/>
        <w:spacing w:before="0" w:after="60"/>
        <w:rPr/>
      </w:pPr>
      <w:bookmarkStart w:id="30" w:name="__RefHeading___Toc4524_1452158057"/>
      <w:bookmarkEnd w:id="30"/>
      <w:r>
        <w:rPr>
          <w:rFonts w:eastAsia="Arial" w:cs="Arial" w:ascii="Arial" w:hAnsi="Arial"/>
          <w:b/>
          <w:bCs/>
          <w:color w:val="2E75B6"/>
          <w:sz w:val="22"/>
          <w:szCs w:val="22"/>
        </w:rPr>
        <w:t xml:space="preserve">12.3  </w:t>
      </w:r>
      <w:r>
        <w:rPr>
          <w:rFonts w:eastAsia="Arial" w:cs="Arial" w:ascii="Arial" w:hAnsi="Arial"/>
          <w:b/>
          <w:bCs/>
          <w:color w:val="1A3A5C"/>
          <w:sz w:val="22"/>
          <w:szCs w:val="22"/>
        </w:rPr>
        <w:t>DEVAT/Temple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INTNETADR('10.7.1.231')</w:t>
            </w:r>
          </w:p>
          <w:p>
            <w:pPr>
              <w:pStyle w:val="Normal"/>
              <w:shd w:val="clear" w:fill="1E1E2E"/>
              <w:spacing w:before="40" w:after="0"/>
              <w:rPr/>
            </w:pPr>
            <w:r>
              <w:rPr>
                <w:rFonts w:eastAsia="Courier New" w:cs="Courier New" w:ascii="Courier New" w:hAnsi="Courier New"/>
                <w:color w:val="A8D8EA"/>
                <w:sz w:val="17"/>
                <w:szCs w:val="17"/>
              </w:rPr>
              <w:t>RMVTCPHTE INTNETADR('10.7.1.161')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DEVAT entry:</w:t>
            </w:r>
          </w:p>
          <w:p>
            <w:pPr>
              <w:pStyle w:val="Normal"/>
              <w:shd w:val="clear" w:fill="1E1E2E"/>
              <w:spacing w:before="40" w:after="20"/>
              <w:rPr/>
            </w:pPr>
            <w:r>
              <w:rPr>
                <w:rFonts w:eastAsia="Courier New" w:cs="Courier New" w:ascii="Courier New" w:hAnsi="Courier New"/>
                <w:color w:val="A8D8EA"/>
                <w:sz w:val="17"/>
                <w:szCs w:val="17"/>
              </w:rPr>
              <w:t>ADDTCPHTE INTNETADR('10.7.1.231')</w:t>
            </w:r>
          </w:p>
          <w:p>
            <w:pPr>
              <w:pStyle w:val="Normal"/>
              <w:shd w:val="clear" w:fill="1E1E2E"/>
              <w:spacing w:before="40" w:after="0"/>
              <w:rPr/>
            </w:pPr>
            <w:r>
              <w:rPr>
                <w:rFonts w:eastAsia="Courier New" w:cs="Courier New" w:ascii="Courier New" w:hAnsi="Courier New"/>
                <w:color w:val="A8D8EA"/>
                <w:sz w:val="17"/>
                <w:szCs w:val="17"/>
              </w:rPr>
              <w:t>HOSTNAME((DEVA)(DEVA.APPN.SNA.IBM.COM)(MXLDEVA))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INTNETADR('10.7.1.161')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31" w:name="__RefHeading___Toc4526_1452158057"/>
      <w:bookmarkEnd w:id="31"/>
      <w:r>
        <w:rPr>
          <w:rFonts w:eastAsia="Arial" w:cs="Arial" w:ascii="Arial" w:hAnsi="Arial"/>
          <w:b/>
          <w:bCs/>
          <w:color w:val="2E75B6"/>
          <w:sz w:val="22"/>
          <w:szCs w:val="22"/>
        </w:rPr>
        <w:t xml:space="preserve">12.4  </w:t>
      </w:r>
      <w:r>
        <w:rPr>
          <w:rFonts w:eastAsia="Arial" w:cs="Arial" w:ascii="Arial" w:hAnsi="Arial"/>
          <w:b/>
          <w:bCs/>
          <w:color w:val="1A3A5C"/>
          <w:sz w:val="22"/>
          <w:szCs w:val="22"/>
        </w:rPr>
        <w:t>DEVAC/Equinix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INTNETADR('10.7.1.231')</w:t>
            </w:r>
          </w:p>
          <w:p>
            <w:pPr>
              <w:pStyle w:val="Normal"/>
              <w:shd w:val="clear" w:fill="1E1E2E"/>
              <w:spacing w:before="40" w:after="0"/>
              <w:rPr/>
            </w:pPr>
            <w:r>
              <w:rPr>
                <w:rFonts w:eastAsia="Courier New" w:cs="Courier New" w:ascii="Courier New" w:hAnsi="Courier New"/>
                <w:color w:val="A8D8EA"/>
                <w:sz w:val="17"/>
                <w:szCs w:val="17"/>
              </w:rPr>
              <w:t>RMVTCPHTE INTNETADR('10.7.1.161')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DEVAT entry:</w:t>
            </w:r>
          </w:p>
          <w:p>
            <w:pPr>
              <w:pStyle w:val="Normal"/>
              <w:shd w:val="clear" w:fill="1E1E2E"/>
              <w:spacing w:before="40" w:after="20"/>
              <w:rPr/>
            </w:pPr>
            <w:r>
              <w:rPr>
                <w:rFonts w:eastAsia="Courier New" w:cs="Courier New" w:ascii="Courier New" w:hAnsi="Courier New"/>
                <w:color w:val="A8D8EA"/>
                <w:sz w:val="17"/>
                <w:szCs w:val="17"/>
              </w:rPr>
              <w:t>ADDTCPHTE INTNETADR('10.7.1.231')</w:t>
            </w:r>
          </w:p>
          <w:p>
            <w:pPr>
              <w:pStyle w:val="Normal"/>
              <w:shd w:val="clear" w:fill="1E1E2E"/>
              <w:spacing w:before="40" w:after="0"/>
              <w:rPr/>
            </w:pPr>
            <w:r>
              <w:rPr>
                <w:rFonts w:eastAsia="Courier New" w:cs="Courier New" w:ascii="Courier New" w:hAnsi="Courier New"/>
                <w:color w:val="A8D8EA"/>
                <w:sz w:val="17"/>
                <w:szCs w:val="17"/>
              </w:rPr>
              <w:t>HOSTNAME((DEVA)(DEVA.APPN.SNA.IBM.COM)(MXLDEVA))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INTNETADR('10.7.1.161')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rPr/>
      </w:pPr>
      <w:r>
        <w:rPr/>
      </w:r>
      <w:r>
        <w:br w:type="page"/>
      </w:r>
    </w:p>
    <w:p>
      <w:pPr>
        <w:pStyle w:val="Heading2"/>
        <w:spacing w:before="0" w:after="60"/>
        <w:rPr/>
      </w:pPr>
      <w:bookmarkStart w:id="32" w:name="__RefHeading___Toc4528_1452158057"/>
      <w:bookmarkEnd w:id="32"/>
      <w:r>
        <w:rPr>
          <w:rFonts w:eastAsia="Arial" w:cs="Arial" w:ascii="Arial" w:hAnsi="Arial"/>
          <w:b/>
          <w:bCs/>
          <w:color w:val="2E75B6"/>
          <w:sz w:val="22"/>
          <w:szCs w:val="22"/>
        </w:rPr>
        <w:t xml:space="preserve">12.5  </w:t>
      </w:r>
      <w:r>
        <w:rPr>
          <w:rFonts w:eastAsia="Arial" w:cs="Arial" w:ascii="Arial" w:hAnsi="Arial"/>
          <w:b/>
          <w:bCs/>
          <w:color w:val="1A3A5C"/>
          <w:sz w:val="22"/>
          <w:szCs w:val="22"/>
        </w:rPr>
        <w:t>PRODDSS (DSST)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INTNETADR('10.7.1.231')</w:t>
            </w:r>
          </w:p>
          <w:p>
            <w:pPr>
              <w:pStyle w:val="Normal"/>
              <w:shd w:val="clear" w:fill="1E1E2E"/>
              <w:spacing w:before="40" w:after="0"/>
              <w:rPr/>
            </w:pPr>
            <w:r>
              <w:rPr>
                <w:rFonts w:eastAsia="Courier New" w:cs="Courier New" w:ascii="Courier New" w:hAnsi="Courier New"/>
                <w:color w:val="A8D8EA"/>
                <w:sz w:val="17"/>
                <w:szCs w:val="17"/>
              </w:rPr>
              <w:t>RMVTCPHTE INTNETADR('10.7.1.161')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DEVAT entry, including the DEVAL hostname used for DSS systems:</w:t>
            </w:r>
          </w:p>
          <w:p>
            <w:pPr>
              <w:pStyle w:val="Normal"/>
              <w:shd w:val="clear" w:fill="1E1E2E"/>
              <w:spacing w:before="40" w:after="20"/>
              <w:rPr/>
            </w:pPr>
            <w:r>
              <w:rPr>
                <w:rFonts w:eastAsia="Courier New" w:cs="Courier New" w:ascii="Courier New" w:hAnsi="Courier New"/>
                <w:color w:val="A8D8EA"/>
                <w:sz w:val="17"/>
                <w:szCs w:val="17"/>
              </w:rPr>
              <w:t>ADDTCPHTE INTNETADR('10.7.1.231')</w:t>
            </w:r>
          </w:p>
          <w:p>
            <w:pPr>
              <w:pStyle w:val="Normal"/>
              <w:shd w:val="clear" w:fill="1E1E2E"/>
              <w:spacing w:before="40" w:after="0"/>
              <w:rPr/>
            </w:pPr>
            <w:r>
              <w:rPr>
                <w:rFonts w:eastAsia="Courier New" w:cs="Courier New" w:ascii="Courier New" w:hAnsi="Courier New"/>
                <w:color w:val="A8D8EA"/>
                <w:sz w:val="17"/>
                <w:szCs w:val="17"/>
              </w:rPr>
              <w:t>HOSTNAME((DEVA)(DEVA.APPN.SNA.IBM.COM)(WWDEVA.APPN.SNA.IBM.COM)(DEVAL))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INTNETADR('10.7.1.161')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200"/>
        <w:rPr/>
      </w:pPr>
      <w:r>
        <w:rPr/>
      </w:r>
    </w:p>
    <w:p>
      <w:pPr>
        <w:pStyle w:val="Heading2"/>
        <w:spacing w:before="200" w:after="60"/>
        <w:rPr/>
      </w:pPr>
      <w:bookmarkStart w:id="33" w:name="__RefHeading___Toc4530_1452158057"/>
      <w:bookmarkEnd w:id="33"/>
      <w:r>
        <w:rPr>
          <w:rFonts w:eastAsia="Arial" w:cs="Arial" w:ascii="Arial" w:hAnsi="Arial"/>
          <w:b/>
          <w:bCs/>
          <w:color w:val="2E75B6"/>
          <w:sz w:val="22"/>
          <w:szCs w:val="22"/>
        </w:rPr>
        <w:t xml:space="preserve">12.6  </w:t>
      </w:r>
      <w:r>
        <w:rPr>
          <w:rFonts w:eastAsia="Arial" w:cs="Arial" w:ascii="Arial" w:hAnsi="Arial"/>
          <w:b/>
          <w:bCs/>
          <w:color w:val="1A3A5C"/>
          <w:sz w:val="22"/>
          <w:szCs w:val="22"/>
        </w:rPr>
        <w:t>PRODDSSC (DSSC) Host Table</w:t>
      </w:r>
    </w:p>
    <w:p>
      <w:pPr>
        <w:pStyle w:val="Normal"/>
        <w:pBdr>
          <w:bottom w:val="single" w:sz="8" w:space="1" w:color="2E75B6"/>
        </w:pBdr>
        <w:spacing w:before="0" w:after="60"/>
        <w:rPr/>
      </w:pPr>
      <w:r>
        <w:rPr/>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Remove old entries:</w:t>
            </w:r>
          </w:p>
          <w:p>
            <w:pPr>
              <w:pStyle w:val="Normal"/>
              <w:shd w:val="clear" w:fill="1E1E2E"/>
              <w:spacing w:before="40" w:after="20"/>
              <w:rPr/>
            </w:pPr>
            <w:r>
              <w:rPr>
                <w:rFonts w:eastAsia="Courier New" w:cs="Courier New" w:ascii="Courier New" w:hAnsi="Courier New"/>
                <w:color w:val="A8D8EA"/>
                <w:sz w:val="17"/>
                <w:szCs w:val="17"/>
              </w:rPr>
              <w:t>RMVTCPHTE INTNETADR('10.7.1.231')</w:t>
            </w:r>
          </w:p>
          <w:p>
            <w:pPr>
              <w:pStyle w:val="Normal"/>
              <w:shd w:val="clear" w:fill="1E1E2E"/>
              <w:spacing w:before="40" w:after="0"/>
              <w:rPr/>
            </w:pPr>
            <w:r>
              <w:rPr>
                <w:rFonts w:eastAsia="Courier New" w:cs="Courier New" w:ascii="Courier New" w:hAnsi="Courier New"/>
                <w:color w:val="A8D8EA"/>
                <w:sz w:val="17"/>
                <w:szCs w:val="17"/>
              </w:rPr>
              <w:t>RMVTCPHTE INTNETADR('10.7.1.161')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Add the new DEVAT entry, including the DEVAL hostname used for DSS systems:</w:t>
            </w:r>
          </w:p>
          <w:p>
            <w:pPr>
              <w:pStyle w:val="Normal"/>
              <w:shd w:val="clear" w:fill="1E1E2E"/>
              <w:spacing w:before="40" w:after="20"/>
              <w:rPr/>
            </w:pPr>
            <w:r>
              <w:rPr>
                <w:rFonts w:eastAsia="Courier New" w:cs="Courier New" w:ascii="Courier New" w:hAnsi="Courier New"/>
                <w:color w:val="A8D8EA"/>
                <w:sz w:val="17"/>
                <w:szCs w:val="17"/>
              </w:rPr>
              <w:t>ADDTCPHTE INTNETADR('10.7.1.231')</w:t>
            </w:r>
          </w:p>
          <w:p>
            <w:pPr>
              <w:pStyle w:val="Normal"/>
              <w:shd w:val="clear" w:fill="1E1E2E"/>
              <w:spacing w:before="40" w:after="0"/>
              <w:rPr/>
            </w:pPr>
            <w:r>
              <w:rPr>
                <w:rFonts w:eastAsia="Courier New" w:cs="Courier New" w:ascii="Courier New" w:hAnsi="Courier New"/>
                <w:color w:val="A8D8EA"/>
                <w:sz w:val="17"/>
                <w:szCs w:val="17"/>
              </w:rPr>
              <w:t>HOSTNAME((DEVA)(DEVA.APPN.SNA.IBM.COM)(WWDEVA.APPN.SNA.IBM.COM)(DEVAL))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Add the BRMS hostname entry:</w:t>
            </w:r>
          </w:p>
          <w:p>
            <w:pPr>
              <w:pStyle w:val="Normal"/>
              <w:shd w:val="clear" w:fill="1E1E2E"/>
              <w:spacing w:before="40" w:after="0"/>
              <w:rPr/>
            </w:pPr>
            <w:r>
              <w:rPr>
                <w:rFonts w:eastAsia="Courier New" w:cs="Courier New" w:ascii="Courier New" w:hAnsi="Courier New"/>
                <w:color w:val="A8D8EA"/>
                <w:sz w:val="17"/>
                <w:szCs w:val="17"/>
              </w:rPr>
              <w:t>ADDTCPHTE INTNETADR('10.7.1.161') HOSTNAME(BRMSDEVA)</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rPr/>
      </w:pPr>
      <w:r>
        <w:rPr/>
      </w:r>
      <w:r>
        <w:br w:type="page"/>
      </w:r>
    </w:p>
    <w:p>
      <w:pPr>
        <w:pStyle w:val="Heading1"/>
        <w:shd w:val="clear" w:fill="0D2340"/>
        <w:spacing w:before="0" w:after="0"/>
        <w:ind w:left="80"/>
        <w:rPr/>
      </w:pPr>
      <w:bookmarkStart w:id="34" w:name="__RefHeading___Toc4532_1452158057"/>
      <w:bookmarkEnd w:id="34"/>
      <w:r>
        <w:rPr>
          <w:rFonts w:eastAsia="Arial" w:cs="Arial" w:ascii="Arial" w:hAnsi="Arial"/>
          <w:b/>
          <w:bCs/>
          <w:color w:val="2E75B6"/>
          <w:sz w:val="22"/>
          <w:szCs w:val="22"/>
        </w:rPr>
        <w:t>13</w:t>
      </w:r>
      <w:r>
        <w:rPr>
          <w:rFonts w:eastAsia="Arial" w:cs="Arial" w:ascii="Arial" w:hAnsi="Arial"/>
          <w:sz w:val="22"/>
          <w:szCs w:val="22"/>
        </w:rPr>
        <w:t xml:space="preserve">   </w:t>
      </w:r>
      <w:r>
        <w:rPr>
          <w:rFonts w:eastAsia="Arial" w:cs="Arial" w:ascii="Arial" w:hAnsi="Arial"/>
          <w:b/>
          <w:bCs/>
          <w:color w:val="FFFFFF"/>
          <w:sz w:val="26"/>
          <w:szCs w:val="26"/>
        </w:rPr>
        <w:t>APPLY FASTFAX KEY &amp; VALIDATE</w:t>
      </w:r>
    </w:p>
    <w:p>
      <w:pPr>
        <w:pStyle w:val="Normal"/>
        <w:shd w:val="clear" w:fill="1F4E79"/>
        <w:spacing w:before="0" w:after="160"/>
        <w:ind w:left="80"/>
        <w:rPr/>
      </w:pPr>
      <w:r>
        <w:rPr>
          <w:rFonts w:eastAsia="Arial" w:cs="Arial"/>
          <w:i/>
          <w:iCs/>
          <w:color w:val="EBF3FB"/>
          <w:sz w:val="18"/>
          <w:szCs w:val="18"/>
        </w:rPr>
        <w:t>Phase 9 — Same Environment Number &amp; DNS as DEVAC</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End the TCP NetServer — required before the FastFax update (the IBM i NetServer and ODBC should remain ACTIVE; only NETSVR ends):</w:t>
            </w:r>
          </w:p>
          <w:p>
            <w:pPr>
              <w:pStyle w:val="Normal"/>
              <w:shd w:val="clear" w:fill="1E1E2E"/>
              <w:spacing w:before="40" w:after="0"/>
              <w:rPr/>
            </w:pPr>
            <w:r>
              <w:rPr>
                <w:rFonts w:eastAsia="Courier New" w:cs="Courier New" w:ascii="Courier New" w:hAnsi="Courier New"/>
                <w:color w:val="A8D8EA"/>
                <w:sz w:val="17"/>
                <w:szCs w:val="17"/>
              </w:rPr>
              <w:t>ENDTCPSVR *NETSVR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Verify the FastFax subsystem is down before applying the key: the FASTFAXLC/FASTFAXL subsystem must be ended.</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Set the current library:</w:t>
            </w:r>
          </w:p>
          <w:p>
            <w:pPr>
              <w:pStyle w:val="Normal"/>
              <w:shd w:val="clear" w:fill="1E1E2E"/>
              <w:spacing w:before="40" w:after="0"/>
              <w:rPr/>
            </w:pPr>
            <w:r>
              <w:rPr>
                <w:rFonts w:eastAsia="Courier New" w:cs="Courier New" w:ascii="Courier New" w:hAnsi="Courier New"/>
                <w:color w:val="A8D8EA"/>
                <w:sz w:val="17"/>
                <w:szCs w:val="17"/>
              </w:rPr>
              <w:t>CHGCURLIB FASTFAXL</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Display the current FastFax PTF data area for reference (LPAR 2 — capture the current value):</w:t>
            </w:r>
          </w:p>
          <w:p>
            <w:pPr>
              <w:pStyle w:val="Normal"/>
              <w:shd w:val="clear" w:fill="1E1E2E"/>
              <w:spacing w:before="40" w:after="0"/>
              <w:rPr/>
            </w:pPr>
            <w:r>
              <w:rPr>
                <w:rFonts w:eastAsia="Courier New" w:cs="Courier New" w:ascii="Courier New" w:hAnsi="Courier New"/>
                <w:color w:val="A8D8EA"/>
                <w:sz w:val="17"/>
                <w:szCs w:val="17"/>
              </w:rPr>
              <w:t>DSPDTAARA FASTFAXL/DTAPTF</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Start SQL and insert the FastFax license row (IBM i #7858201, partition 2). If the key doesn't apply, increment 900000098 → 900000099 → 900000100, etc. until accepted:</w:t>
            </w:r>
          </w:p>
          <w:p>
            <w:pPr>
              <w:pStyle w:val="Normal"/>
              <w:shd w:val="clear" w:fill="1E1E2E"/>
              <w:spacing w:before="40" w:after="20"/>
              <w:rPr/>
            </w:pPr>
            <w:r>
              <w:rPr>
                <w:rFonts w:eastAsia="Courier New" w:cs="Courier New" w:ascii="Courier New" w:hAnsi="Courier New"/>
                <w:color w:val="A8D8EA"/>
                <w:sz w:val="17"/>
                <w:szCs w:val="17"/>
              </w:rPr>
              <w:t>STRSQL</w:t>
            </w:r>
          </w:p>
          <w:p>
            <w:pPr>
              <w:pStyle w:val="Normal"/>
              <w:shd w:val="clear" w:fill="1E1E2E"/>
              <w:spacing w:before="40" w:after="20"/>
              <w:rPr/>
            </w:pPr>
            <w:r>
              <w:rPr>
                <w:rFonts w:eastAsia="Courier New" w:cs="Courier New" w:ascii="Courier New" w:hAnsi="Courier New"/>
                <w:color w:val="A8D8EA"/>
                <w:sz w:val="17"/>
                <w:szCs w:val="17"/>
              </w:rPr>
              <w:t>INSERT INTO FASTFAXL/FFXLDV (FDVPID,FDVPNB,FDVTP1,FDVTP2,FDVSEQ,FDVFNM,FDVFVL,FDVFF1,FDVFF2,FDVFF3)</w:t>
            </w:r>
          </w:p>
          <w:p>
            <w:pPr>
              <w:pStyle w:val="Normal"/>
              <w:shd w:val="clear" w:fill="1E1E2E"/>
              <w:spacing w:before="40" w:after="20"/>
              <w:rPr/>
            </w:pPr>
            <w:r>
              <w:rPr>
                <w:rFonts w:eastAsia="Courier New" w:cs="Courier New" w:ascii="Courier New" w:hAnsi="Courier New"/>
                <w:color w:val="A8D8EA"/>
                <w:sz w:val="17"/>
                <w:szCs w:val="17"/>
              </w:rPr>
              <w:t>VALUES (0,0,900000001,900000098,1,'I2_8201.QSP',</w:t>
            </w:r>
          </w:p>
          <w:p>
            <w:pPr>
              <w:pStyle w:val="Normal"/>
              <w:shd w:val="clear" w:fill="1E1E2E"/>
              <w:spacing w:before="40" w:after="0"/>
              <w:rPr/>
            </w:pPr>
            <w:r>
              <w:rPr>
                <w:rFonts w:eastAsia="Courier New" w:cs="Courier New" w:ascii="Courier New" w:hAnsi="Courier New"/>
                <w:color w:val="A8D8EA"/>
                <w:sz w:val="17"/>
                <w:szCs w:val="17"/>
              </w:rPr>
              <w:t>'011ed171f8f2f0f1d0c4d8d337579715b39f0737579715131f0737509417','','','')</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Update the FastFax NetServer name. This is critical — the subsystem will NOT stay up if the NetServer name is wrong:</w:t>
            </w:r>
          </w:p>
          <w:p>
            <w:pPr>
              <w:pStyle w:val="Normal"/>
              <w:shd w:val="clear" w:fill="1E1E2E"/>
              <w:spacing w:before="40" w:after="0"/>
              <w:rPr/>
            </w:pPr>
            <w:r>
              <w:rPr>
                <w:rFonts w:eastAsia="Courier New" w:cs="Courier New" w:ascii="Courier New" w:hAnsi="Courier New"/>
                <w:color w:val="A8D8EA"/>
                <w:sz w:val="17"/>
                <w:szCs w:val="17"/>
              </w:rPr>
              <w:t>UPDATE FASTFAXL/FFXLDE SET FLEASN='DEVAN' WHERE FLEEID = 1</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Start the TCP NetServer:</w:t>
            </w:r>
          </w:p>
          <w:p>
            <w:pPr>
              <w:pStyle w:val="Normal"/>
              <w:shd w:val="clear" w:fill="1E1E2E"/>
              <w:spacing w:before="40" w:after="0"/>
              <w:rPr/>
            </w:pPr>
            <w:r>
              <w:rPr>
                <w:rFonts w:eastAsia="Courier New" w:cs="Courier New" w:ascii="Courier New" w:hAnsi="Courier New"/>
                <w:color w:val="A8D8EA"/>
                <w:sz w:val="17"/>
                <w:szCs w:val="17"/>
              </w:rPr>
              <w:t>STRTCPSVR *NETSVR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8</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Verify the NetServer name in FastFax (FFXTOOLS option 87). The name must be ALL UPPERCASE with no spaces or typos.</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9</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the FastFax security code:</w:t>
            </w:r>
          </w:p>
          <w:p>
            <w:pPr>
              <w:pStyle w:val="Normal"/>
              <w:shd w:val="clear" w:fill="1E1E2E"/>
              <w:spacing w:before="40" w:after="0"/>
              <w:rPr/>
            </w:pPr>
            <w:r>
              <w:rPr>
                <w:rFonts w:eastAsia="Courier New" w:cs="Courier New" w:ascii="Courier New" w:hAnsi="Courier New"/>
                <w:color w:val="A8D8EA"/>
                <w:sz w:val="17"/>
                <w:szCs w:val="17"/>
              </w:rPr>
              <w:t>FASTFAXL/FFXSECURE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10</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If the security code is valid, start FastFax:</w:t>
            </w:r>
          </w:p>
          <w:p>
            <w:pPr>
              <w:pStyle w:val="Normal"/>
              <w:shd w:val="clear" w:fill="1E1E2E"/>
              <w:spacing w:before="40" w:after="0"/>
              <w:rPr/>
            </w:pPr>
            <w:r>
              <w:rPr>
                <w:rFonts w:eastAsia="Courier New" w:cs="Courier New" w:ascii="Courier New" w:hAnsi="Courier New"/>
                <w:color w:val="A8D8EA"/>
                <w:sz w:val="17"/>
                <w:szCs w:val="17"/>
              </w:rPr>
              <w:t>STRFFX</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Verify FastFax is active (should show Active status): WRKFAXJOB, then press F9=Status on the Outbound Message screen.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13 — FastFax Key Applied &amp; Subsystem Active</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35" w:name="__RefHeading___Toc4534_1452158057"/>
      <w:bookmarkEnd w:id="35"/>
      <w:r>
        <w:rPr>
          <w:rFonts w:eastAsia="Arial" w:cs="Arial" w:ascii="Arial" w:hAnsi="Arial"/>
          <w:b/>
          <w:bCs/>
          <w:color w:val="2E75B6"/>
          <w:sz w:val="22"/>
          <w:szCs w:val="22"/>
        </w:rPr>
        <w:t>14</w:t>
      </w:r>
      <w:r>
        <w:rPr>
          <w:rFonts w:eastAsia="Arial" w:cs="Arial" w:ascii="Arial" w:hAnsi="Arial"/>
          <w:sz w:val="22"/>
          <w:szCs w:val="22"/>
        </w:rPr>
        <w:t xml:space="preserve">   </w:t>
      </w:r>
      <w:r>
        <w:rPr>
          <w:rFonts w:eastAsia="Arial" w:cs="Arial" w:ascii="Arial" w:hAnsi="Arial"/>
          <w:b/>
          <w:bCs/>
          <w:color w:val="FFFFFF"/>
          <w:sz w:val="26"/>
          <w:szCs w:val="26"/>
        </w:rPr>
        <w:t>HANDOVER TO TESTERS &amp; START LEVEL 3</w:t>
      </w:r>
    </w:p>
    <w:p>
      <w:pPr>
        <w:pStyle w:val="Normal"/>
        <w:shd w:val="clear" w:fill="1F4E79"/>
        <w:spacing w:before="0" w:after="160"/>
        <w:ind w:left="80"/>
        <w:rPr/>
      </w:pPr>
      <w:r>
        <w:rPr>
          <w:rFonts w:eastAsia="Arial" w:cs="Arial"/>
          <w:i/>
          <w:iCs/>
          <w:color w:val="EBF3FB"/>
          <w:sz w:val="18"/>
          <w:szCs w:val="18"/>
        </w:rPr>
        <w:t>Phase 11 — DEVAT/Temple</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Turn over DEVAT/Temple to the DR Test Team for validation testing. Testers perform application-level smoke tests to confirm the DR environment is functional.</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Once testing is approved by the test team, start Level 3 on DEVAT/Temple (Option 13). No production users will be logging on during DR. Wait until IPL_PRCS completes:</w:t>
            </w:r>
          </w:p>
          <w:p>
            <w:pPr>
              <w:pStyle w:val="Normal"/>
              <w:shd w:val="clear" w:fill="1E1E2E"/>
              <w:spacing w:before="40" w:after="0"/>
              <w:rPr/>
            </w:pPr>
            <w:r>
              <w:rPr>
                <w:rFonts w:eastAsia="Courier New" w:cs="Courier New" w:ascii="Courier New" w:hAnsi="Courier New"/>
                <w:color w:val="A8D8EA"/>
                <w:sz w:val="17"/>
                <w:szCs w:val="17"/>
              </w:rPr>
              <w:t>WRKACTJOB SBS(QCTL)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14 — Testing Approved &amp; Level 3 Started on DEVAT</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36" w:name="__RefHeading___Toc4536_1452158057"/>
      <w:bookmarkEnd w:id="36"/>
      <w:r>
        <w:rPr>
          <w:rFonts w:eastAsia="Arial" w:cs="Arial" w:ascii="Arial" w:hAnsi="Arial"/>
          <w:b/>
          <w:bCs/>
          <w:color w:val="2E75B6"/>
          <w:sz w:val="22"/>
          <w:szCs w:val="22"/>
        </w:rPr>
        <w:t>15</w:t>
      </w:r>
      <w:r>
        <w:rPr>
          <w:rFonts w:eastAsia="Arial" w:cs="Arial" w:ascii="Arial" w:hAnsi="Arial"/>
          <w:sz w:val="22"/>
          <w:szCs w:val="22"/>
        </w:rPr>
        <w:t xml:space="preserve">   </w:t>
      </w:r>
      <w:r>
        <w:rPr>
          <w:rFonts w:eastAsia="Arial" w:cs="Arial" w:ascii="Arial" w:hAnsi="Arial"/>
          <w:b/>
          <w:bCs/>
          <w:color w:val="FFFFFF"/>
          <w:sz w:val="26"/>
          <w:szCs w:val="26"/>
        </w:rPr>
        <w:t>POST-DR JOBS &amp; FINAL CLEANUP</w:t>
      </w:r>
    </w:p>
    <w:p>
      <w:pPr>
        <w:pStyle w:val="Normal"/>
        <w:shd w:val="clear" w:fill="1F4E79"/>
        <w:spacing w:before="0" w:after="160"/>
        <w:ind w:left="80"/>
        <w:rPr/>
      </w:pPr>
      <w:r>
        <w:rPr>
          <w:rFonts w:eastAsia="Arial" w:cs="Arial"/>
          <w:i/>
          <w:iCs/>
          <w:color w:val="EBF3FB"/>
          <w:sz w:val="18"/>
          <w:szCs w:val="18"/>
        </w:rPr>
        <w:t>Phase 12 — DEVAT/Temple</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Start stats to Splunk — only if ETS51000 shows 'T'erminated: perform a 'DO' on ETS51000.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Review Robot Schedule missed jobs from the DR window timeframe. Determine which jobs need a manual re-run.</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Restart DSI monitoring: perform a 'DO' on OPS90100.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Verify the system performance monitor is running — performance data collection must be active.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Run terminated jobs from the DR window: perform a 'DO' on ETS50020.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Disable elevated profiles — a post-DR security requirement: perform a 'DO' on ETS50001 (disables APPADMIN &amp; SYSMGMT).</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Reset the Robot Network Host Node for the GUI monitor: perform a 'DO' on Robot job ETS40080.</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15 — Post-DR Jobs Complete</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37" w:name="__RefHeading___Toc4538_1452158057"/>
      <w:bookmarkEnd w:id="37"/>
      <w:r>
        <w:rPr>
          <w:rFonts w:eastAsia="Arial" w:cs="Arial" w:ascii="Arial" w:hAnsi="Arial"/>
          <w:b/>
          <w:bCs/>
          <w:color w:val="2E75B6"/>
          <w:sz w:val="22"/>
          <w:szCs w:val="22"/>
        </w:rPr>
        <w:t>16</w:t>
      </w:r>
      <w:r>
        <w:rPr>
          <w:rFonts w:eastAsia="Arial" w:cs="Arial" w:ascii="Arial" w:hAnsi="Arial"/>
          <w:sz w:val="22"/>
          <w:szCs w:val="22"/>
        </w:rPr>
        <w:t xml:space="preserve">   </w:t>
      </w:r>
      <w:r>
        <w:rPr>
          <w:rFonts w:eastAsia="Arial" w:cs="Arial" w:ascii="Arial" w:hAnsi="Arial"/>
          <w:b/>
          <w:bCs/>
          <w:color w:val="FFFFFF"/>
          <w:sz w:val="26"/>
          <w:szCs w:val="26"/>
        </w:rPr>
        <w:t>GOLDENGATE RESTART &amp; APPLICATION SERVICES</w:t>
      </w:r>
    </w:p>
    <w:p>
      <w:pPr>
        <w:pStyle w:val="Normal"/>
        <w:shd w:val="clear" w:fill="1F4E79"/>
        <w:spacing w:before="0" w:after="160"/>
        <w:ind w:left="80"/>
        <w:rPr/>
      </w:pPr>
      <w:r>
        <w:rPr>
          <w:rFonts w:eastAsia="Arial" w:cs="Arial"/>
          <w:i/>
          <w:iCs/>
          <w:color w:val="EBF3FB"/>
          <w:sz w:val="18"/>
          <w:szCs w:val="18"/>
        </w:rPr>
        <w:t>Phase 13 — DEVAT/Temple</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QNTC is connected to network shares. If not connected, run ETS90000, then create the required mount points:</w:t>
            </w:r>
          </w:p>
          <w:p>
            <w:pPr>
              <w:pStyle w:val="Normal"/>
              <w:shd w:val="clear" w:fill="1E1E2E"/>
              <w:spacing w:before="40" w:after="20"/>
              <w:rPr/>
            </w:pPr>
            <w:r>
              <w:rPr>
                <w:rFonts w:eastAsia="Courier New" w:cs="Courier New" w:ascii="Courier New" w:hAnsi="Courier New"/>
                <w:color w:val="A8D8EA"/>
                <w:sz w:val="17"/>
                <w:szCs w:val="17"/>
              </w:rPr>
              <w:t>MKDIR DIR('/QNTC/WTDSTDSIAPP01')</w:t>
            </w:r>
          </w:p>
          <w:p>
            <w:pPr>
              <w:pStyle w:val="Normal"/>
              <w:shd w:val="clear" w:fill="1E1E2E"/>
              <w:spacing w:before="40" w:after="20"/>
              <w:rPr/>
            </w:pPr>
            <w:r>
              <w:rPr>
                <w:rFonts w:eastAsia="Courier New" w:cs="Courier New" w:ascii="Courier New" w:hAnsi="Courier New"/>
                <w:color w:val="A8D8EA"/>
                <w:sz w:val="17"/>
                <w:szCs w:val="17"/>
              </w:rPr>
              <w:t>MKDIR DIR('/QNTC/vfiler-onbase01')</w:t>
            </w:r>
          </w:p>
          <w:p>
            <w:pPr>
              <w:pStyle w:val="Normal"/>
              <w:shd w:val="clear" w:fill="1E1E2E"/>
              <w:spacing w:before="40" w:after="0"/>
              <w:rPr/>
            </w:pPr>
            <w:r>
              <w:rPr>
                <w:rFonts w:eastAsia="Courier New" w:cs="Courier New" w:ascii="Courier New" w:hAnsi="Courier New"/>
                <w:color w:val="A8D8EA"/>
                <w:sz w:val="17"/>
                <w:szCs w:val="17"/>
              </w:rPr>
              <w:t>MKDIR DIR('/QNTC/VSERVER-DATA01')</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Start the FormsPrint virtual queues manually — these do not auto-start: INVOICEPDF, INVOICERPRT, FAX.</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Check and restart SMTP if needed (verify under QSYSWRK; start if stopped):</w:t>
            </w:r>
          </w:p>
          <w:p>
            <w:pPr>
              <w:pStyle w:val="Normal"/>
              <w:shd w:val="clear" w:fill="1E1E2E"/>
              <w:spacing w:before="40" w:after="0"/>
              <w:rPr/>
            </w:pPr>
            <w:r>
              <w:rPr>
                <w:rFonts w:eastAsia="Courier New" w:cs="Courier New" w:ascii="Courier New" w:hAnsi="Courier New"/>
                <w:color w:val="A8D8EA"/>
                <w:sz w:val="17"/>
                <w:szCs w:val="17"/>
              </w:rPr>
              <w:t>STRMSF MSGOPT(*RESUME) NBRMSFJOB(6)</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Start the GoldenGate subsystem — must start before the manager and extract processes:</w:t>
            </w:r>
          </w:p>
          <w:p>
            <w:pPr>
              <w:pStyle w:val="Normal"/>
              <w:shd w:val="clear" w:fill="1E1E2E"/>
              <w:spacing w:before="40" w:after="0"/>
              <w:rPr/>
            </w:pPr>
            <w:r>
              <w:rPr>
                <w:rFonts w:eastAsia="Courier New" w:cs="Courier New" w:ascii="Courier New" w:hAnsi="Courier New"/>
                <w:color w:val="A8D8EA"/>
                <w:sz w:val="17"/>
                <w:szCs w:val="17"/>
              </w:rPr>
              <w:t>STRSBS AMSCONFIG/GOLDENGATE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Start the GoldenGate Manager via Robot job ETS95010 — START MANAGER.</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Start all GoldenGate extract and replicat processes via Robot job ETS95030 — Start All.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7</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Verify QSNADS via Enterprise Extender — confirm SNA controller configurations are active:</w:t>
            </w:r>
          </w:p>
          <w:p>
            <w:pPr>
              <w:pStyle w:val="Normal"/>
              <w:shd w:val="clear" w:fill="1E1E2E"/>
              <w:spacing w:before="40" w:after="0"/>
              <w:rPr/>
            </w:pPr>
            <w:r>
              <w:rPr>
                <w:rFonts w:eastAsia="Courier New" w:cs="Courier New" w:ascii="Courier New" w:hAnsi="Courier New"/>
                <w:color w:val="A8D8EA"/>
                <w:sz w:val="17"/>
                <w:szCs w:val="17"/>
              </w:rPr>
              <w:t>WRKCFGSTS CFGTYPE(*CTL) CFGD(*CMN)</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16 — GoldenGate &amp; Application Services Restarted</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38" w:name="__RefHeading___Toc4540_1452158057"/>
      <w:bookmarkEnd w:id="38"/>
      <w:r>
        <w:rPr>
          <w:rFonts w:eastAsia="Arial" w:cs="Arial" w:ascii="Arial" w:hAnsi="Arial"/>
          <w:b/>
          <w:bCs/>
          <w:color w:val="2E75B6"/>
          <w:sz w:val="22"/>
          <w:szCs w:val="22"/>
        </w:rPr>
        <w:t>17</w:t>
      </w:r>
      <w:r>
        <w:rPr>
          <w:rFonts w:eastAsia="Arial" w:cs="Arial" w:ascii="Arial" w:hAnsi="Arial"/>
          <w:sz w:val="22"/>
          <w:szCs w:val="22"/>
        </w:rPr>
        <w:t xml:space="preserve">   </w:t>
      </w:r>
      <w:r>
        <w:rPr>
          <w:rFonts w:eastAsia="Arial" w:cs="Arial" w:ascii="Arial" w:hAnsi="Arial"/>
          <w:b/>
          <w:bCs/>
          <w:color w:val="FFFFFF"/>
          <w:sz w:val="26"/>
          <w:szCs w:val="26"/>
        </w:rPr>
        <w:t>ROBOT NETWORK GUI CONFIGURATION</w:t>
      </w:r>
    </w:p>
    <w:p>
      <w:pPr>
        <w:pStyle w:val="Normal"/>
        <w:shd w:val="clear" w:fill="1F4E79"/>
        <w:spacing w:before="0" w:after="160"/>
        <w:ind w:left="80"/>
        <w:rPr/>
      </w:pPr>
      <w:r>
        <w:rPr>
          <w:rFonts w:eastAsia="Arial" w:cs="Arial"/>
          <w:i/>
          <w:iCs/>
          <w:color w:val="EBF3FB"/>
          <w:sz w:val="18"/>
          <w:szCs w:val="18"/>
        </w:rPr>
        <w:t>Phase 14 — DEVAT/Temple</w:t>
      </w:r>
    </w:p>
    <w:tbl>
      <w:tblPr>
        <w:tblW w:w="9360" w:type="dxa"/>
        <w:jc w:val="left"/>
        <w:tblInd w:w="0" w:type="dxa"/>
        <w:tblLayout w:type="fixed"/>
        <w:tblCellMar>
          <w:top w:w="80" w:type="dxa"/>
          <w:left w:w="140" w:type="dxa"/>
          <w:bottom w:w="80" w:type="dxa"/>
          <w:right w:w="140" w:type="dxa"/>
        </w:tblCellMar>
      </w:tblPr>
      <w:tblGrid>
        <w:gridCol w:w="420"/>
        <w:gridCol w:w="8500"/>
        <w:gridCol w:w="440"/>
      </w:tblGrid>
      <w:tr>
        <w:trPr>
          <w:tblHeader w:val="true"/>
          <w:cantSplit w:val="true"/>
        </w:trPr>
        <w:tc>
          <w:tcPr>
            <w:tcW w:w="42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Step</w:t>
            </w:r>
          </w:p>
        </w:tc>
        <w:tc>
          <w:tcPr>
            <w:tcW w:w="8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Activity / Action</w:t>
            </w:r>
          </w:p>
        </w:tc>
        <w:tc>
          <w:tcPr>
            <w:tcW w:w="440" w:type="dxa"/>
            <w:tcBorders>
              <w:top w:val="single" w:sz="4" w:space="0" w:color="1F4E79"/>
              <w:left w:val="single" w:sz="4" w:space="0" w:color="1F4E79"/>
              <w:bottom w:val="single" w:sz="4" w:space="0" w:color="1F4E79"/>
              <w:right w:val="single" w:sz="4" w:space="0" w:color="1F4E79"/>
            </w:tcBorders>
            <w:shd w:fill="0D2340" w:val="clear"/>
            <w:vAlign w:val="center"/>
          </w:tcPr>
          <w:p>
            <w:pPr>
              <w:pStyle w:val="Normal"/>
              <w:rPr/>
            </w:pPr>
            <w:r>
              <w:rPr>
                <w:rFonts w:eastAsia="Arial" w:cs="Arial"/>
                <w:b/>
                <w:bCs/>
                <w:color w:val="FFFFFF"/>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1</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Stop the Robot Network node — end the existing node before reconfiguring:</w:t>
            </w:r>
          </w:p>
          <w:p>
            <w:pPr>
              <w:pStyle w:val="Normal"/>
              <w:shd w:val="clear" w:fill="1E1E2E"/>
              <w:spacing w:before="40" w:after="0"/>
              <w:rPr/>
            </w:pPr>
            <w:r>
              <w:rPr>
                <w:rFonts w:eastAsia="Courier New" w:cs="Courier New" w:ascii="Courier New" w:hAnsi="Courier New"/>
                <w:color w:val="A8D8EA"/>
                <w:sz w:val="17"/>
                <w:szCs w:val="17"/>
              </w:rPr>
              <w:t>RBTNETNODE/RBNENDNODE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2</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Work with the Robot Schedule network list — review network work list entries:</w:t>
            </w:r>
          </w:p>
          <w:p>
            <w:pPr>
              <w:pStyle w:val="Normal"/>
              <w:shd w:val="clear" w:fill="1E1E2E"/>
              <w:spacing w:before="40" w:after="0"/>
              <w:rPr/>
            </w:pPr>
            <w:r>
              <w:rPr>
                <w:rFonts w:eastAsia="Courier New" w:cs="Courier New" w:ascii="Courier New" w:hAnsi="Courier New"/>
                <w:color w:val="A8D8EA"/>
                <w:sz w:val="17"/>
                <w:szCs w:val="17"/>
              </w:rPr>
              <w:t>RSLWL</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3</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color w:val="44546A"/>
                <w:sz w:val="19"/>
                <w:szCs w:val="19"/>
              </w:rPr>
              <w:t>Edit the Robot Network node configuration to point to DEVAT as primary (search on Primary using Shift+F4):</w:t>
            </w:r>
          </w:p>
          <w:p>
            <w:pPr>
              <w:pStyle w:val="Normal"/>
              <w:shd w:val="clear" w:fill="1E1E2E"/>
              <w:spacing w:before="40" w:after="0"/>
              <w:rPr/>
            </w:pPr>
            <w:r>
              <w:rPr>
                <w:rFonts w:eastAsia="Courier New" w:cs="Courier New" w:ascii="Courier New" w:hAnsi="Courier New"/>
                <w:color w:val="A8D8EA"/>
                <w:sz w:val="17"/>
                <w:szCs w:val="17"/>
              </w:rPr>
              <w:t>ROBOT NETWORK &gt; nodeConfig.xml</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4</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Start the Robot Network node with the updated configuration:</w:t>
            </w:r>
          </w:p>
          <w:p>
            <w:pPr>
              <w:pStyle w:val="Normal"/>
              <w:shd w:val="clear" w:fill="1E1E2E"/>
              <w:spacing w:before="40" w:after="0"/>
              <w:rPr/>
            </w:pPr>
            <w:r>
              <w:rPr>
                <w:rFonts w:eastAsia="Courier New" w:cs="Courier New" w:ascii="Courier New" w:hAnsi="Courier New"/>
                <w:color w:val="A8D8EA"/>
                <w:sz w:val="17"/>
                <w:szCs w:val="17"/>
              </w:rPr>
              <w:t>RBTNETNODE/RBNSTRNODE</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rPr/>
            </w:pPr>
            <w:r>
              <w:rPr>
                <w:rFonts w:eastAsia="Arial" w:cs="Arial"/>
                <w:b/>
                <w:bCs/>
                <w:color w:val="2E75B6"/>
                <w:sz w:val="19"/>
                <w:szCs w:val="19"/>
              </w:rPr>
              <w:t>5</w:t>
            </w:r>
          </w:p>
        </w:tc>
        <w:tc>
          <w:tcPr>
            <w:tcW w:w="85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Configure the Robot Network GUI — update the GUI node registration for DEVAT: Robot Network GUI &gt; prode &gt; configure node.</w:t>
            </w:r>
          </w:p>
        </w:tc>
        <w:tc>
          <w:tcPr>
            <w:tcW w:w="440" w:type="dxa"/>
            <w:tcBorders>
              <w:top w:val="single" w:sz="4" w:space="0" w:color="EBF3FB"/>
              <w:left w:val="single" w:sz="4" w:space="0" w:color="EBF3FB"/>
              <w:bottom w:val="single" w:sz="4" w:space="0" w:color="EBF3FB"/>
              <w:right w:val="single" w:sz="4" w:space="0" w:color="EBF3FB"/>
            </w:tcBorders>
            <w:shd w:fill="FFFFFF" w:val="clear"/>
            <w:vAlign w:val="center"/>
          </w:tcPr>
          <w:p>
            <w:pPr>
              <w:pStyle w:val="Normal"/>
              <w:jc w:val="center"/>
              <w:rPr/>
            </w:pPr>
            <w:r>
              <w:rPr>
                <w:rFonts w:eastAsia="Arial" w:cs="Arial"/>
                <w:color w:val="44546A"/>
                <w:sz w:val="19"/>
                <w:szCs w:val="19"/>
              </w:rPr>
              <w:t>☐</w:t>
            </w:r>
          </w:p>
        </w:tc>
      </w:tr>
      <w:tr>
        <w:trPr>
          <w:cantSplit w:val="true"/>
        </w:trPr>
        <w:tc>
          <w:tcPr>
            <w:tcW w:w="42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rPr/>
            </w:pPr>
            <w:r>
              <w:rPr>
                <w:rFonts w:eastAsia="Arial" w:cs="Arial"/>
                <w:b/>
                <w:bCs/>
                <w:color w:val="2E75B6"/>
                <w:sz w:val="19"/>
                <w:szCs w:val="19"/>
              </w:rPr>
              <w:t>6</w:t>
            </w:r>
          </w:p>
        </w:tc>
        <w:tc>
          <w:tcPr>
            <w:tcW w:w="85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color w:val="44546A"/>
                <w:sz w:val="19"/>
                <w:szCs w:val="19"/>
              </w:rPr>
              <w:t>If multiple nodes show GREY in the GUI, go to PRODE and remove the stale node reference (only needed if grey nodes are visible):</w:t>
            </w:r>
          </w:p>
          <w:p>
            <w:pPr>
              <w:pStyle w:val="Normal"/>
              <w:shd w:val="clear" w:fill="1E1E2E"/>
              <w:spacing w:before="40" w:after="20"/>
              <w:rPr/>
            </w:pPr>
            <w:r>
              <w:rPr>
                <w:rFonts w:eastAsia="Courier New" w:cs="Courier New" w:ascii="Courier New" w:hAnsi="Courier New"/>
                <w:color w:val="A8D8EA"/>
                <w:sz w:val="17"/>
                <w:szCs w:val="17"/>
              </w:rPr>
              <w:t>RBTNETLIB/RBNDLTNODE  F4</w:t>
            </w:r>
          </w:p>
          <w:p>
            <w:pPr>
              <w:pStyle w:val="Normal"/>
              <w:shd w:val="clear" w:fill="1E1E2E"/>
              <w:spacing w:before="40" w:after="0"/>
              <w:rPr/>
            </w:pPr>
            <w:r>
              <w:rPr>
                <w:rFonts w:eastAsia="Courier New" w:cs="Courier New" w:ascii="Courier New" w:hAnsi="Courier New"/>
                <w:color w:val="A8D8EA"/>
                <w:sz w:val="17"/>
                <w:szCs w:val="17"/>
              </w:rPr>
              <w:t>Input: DEVA</w:t>
            </w:r>
          </w:p>
        </w:tc>
        <w:tc>
          <w:tcPr>
            <w:tcW w:w="440" w:type="dxa"/>
            <w:tcBorders>
              <w:top w:val="single" w:sz="4" w:space="0" w:color="EBF3FB"/>
              <w:left w:val="single" w:sz="4" w:space="0" w:color="EBF3FB"/>
              <w:bottom w:val="single" w:sz="4" w:space="0" w:color="EBF3FB"/>
              <w:right w:val="single" w:sz="4" w:space="0" w:color="EBF3FB"/>
            </w:tcBorders>
            <w:shd w:fill="F2F6FA" w:val="clear"/>
            <w:vAlign w:val="center"/>
          </w:tcPr>
          <w:p>
            <w:pPr>
              <w:pStyle w:val="Normal"/>
              <w:jc w:val="center"/>
              <w:rPr/>
            </w:pPr>
            <w:r>
              <w:rPr>
                <w:rFonts w:eastAsia="Arial" w:cs="Arial"/>
                <w:color w:val="44546A"/>
                <w:sz w:val="19"/>
                <w:szCs w:val="19"/>
              </w:rPr>
              <w:t>☐</w:t>
            </w:r>
          </w:p>
        </w:tc>
      </w:tr>
    </w:tbl>
    <w:p>
      <w:pPr>
        <w:pStyle w:val="Normal"/>
        <w:spacing w:before="160" w:after="0"/>
        <w:rPr/>
      </w:pPr>
      <w:r>
        <w:rPr/>
      </w:r>
    </w:p>
    <w:tbl>
      <w:tblPr>
        <w:tblW w:w="9360" w:type="dxa"/>
        <w:jc w:val="left"/>
        <w:tblInd w:w="0" w:type="dxa"/>
        <w:tblLayout w:type="fixed"/>
        <w:tblCellMar>
          <w:top w:w="100" w:type="dxa"/>
          <w:left w:w="160" w:type="dxa"/>
          <w:bottom w:w="100" w:type="dxa"/>
          <w:right w:w="160" w:type="dxa"/>
        </w:tblCellMar>
      </w:tblPr>
      <w:tblGrid>
        <w:gridCol w:w="1560"/>
        <w:gridCol w:w="7799"/>
      </w:tblGrid>
      <w:tr>
        <w:trPr>
          <w:tblHeader w:val="true"/>
          <w:cantSplit w:val="true"/>
        </w:trPr>
        <w:tc>
          <w:tcPr>
            <w:tcW w:w="9359" w:type="dxa"/>
            <w:gridSpan w:val="2"/>
            <w:tcBorders>
              <w:top w:val="single" w:sz="4" w:space="0" w:color="1A3A5C"/>
              <w:left w:val="single" w:sz="4" w:space="0" w:color="1A3A5C"/>
              <w:bottom w:val="single" w:sz="4" w:space="0" w:color="1A3A5C"/>
              <w:right w:val="single" w:sz="4" w:space="0" w:color="1A3A5C"/>
            </w:tcBorders>
            <w:shd w:fill="1F4E79" w:val="clear"/>
          </w:tcPr>
          <w:p>
            <w:pPr>
              <w:pStyle w:val="Normal"/>
              <w:rPr/>
            </w:pPr>
            <w:r>
              <w:rPr>
                <w:rFonts w:eastAsia="Arial" w:cs="Arial"/>
                <w:b/>
                <w:bCs/>
                <w:color w:val="D6E4F0"/>
                <w:sz w:val="19"/>
                <w:szCs w:val="19"/>
              </w:rPr>
              <w:t xml:space="preserve">EVIDENCE CAPTURE  —  </w:t>
            </w:r>
            <w:r>
              <w:rPr>
                <w:rFonts w:eastAsia="Arial" w:cs="Arial"/>
                <w:b/>
                <w:bCs/>
                <w:color w:val="FFFFFF"/>
                <w:sz w:val="19"/>
                <w:szCs w:val="19"/>
              </w:rPr>
              <w:t>17 — Robot Network GUI Reconfigured — All Nodes Green</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Completed By</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Date / Time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System Output / Reference</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Result</w:t>
            </w:r>
          </w:p>
        </w:tc>
        <w:tc>
          <w:tcPr>
            <w:tcW w:w="7799" w:type="dxa"/>
            <w:tcBorders>
              <w:top w:val="single" w:sz="4" w:space="0" w:color="1F4E79"/>
              <w:left w:val="single" w:sz="4" w:space="0" w:color="1F4E79"/>
              <w:bottom w:val="single" w:sz="4" w:space="0" w:color="1F4E79"/>
              <w:right w:val="single" w:sz="4" w:space="0" w:color="1F4E79"/>
            </w:tcBorders>
            <w:shd w:fill="E2EFDA" w:val="clear"/>
            <w:tcMar>
              <w:top w:w="80" w:type="dxa"/>
              <w:left w:w="140" w:type="dxa"/>
              <w:bottom w:w="80" w:type="dxa"/>
              <w:right w:w="140" w:type="dxa"/>
            </w:tcMar>
          </w:tcPr>
          <w:p>
            <w:pPr>
              <w:pStyle w:val="Normal"/>
              <w:rPr/>
            </w:pPr>
            <w:r>
              <w:rPr>
                <w:rFonts w:eastAsia="Arial" w:cs="Arial"/>
                <w:b/>
                <w:bCs/>
                <w:color w:val="375623"/>
                <w:sz w:val="19"/>
                <w:szCs w:val="19"/>
              </w:rPr>
              <w:t xml:space="preserve">☐  </w:t>
            </w:r>
            <w:r>
              <w:rPr>
                <w:rFonts w:eastAsia="Arial" w:cs="Arial"/>
                <w:b/>
                <w:bCs/>
                <w:color w:val="375623"/>
                <w:sz w:val="19"/>
                <w:szCs w:val="19"/>
              </w:rPr>
              <w:t>VERIFIED</w:t>
            </w:r>
            <w:r>
              <w:rPr>
                <w:rFonts w:eastAsia="Arial" w:cs="Arial"/>
                <w:sz w:val="19"/>
                <w:szCs w:val="19"/>
              </w:rPr>
              <w:t xml:space="preserve">          </w:t>
            </w:r>
            <w:r>
              <w:rPr>
                <w:rFonts w:eastAsia="Arial" w:cs="Arial"/>
                <w:b/>
                <w:bCs/>
                <w:color w:val="C00000"/>
                <w:sz w:val="19"/>
                <w:szCs w:val="19"/>
              </w:rPr>
              <w:t>☐  EXCEPTION</w:t>
            </w:r>
            <w:r>
              <w:rPr>
                <w:rFonts w:eastAsia="Arial" w:cs="Arial"/>
                <w:sz w:val="19"/>
                <w:szCs w:val="19"/>
              </w:rPr>
              <w:t xml:space="preserve">          </w:t>
            </w:r>
            <w:r>
              <w:rPr>
                <w:rFonts w:eastAsia="Arial" w:cs="Arial"/>
                <w:b/>
                <w:bCs/>
                <w:color w:val="666666"/>
                <w:sz w:val="19"/>
                <w:szCs w:val="19"/>
              </w:rPr>
              <w:t>☐  N/A</w:t>
            </w:r>
          </w:p>
        </w:tc>
      </w:tr>
      <w:tr>
        <w:trPr>
          <w:cantSplit w:val="true"/>
        </w:trPr>
        <w:tc>
          <w:tcPr>
            <w:tcW w:w="1560" w:type="dxa"/>
            <w:tcBorders>
              <w:top w:val="single" w:sz="4" w:space="0" w:color="1F4E79"/>
              <w:left w:val="single" w:sz="4" w:space="0" w:color="1F4E79"/>
              <w:bottom w:val="single" w:sz="4" w:space="0" w:color="1F4E79"/>
              <w:right w:val="single" w:sz="4" w:space="0" w:color="1F4E79"/>
            </w:tcBorders>
            <w:shd w:fill="D6E4F0" w:val="clear"/>
            <w:tcMar>
              <w:top w:w="80" w:type="dxa"/>
              <w:left w:w="140" w:type="dxa"/>
              <w:bottom w:w="80" w:type="dxa"/>
              <w:right w:w="140" w:type="dxa"/>
            </w:tcMar>
          </w:tcPr>
          <w:p>
            <w:pPr>
              <w:pStyle w:val="Normal"/>
              <w:rPr/>
            </w:pPr>
            <w:r>
              <w:rPr>
                <w:rFonts w:eastAsia="Arial" w:cs="Arial"/>
                <w:b/>
                <w:bCs/>
                <w:color w:val="1A3A5C"/>
                <w:sz w:val="18"/>
                <w:szCs w:val="18"/>
              </w:rPr>
              <w:t>Notes / Issues</w:t>
            </w:r>
          </w:p>
        </w:tc>
        <w:tc>
          <w:tcPr>
            <w:tcW w:w="7799" w:type="dxa"/>
            <w:tcBorders>
              <w:top w:val="single" w:sz="4" w:space="0" w:color="1F4E79"/>
              <w:left w:val="single" w:sz="4" w:space="0" w:color="1F4E79"/>
              <w:bottom w:val="single" w:sz="4" w:space="0" w:color="1F4E79"/>
              <w:right w:val="single" w:sz="4" w:space="0" w:color="1F4E79"/>
            </w:tcBorders>
            <w:shd w:fill="FFFFFF" w:val="clear"/>
            <w:tcMar>
              <w:top w:w="80" w:type="dxa"/>
              <w:left w:w="140" w:type="dxa"/>
              <w:bottom w:w="80" w:type="dxa"/>
              <w:right w:w="140" w:type="dxa"/>
            </w:tcMar>
          </w:tcPr>
          <w:p>
            <w:pPr>
              <w:pStyle w:val="Normal"/>
              <w:rPr/>
            </w:pPr>
            <w:r>
              <w:rPr/>
            </w:r>
          </w:p>
        </w:tc>
      </w:tr>
    </w:tbl>
    <w:p>
      <w:pPr>
        <w:pStyle w:val="Normal"/>
        <w:rPr/>
      </w:pPr>
      <w:r>
        <w:rPr/>
      </w:r>
      <w:r>
        <w:br w:type="page"/>
      </w:r>
    </w:p>
    <w:p>
      <w:pPr>
        <w:pStyle w:val="Heading1"/>
        <w:shd w:val="clear" w:fill="0D2340"/>
        <w:spacing w:before="0" w:after="0"/>
        <w:ind w:left="80"/>
        <w:rPr/>
      </w:pPr>
      <w:bookmarkStart w:id="39" w:name="__RefHeading___Toc4542_1452158057"/>
      <w:bookmarkEnd w:id="39"/>
      <w:r>
        <w:rPr>
          <w:rFonts w:eastAsia="Arial" w:cs="Arial" w:ascii="Arial" w:hAnsi="Arial"/>
          <w:b/>
          <w:bCs/>
          <w:color w:val="2E75B6"/>
          <w:sz w:val="22"/>
          <w:szCs w:val="22"/>
        </w:rPr>
        <w:t>18</w:t>
      </w:r>
      <w:r>
        <w:rPr>
          <w:rFonts w:eastAsia="Arial" w:cs="Arial" w:ascii="Arial" w:hAnsi="Arial"/>
          <w:sz w:val="22"/>
          <w:szCs w:val="22"/>
        </w:rPr>
        <w:t xml:space="preserve">   </w:t>
      </w:r>
      <w:r>
        <w:rPr>
          <w:rFonts w:eastAsia="Arial" w:cs="Arial" w:ascii="Arial" w:hAnsi="Arial"/>
          <w:b/>
          <w:bCs/>
          <w:color w:val="FFFFFF"/>
          <w:sz w:val="26"/>
          <w:szCs w:val="26"/>
        </w:rPr>
        <w:t>DR EXECUTION SIGN-OFF</w:t>
      </w:r>
    </w:p>
    <w:p>
      <w:pPr>
        <w:pStyle w:val="Normal"/>
        <w:shd w:val="clear" w:fill="1F4E79"/>
        <w:spacing w:before="0" w:after="160"/>
        <w:ind w:left="80"/>
        <w:rPr/>
      </w:pPr>
      <w:r>
        <w:rPr>
          <w:rFonts w:eastAsia="Arial" w:cs="Arial"/>
          <w:i/>
          <w:iCs/>
          <w:color w:val="EBF3FB"/>
          <w:sz w:val="18"/>
          <w:szCs w:val="18"/>
        </w:rPr>
        <w:t>Section-Level Completion Record</w:t>
      </w:r>
    </w:p>
    <w:p>
      <w:pPr>
        <w:pStyle w:val="Normal"/>
        <w:spacing w:before="0" w:after="120"/>
        <w:rPr/>
      </w:pPr>
      <w:r>
        <w:rPr>
          <w:rFonts w:eastAsia="Arial" w:cs="Arial"/>
          <w:i w:val="false"/>
          <w:iCs w:val="false"/>
          <w:color w:val="44546A"/>
          <w:sz w:val="20"/>
          <w:szCs w:val="20"/>
        </w:rPr>
        <w:t>All sections must be fully executed, evidenced, and signed before the DR exercise is declared complete. Any open issues must be logged separately.</w:t>
      </w:r>
    </w:p>
    <w:tbl>
      <w:tblPr>
        <w:tblW w:w="9360" w:type="dxa"/>
        <w:jc w:val="left"/>
        <w:tblInd w:w="0" w:type="dxa"/>
        <w:tblLayout w:type="fixed"/>
        <w:tblCellMar>
          <w:top w:w="80" w:type="dxa"/>
          <w:left w:w="140" w:type="dxa"/>
          <w:bottom w:w="80" w:type="dxa"/>
          <w:right w:w="140" w:type="dxa"/>
        </w:tblCellMar>
      </w:tblPr>
      <w:tblGrid>
        <w:gridCol w:w="2999"/>
        <w:gridCol w:w="1800"/>
        <w:gridCol w:w="1601"/>
        <w:gridCol w:w="1900"/>
        <w:gridCol w:w="1060"/>
      </w:tblGrid>
      <w:tr>
        <w:trPr/>
        <w:tc>
          <w:tcPr>
            <w:tcW w:w="29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Section</w:t>
            </w:r>
          </w:p>
        </w:tc>
        <w:tc>
          <w:tcPr>
            <w:tcW w:w="18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Completed By</w:t>
            </w:r>
          </w:p>
        </w:tc>
        <w:tc>
          <w:tcPr>
            <w:tcW w:w="160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Completion Time</w:t>
            </w:r>
          </w:p>
        </w:tc>
        <w:tc>
          <w:tcPr>
            <w:tcW w:w="19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Result</w:t>
            </w:r>
          </w:p>
        </w:tc>
        <w:tc>
          <w:tcPr>
            <w:tcW w:w="106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Sign</w:t>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5 — Pre-DR Preparation</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6 — DNS Update</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7 — GoldenGate Stop &amp; Subsystem End</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8 — PowerHA IASP Switchover</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9 — Mimix Replication Verification</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10 — Post-Switchover Cluster Verification</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11 — 3rd-Party Software Keys</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12 — TCP Host Table Updates</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13 — FastFax Key &amp; Validation</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14 — Handover &amp; Level 3 Start</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15 — Post-DR Jobs &amp; Cleanup</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9"/>
                <w:szCs w:val="19"/>
              </w:rPr>
              <w:t>16 — GoldenGate Restart &amp; App Services</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
          </w:p>
        </w:tc>
      </w:tr>
      <w:tr>
        <w:trPr/>
        <w:tc>
          <w:tcPr>
            <w:tcW w:w="29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9"/>
                <w:szCs w:val="19"/>
              </w:rPr>
              <w:t>17 — Robot Network GUI Configuration</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6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19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7"/>
                <w:szCs w:val="17"/>
              </w:rPr>
              <w:t xml:space="preserve">☐ </w:t>
            </w:r>
            <w:r>
              <w:rPr>
                <w:rFonts w:eastAsia="Arial" w:cs="Arial"/>
                <w:color w:val="375623"/>
                <w:sz w:val="17"/>
                <w:szCs w:val="17"/>
              </w:rPr>
              <w:t>Verified</w:t>
            </w:r>
            <w:r>
              <w:rPr>
                <w:rFonts w:eastAsia="Arial" w:cs="Arial"/>
                <w:color w:val="C00000"/>
                <w:sz w:val="17"/>
                <w:szCs w:val="17"/>
              </w:rPr>
              <w:t xml:space="preserve">  ☐ Exception</w:t>
            </w:r>
          </w:p>
        </w:tc>
        <w:tc>
          <w:tcPr>
            <w:tcW w:w="10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bl>
    <w:p>
      <w:pPr>
        <w:pStyle w:val="Normal"/>
        <w:spacing w:before="200" w:after="160"/>
        <w:rPr/>
      </w:pPr>
      <w:r>
        <w:rPr/>
      </w:r>
    </w:p>
    <w:tbl>
      <w:tblPr>
        <w:tblW w:w="9360" w:type="dxa"/>
        <w:jc w:val="left"/>
        <w:tblInd w:w="0" w:type="dxa"/>
        <w:tblLayout w:type="fixed"/>
        <w:tblCellMar>
          <w:top w:w="80" w:type="dxa"/>
          <w:left w:w="140" w:type="dxa"/>
          <w:bottom w:w="80" w:type="dxa"/>
          <w:right w:w="140" w:type="dxa"/>
        </w:tblCellMar>
      </w:tblPr>
      <w:tblGrid>
        <w:gridCol w:w="5359"/>
        <w:gridCol w:w="2000"/>
        <w:gridCol w:w="2001"/>
      </w:tblGrid>
      <w:tr>
        <w:trPr/>
        <w:tc>
          <w:tcPr>
            <w:tcW w:w="5359" w:type="dxa"/>
            <w:tcBorders>
              <w:top w:val="single" w:sz="4" w:space="0" w:color="1F4E79"/>
              <w:left w:val="single" w:sz="4" w:space="0" w:color="1F4E79"/>
              <w:bottom w:val="single" w:sz="4" w:space="0" w:color="1F4E79"/>
              <w:right w:val="single" w:sz="4" w:space="0" w:color="1F4E79"/>
            </w:tcBorders>
            <w:shd w:fill="1A3A5C" w:val="clear"/>
          </w:tcPr>
          <w:p>
            <w:pPr>
              <w:pStyle w:val="Normal"/>
              <w:rPr/>
            </w:pPr>
            <w:r>
              <w:rPr>
                <w:rFonts w:eastAsia="Arial" w:cs="Arial"/>
                <w:b/>
                <w:bCs/>
                <w:color w:val="FFFFFF"/>
                <w:sz w:val="19"/>
                <w:szCs w:val="19"/>
              </w:rPr>
              <w:t>DR Exercise Overall Result</w:t>
            </w:r>
          </w:p>
        </w:tc>
        <w:tc>
          <w:tcPr>
            <w:tcW w:w="2000" w:type="dxa"/>
            <w:tcBorders>
              <w:top w:val="single" w:sz="4" w:space="0" w:color="1F4E79"/>
              <w:left w:val="single" w:sz="4" w:space="0" w:color="1F4E79"/>
              <w:bottom w:val="single" w:sz="4" w:space="0" w:color="1F4E79"/>
              <w:right w:val="single" w:sz="4" w:space="0" w:color="1F4E79"/>
            </w:tcBorders>
            <w:shd w:fill="1A3A5C" w:val="clear"/>
          </w:tcPr>
          <w:p>
            <w:pPr>
              <w:pStyle w:val="Normal"/>
              <w:rPr/>
            </w:pPr>
            <w:r>
              <w:rPr>
                <w:rFonts w:eastAsia="Arial" w:cs="Arial"/>
                <w:b/>
                <w:bCs/>
                <w:color w:val="FFFFFF"/>
                <w:sz w:val="19"/>
                <w:szCs w:val="19"/>
              </w:rPr>
              <w:t>Switch Start Time</w:t>
            </w:r>
          </w:p>
        </w:tc>
        <w:tc>
          <w:tcPr>
            <w:tcW w:w="2001" w:type="dxa"/>
            <w:tcBorders>
              <w:top w:val="single" w:sz="4" w:space="0" w:color="1F4E79"/>
              <w:left w:val="single" w:sz="4" w:space="0" w:color="1F4E79"/>
              <w:bottom w:val="single" w:sz="4" w:space="0" w:color="1F4E79"/>
              <w:right w:val="single" w:sz="4" w:space="0" w:color="1F4E79"/>
            </w:tcBorders>
            <w:shd w:fill="1A3A5C" w:val="clear"/>
          </w:tcPr>
          <w:p>
            <w:pPr>
              <w:pStyle w:val="Normal"/>
              <w:rPr/>
            </w:pPr>
            <w:r>
              <w:rPr>
                <w:rFonts w:eastAsia="Arial" w:cs="Arial"/>
                <w:b/>
                <w:bCs/>
                <w:color w:val="FFFFFF"/>
                <w:sz w:val="19"/>
                <w:szCs w:val="19"/>
              </w:rPr>
              <w:t>Switch End Time</w:t>
            </w:r>
          </w:p>
        </w:tc>
      </w:tr>
      <w:tr>
        <w:trPr/>
        <w:tc>
          <w:tcPr>
            <w:tcW w:w="53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b/>
                <w:bCs/>
                <w:color w:val="375623"/>
                <w:sz w:val="19"/>
                <w:szCs w:val="19"/>
              </w:rPr>
              <w:t xml:space="preserve">☐  </w:t>
            </w:r>
            <w:r>
              <w:rPr>
                <w:rFonts w:eastAsia="Arial" w:cs="Arial"/>
                <w:b/>
                <w:bCs/>
                <w:color w:val="375623"/>
                <w:sz w:val="19"/>
                <w:szCs w:val="19"/>
              </w:rPr>
              <w:t>SUCCESSFUL</w:t>
            </w:r>
          </w:p>
          <w:p>
            <w:pPr>
              <w:pStyle w:val="Normal"/>
              <w:spacing w:before="0" w:after="40"/>
              <w:rPr/>
            </w:pPr>
            <w:r>
              <w:rPr>
                <w:rFonts w:eastAsia="Arial" w:cs="Arial"/>
                <w:b/>
                <w:bCs/>
                <w:color w:val="C55A00"/>
                <w:sz w:val="19"/>
                <w:szCs w:val="19"/>
              </w:rPr>
              <w:t xml:space="preserve">☐  </w:t>
            </w:r>
            <w:r>
              <w:rPr>
                <w:rFonts w:eastAsia="Arial" w:cs="Arial"/>
                <w:b/>
                <w:bCs/>
                <w:color w:val="C55A00"/>
                <w:sz w:val="19"/>
                <w:szCs w:val="19"/>
              </w:rPr>
              <w:t>PARTIAL</w:t>
            </w:r>
          </w:p>
          <w:p>
            <w:pPr>
              <w:pStyle w:val="Normal"/>
              <w:rPr/>
            </w:pPr>
            <w:r>
              <w:rPr>
                <w:rFonts w:eastAsia="Arial" w:cs="Arial"/>
                <w:b/>
                <w:bCs/>
                <w:color w:val="C00000"/>
                <w:sz w:val="19"/>
                <w:szCs w:val="19"/>
              </w:rPr>
              <w:t xml:space="preserve">☐  </w:t>
            </w:r>
            <w:r>
              <w:rPr>
                <w:rFonts w:eastAsia="Arial" w:cs="Arial"/>
                <w:b/>
                <w:bCs/>
                <w:color w:val="C00000"/>
                <w:sz w:val="19"/>
                <w:szCs w:val="19"/>
              </w:rPr>
              <w:t>UNSUCCESSFUL</w:t>
            </w:r>
          </w:p>
        </w:tc>
        <w:tc>
          <w:tcPr>
            <w:tcW w:w="200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c>
          <w:tcPr>
            <w:tcW w:w="20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
          </w:p>
        </w:tc>
      </w:tr>
    </w:tbl>
    <w:p>
      <w:pPr>
        <w:pStyle w:val="Normal"/>
        <w:rPr/>
      </w:pPr>
      <w:r>
        <w:rPr/>
      </w:r>
      <w:r>
        <w:br w:type="page"/>
      </w:r>
    </w:p>
    <w:p>
      <w:pPr>
        <w:pStyle w:val="Heading1"/>
        <w:shd w:val="clear" w:fill="0D2340"/>
        <w:spacing w:before="0" w:after="0"/>
        <w:ind w:left="80"/>
        <w:rPr/>
      </w:pPr>
      <w:bookmarkStart w:id="40" w:name="__RefHeading___Toc4544_1452158057"/>
      <w:bookmarkEnd w:id="40"/>
      <w:r>
        <w:rPr>
          <w:rFonts w:eastAsia="Arial" w:cs="Arial" w:ascii="Arial" w:hAnsi="Arial"/>
          <w:b/>
          <w:bCs/>
          <w:color w:val="2E75B6"/>
          <w:sz w:val="22"/>
          <w:szCs w:val="22"/>
        </w:rPr>
        <w:t>19</w:t>
      </w:r>
      <w:r>
        <w:rPr>
          <w:rFonts w:eastAsia="Arial" w:cs="Arial" w:ascii="Arial" w:hAnsi="Arial"/>
          <w:sz w:val="22"/>
          <w:szCs w:val="22"/>
        </w:rPr>
        <w:t xml:space="preserve">   </w:t>
      </w:r>
      <w:r>
        <w:rPr>
          <w:rFonts w:eastAsia="Arial" w:cs="Arial" w:ascii="Arial" w:hAnsi="Arial"/>
          <w:b/>
          <w:bCs/>
          <w:color w:val="FFFFFF"/>
          <w:sz w:val="26"/>
          <w:szCs w:val="26"/>
        </w:rPr>
        <w:t>DETAILED POST-DR VERIFICATION CHECKLIST</w:t>
      </w:r>
    </w:p>
    <w:p>
      <w:pPr>
        <w:pStyle w:val="Normal"/>
        <w:shd w:val="clear" w:fill="1F4E79"/>
        <w:spacing w:before="0" w:after="160"/>
        <w:ind w:left="80"/>
        <w:rPr/>
      </w:pPr>
      <w:r>
        <w:rPr>
          <w:rFonts w:eastAsia="Arial" w:cs="Arial"/>
          <w:i/>
          <w:iCs/>
          <w:color w:val="EBF3FB"/>
          <w:sz w:val="18"/>
          <w:szCs w:val="18"/>
        </w:rPr>
        <w:t>Item-Level Completion Record — 44 Verification Points</w:t>
      </w:r>
    </w:p>
    <w:p>
      <w:pPr>
        <w:pStyle w:val="Normal"/>
        <w:spacing w:before="0" w:after="120"/>
        <w:rPr/>
      </w:pPr>
      <w:r>
        <w:rPr>
          <w:rFonts w:eastAsia="Arial" w:cs="Arial"/>
          <w:i w:val="false"/>
          <w:iCs w:val="false"/>
          <w:color w:val="44546A"/>
          <w:sz w:val="20"/>
          <w:szCs w:val="20"/>
        </w:rPr>
        <w:t>Complete every item below before declaring DR successful. Obtain sign-off from the DR Test Team before closing the DR event.</w:t>
      </w:r>
    </w:p>
    <w:tbl>
      <w:tblPr>
        <w:tblW w:w="9360" w:type="dxa"/>
        <w:jc w:val="left"/>
        <w:tblInd w:w="0" w:type="dxa"/>
        <w:tblLayout w:type="fixed"/>
        <w:tblCellMar>
          <w:top w:w="80" w:type="dxa"/>
          <w:left w:w="140" w:type="dxa"/>
          <w:bottom w:w="80" w:type="dxa"/>
          <w:right w:w="140" w:type="dxa"/>
        </w:tblCellMar>
      </w:tblPr>
      <w:tblGrid>
        <w:gridCol w:w="499"/>
        <w:gridCol w:w="1501"/>
        <w:gridCol w:w="5160"/>
        <w:gridCol w:w="2199"/>
      </w:tblGrid>
      <w:tr>
        <w:trPr>
          <w:tblHeader w:val="true"/>
          <w:cantSplit w:val="true"/>
        </w:trPr>
        <w:tc>
          <w:tcPr>
            <w:tcW w:w="4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w:t>
            </w:r>
          </w:p>
        </w:tc>
        <w:tc>
          <w:tcPr>
            <w:tcW w:w="150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Phase</w:t>
            </w:r>
          </w:p>
        </w:tc>
        <w:tc>
          <w:tcPr>
            <w:tcW w:w="516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Verification Item</w:t>
            </w:r>
          </w:p>
        </w:tc>
        <w:tc>
          <w:tcPr>
            <w:tcW w:w="21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rPr/>
            </w:pPr>
            <w:r>
              <w:rPr>
                <w:rFonts w:eastAsia="Arial" w:cs="Arial"/>
                <w:b/>
                <w:bCs/>
                <w:color w:val="FFFFFF"/>
                <w:sz w:val="19"/>
                <w:szCs w:val="19"/>
              </w:rPr>
              <w:t>Result</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Pre-DR</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Document folders cleaned on all LPARs (WRKFLR / STATDOC / WRKDOC)</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Pre-DR</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Pre-DR screenshots captured for JDE key and DXRECOV security code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DNS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DNS pointer for DEVA changed from 10.7.1.161 to 10.7.1.231</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4</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DNS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Ping tests pass: DEVA and DEVA.APPN.SNA.IBM.COM resolve correctly</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5</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GoldenGate</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GoldenGate manager stopped on DEVAC (GGSCI &gt; STOP MANAGER)</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6</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GoldenGate</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GoldenGate subsystem ended on DEVAC (ETS95040 + ENDSBS GOLDENGATE)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7</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Level 3 ended on DEVAC (IPL_PRCS complete, all user SBS ended)</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8</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QBATCH active on all 4 cluster nodes before switchover</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9</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ASP copy verified current on DEVAHA (WRKCLU Option 10)</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10</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DEVADEVCRG Resource Group confirmed Active with correct Primary (DEVAC) before switch</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11</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PowerHA switchover initiated via WRKCLU Option 9 &gt; Option 3</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12</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DEVAC ASP State = VARYOFF (~3:10 minutes)</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13</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DEVAT ASP State = AVAILABLE (~1:23 minutes to varyon)</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14</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DEVADEVCRG Primary Node now shows DEVAT/Temple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15</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PowerHA</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All 4 cluster nodes active after switchover</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16</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Mimix</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Mimix replication direction reversed — DEVAT is now source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17</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Spyview key applied on DEVAT (LPAR 002, SN# 7858201)</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18</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QPMLPMGT/QSYS *PUBLIC = *USE (Spyview prerequisite)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19</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Turnover key applied — license renamed correctly (LicenseT2025 → License)</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20</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TWRKLIC shows Turnover license as valid on DEVAT</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21</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DSI DSIPROTECT data area created in DCL511DTA</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22</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JDE key applied — DSPDTAARA JDFOBJA73/QJDF verified</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23</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JDE_IDX_1 through _4 deleted and rebuilt (WRKOBJ QGPL/JDE* shows 4 entries)</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24</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DXRECOV install key applied (G90 &gt; G94 &gt; F6 verified)</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25</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FastFax NetServer name updated to DEVAN (all uppercase)</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26</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FastFax license row inserted into FFXLDV</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27</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Keys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FastFax subsystem active — WRKFAXJOB F9 shows Active</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28</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Robot</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RBTSLEEPER subsystem restarted after RSLSETOID</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29</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Robot</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Robot Schedule missed jobs reviewed for DR window</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30</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Robot</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Robot ETS40080 executed to reset GUI host node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31</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Host Tables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Host tables updated on PA, PE, DEVAT, DEVAC, DSST, DSSC</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32</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Level 3</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Level 3 started on DEVAT (Option 13 — IPL_PRCS complete)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33</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Post-DR</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ETS51000 running (Splunk stats active)</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34</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Post-DR</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OPS90100 DO executed (DSI restart)</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35</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Post-DR</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ETS50020 DO executed (terminated job cleanup)</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36</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Post-DR</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ETS50001 DO executed (APPADMIN &amp; SYSMGMT disabled)</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37</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Services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QNTC connected — all MKDIR directories exist</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38</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Services</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FormsPrint virtual queues started (INVOICEPDF, INVOICERPRT, FAX)</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39</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Services</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SMTP running under QSYSWRK</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40</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GoldenGate</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GoldenGate subsystem started on DEVAT (STRSBS GOLDENGATE)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41</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GoldenGate</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GoldenGate Manager started (ETS95010)</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42</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GoldenGate</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All GoldenGate processes started (ETS95030)</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b/>
                <w:bCs/>
                <w:color w:val="2E75B6"/>
                <w:sz w:val="18"/>
                <w:szCs w:val="18"/>
              </w:rPr>
              <w:t>43</w:t>
            </w:r>
          </w:p>
        </w:tc>
        <w:tc>
          <w:tcPr>
            <w:tcW w:w="1501"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1A3A5C"/>
                <w:sz w:val="18"/>
                <w:szCs w:val="18"/>
              </w:rPr>
              <w:t>Robot Network</w:t>
            </w:r>
          </w:p>
        </w:tc>
        <w:tc>
          <w:tcPr>
            <w:tcW w:w="5160"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44546A"/>
                <w:sz w:val="18"/>
                <w:szCs w:val="18"/>
              </w:rPr>
              <w:t>Robot Network GUI node configured and all nodes GREEN</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r>
        <w:trPr>
          <w:cantSplit w:val="true"/>
        </w:trPr>
        <w:tc>
          <w:tcPr>
            <w:tcW w:w="4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b/>
                <w:bCs/>
                <w:color w:val="2E75B6"/>
                <w:sz w:val="18"/>
                <w:szCs w:val="18"/>
              </w:rPr>
              <w:t>44</w:t>
            </w:r>
          </w:p>
        </w:tc>
        <w:tc>
          <w:tcPr>
            <w:tcW w:w="1501"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1A3A5C"/>
                <w:sz w:val="18"/>
                <w:szCs w:val="18"/>
              </w:rPr>
              <w:t>Sign-off</w:t>
            </w:r>
          </w:p>
        </w:tc>
        <w:tc>
          <w:tcPr>
            <w:tcW w:w="5160"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44546A"/>
                <w:sz w:val="18"/>
                <w:szCs w:val="18"/>
              </w:rPr>
              <w:t>DR Test Team has validated and signed off</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rPr/>
            </w:pPr>
            <w:r>
              <w:rPr>
                <w:rFonts w:eastAsia="Arial" w:cs="Arial"/>
                <w:color w:val="375623"/>
                <w:sz w:val="16"/>
                <w:szCs w:val="16"/>
              </w:rPr>
              <w:t xml:space="preserve">☐ </w:t>
            </w:r>
            <w:r>
              <w:rPr>
                <w:rFonts w:eastAsia="Arial" w:cs="Arial"/>
                <w:color w:val="375623"/>
                <w:sz w:val="16"/>
                <w:szCs w:val="16"/>
              </w:rPr>
              <w:t>Verified</w:t>
            </w:r>
            <w:r>
              <w:rPr>
                <w:rFonts w:eastAsia="Arial" w:cs="Arial"/>
                <w:color w:val="C00000"/>
                <w:sz w:val="16"/>
                <w:szCs w:val="16"/>
              </w:rPr>
              <w:t xml:space="preserve">  ☐ Exception</w:t>
            </w:r>
            <w:r>
              <w:rPr>
                <w:rFonts w:eastAsia="Arial" w:cs="Arial"/>
                <w:color w:val="666666"/>
                <w:sz w:val="16"/>
                <w:szCs w:val="16"/>
              </w:rPr>
              <w:t xml:space="preserve">  ☐ N/A</w:t>
            </w:r>
          </w:p>
        </w:tc>
      </w:tr>
    </w:tbl>
    <w:p>
      <w:pPr>
        <w:pStyle w:val="Normal"/>
        <w:rPr/>
      </w:pPr>
      <w:r>
        <w:rPr/>
      </w:r>
      <w:r>
        <w:br w:type="page"/>
      </w:r>
    </w:p>
    <w:p>
      <w:pPr>
        <w:pStyle w:val="Heading1"/>
        <w:shd w:val="clear" w:fill="0D2340"/>
        <w:spacing w:before="0" w:after="0"/>
        <w:ind w:left="80"/>
        <w:rPr/>
      </w:pPr>
      <w:bookmarkStart w:id="41" w:name="__RefHeading___Toc4546_1452158057"/>
      <w:bookmarkEnd w:id="41"/>
      <w:r>
        <w:rPr>
          <w:rFonts w:eastAsia="Arial" w:cs="Arial" w:ascii="Arial" w:hAnsi="Arial"/>
          <w:b/>
          <w:bCs/>
          <w:color w:val="2E75B6"/>
          <w:sz w:val="22"/>
          <w:szCs w:val="22"/>
        </w:rPr>
        <w:t>20</w:t>
      </w:r>
      <w:r>
        <w:rPr>
          <w:rFonts w:eastAsia="Arial" w:cs="Arial" w:ascii="Arial" w:hAnsi="Arial"/>
          <w:sz w:val="22"/>
          <w:szCs w:val="22"/>
        </w:rPr>
        <w:t xml:space="preserve">   </w:t>
      </w:r>
      <w:r>
        <w:rPr>
          <w:rFonts w:eastAsia="Arial" w:cs="Arial" w:ascii="Arial" w:hAnsi="Arial"/>
          <w:b/>
          <w:bCs/>
          <w:color w:val="FFFFFF"/>
          <w:sz w:val="26"/>
          <w:szCs w:val="26"/>
        </w:rPr>
        <w:t>KNOWN ISSUES &amp; WORKAROUNDS</w:t>
      </w:r>
    </w:p>
    <w:p>
      <w:pPr>
        <w:pStyle w:val="Normal"/>
        <w:shd w:val="clear" w:fill="1F4E79"/>
        <w:spacing w:before="0" w:after="160"/>
        <w:ind w:left="80"/>
        <w:rPr/>
      </w:pPr>
      <w:r>
        <w:rPr>
          <w:rFonts w:eastAsia="Arial" w:cs="Arial"/>
          <w:i/>
          <w:iCs/>
          <w:color w:val="EBF3FB"/>
          <w:sz w:val="18"/>
          <w:szCs w:val="18"/>
        </w:rPr>
        <w:t>Observations From Previous Role Swap Events</w:t>
      </w:r>
    </w:p>
    <w:tbl>
      <w:tblPr>
        <w:tblW w:w="9360" w:type="dxa"/>
        <w:jc w:val="left"/>
        <w:tblInd w:w="0" w:type="dxa"/>
        <w:tblLayout w:type="fixed"/>
        <w:tblCellMar>
          <w:top w:w="80" w:type="dxa"/>
          <w:left w:w="140" w:type="dxa"/>
          <w:bottom w:w="80" w:type="dxa"/>
          <w:right w:w="140" w:type="dxa"/>
        </w:tblCellMar>
      </w:tblPr>
      <w:tblGrid>
        <w:gridCol w:w="2700"/>
        <w:gridCol w:w="4759"/>
        <w:gridCol w:w="1901"/>
      </w:tblGrid>
      <w:tr>
        <w:trPr>
          <w:tblHeader w:val="true"/>
          <w:cantSplit w:val="true"/>
        </w:trPr>
        <w:tc>
          <w:tcPr>
            <w:tcW w:w="27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Issue</w:t>
            </w:r>
          </w:p>
        </w:tc>
        <w:tc>
          <w:tcPr>
            <w:tcW w:w="475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Workaround / Resolution</w:t>
            </w:r>
          </w:p>
        </w:tc>
        <w:tc>
          <w:tcPr>
            <w:tcW w:w="190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Owner</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FastFax ODBC starts on slave but not master after STRTCPSVR</w:t>
            </w:r>
          </w:p>
        </w:tc>
        <w:tc>
          <w:tcPr>
            <w:tcW w:w="47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Reboot the FastFax server, OR: Registry HKEY_CURRENT_USER &gt; SOFTWARE &gt; FASTFAX/Lan &gt; environments &gt; envid_001, change 'EnvDrive' value, then refresh</w:t>
            </w:r>
          </w:p>
        </w:tc>
        <w:tc>
          <w:tcPr>
            <w:tcW w:w="19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FastFax / SYSMGMT</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FastFax subsystem stops immediately after STRFFX</w:t>
            </w:r>
          </w:p>
        </w:tc>
        <w:tc>
          <w:tcPr>
            <w:tcW w:w="47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Verify the NetServer name in FFXTOOLS Option 87 — must be ALL UPPERCASE, no spaces, no typos</w:t>
            </w:r>
          </w:p>
        </w:tc>
        <w:tc>
          <w:tcPr>
            <w:tcW w:w="19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FastFax / SYSMGMT</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QPMLPMGT/QSYS *PUBLIC = *EXCLUDE causes Spyview failure</w:t>
            </w:r>
          </w:p>
        </w:tc>
        <w:tc>
          <w:tcPr>
            <w:tcW w:w="47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Change authority: QPMLPMGT/QSYS *PUBLIC → *USE before applying the Spyview key</w:t>
            </w:r>
          </w:p>
        </w:tc>
        <w:tc>
          <w:tcPr>
            <w:tcW w:w="19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Spyview / SYSMGMT</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PowerHA session drops during switchover (Switch Pending state)</w:t>
            </w:r>
          </w:p>
        </w:tc>
        <w:tc>
          <w:tcPr>
            <w:tcW w:w="47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Expected behavior. Session reconnect is required. The system self-corrects after IASP varyoff/varyon completes.</w:t>
            </w:r>
          </w:p>
        </w:tc>
        <w:tc>
          <w:tcPr>
            <w:tcW w:w="19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PowerHA / QSECOFR</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DEVAC ASP State stuck or slow to VARYOFF</w:t>
            </w:r>
          </w:p>
        </w:tc>
        <w:tc>
          <w:tcPr>
            <w:tcW w:w="47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Monitor WRKASPJOB under QSYSWRK. Expected: ~3:10 minutes. If stuck beyond 10 minutes, escalate to IBM support.</w:t>
            </w:r>
          </w:p>
        </w:tc>
        <w:tc>
          <w:tcPr>
            <w:tcW w:w="19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PowerHA / QSECOFR</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Robot Network GUI shows nodes in GREY</w:t>
            </w:r>
          </w:p>
        </w:tc>
        <w:tc>
          <w:tcPr>
            <w:tcW w:w="47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Go to PRODE: RBTNETLIB/RBNDLTNODE F4 → input DEVA to remove the stale node reference</w:t>
            </w:r>
          </w:p>
        </w:tc>
        <w:tc>
          <w:tcPr>
            <w:tcW w:w="19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Robot Network / DR Lead</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JDE indexes locked — cannot delete IDX_1 through _4</w:t>
            </w:r>
          </w:p>
        </w:tc>
        <w:tc>
          <w:tcPr>
            <w:tcW w:w="47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Use WRKOBJ OBJ(QGPL/JDE*) OBJTYPE(*USRIDX) to identify locks. End locking jobs before deletion.</w:t>
            </w:r>
          </w:p>
        </w:tc>
        <w:tc>
          <w:tcPr>
            <w:tcW w:w="19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JDE / QSECOFR</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FastFax license key not accepted (INSERT fails)</w:t>
            </w:r>
          </w:p>
        </w:tc>
        <w:tc>
          <w:tcPr>
            <w:tcW w:w="47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Increment the FDVTP2 value: 900000098 → 900000099 → 900000100, etc. until accepted</w:t>
            </w:r>
          </w:p>
        </w:tc>
        <w:tc>
          <w:tcPr>
            <w:tcW w:w="19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FastFax / SYSMGMT</w:t>
            </w:r>
          </w:p>
        </w:tc>
      </w:tr>
      <w:tr>
        <w:trPr>
          <w:cantSplit w:val="true"/>
        </w:trPr>
        <w:tc>
          <w:tcPr>
            <w:tcW w:w="27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Mimix replication not switching direction</w:t>
            </w:r>
          </w:p>
        </w:tc>
        <w:tc>
          <w:tcPr>
            <w:tcW w:w="47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Contact the Mimix Administrator (FS7300) immediately. Do not proceed with DR completion until replication is verified.</w:t>
            </w:r>
          </w:p>
        </w:tc>
        <w:tc>
          <w:tcPr>
            <w:tcW w:w="19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Mimix / FS7300</w:t>
            </w:r>
          </w:p>
        </w:tc>
      </w:tr>
    </w:tbl>
    <w:p>
      <w:pPr>
        <w:pStyle w:val="Normal"/>
        <w:rPr/>
      </w:pPr>
      <w:r>
        <w:rPr/>
      </w:r>
      <w:r>
        <w:br w:type="page"/>
      </w:r>
    </w:p>
    <w:p>
      <w:pPr>
        <w:pStyle w:val="Heading1"/>
        <w:shd w:val="clear" w:fill="0D2340"/>
        <w:spacing w:before="0" w:after="0"/>
        <w:ind w:left="80"/>
        <w:rPr/>
      </w:pPr>
      <w:bookmarkStart w:id="42" w:name="__RefHeading___Toc4548_1452158057"/>
      <w:bookmarkEnd w:id="42"/>
      <w:r>
        <w:rPr>
          <w:rFonts w:eastAsia="Arial" w:cs="Arial" w:ascii="Arial" w:hAnsi="Arial"/>
          <w:b/>
          <w:bCs/>
          <w:color w:val="2E75B6"/>
          <w:sz w:val="22"/>
          <w:szCs w:val="22"/>
        </w:rPr>
        <w:t>21</w:t>
      </w:r>
      <w:r>
        <w:rPr>
          <w:rFonts w:eastAsia="Arial" w:cs="Arial" w:ascii="Arial" w:hAnsi="Arial"/>
          <w:sz w:val="22"/>
          <w:szCs w:val="22"/>
        </w:rPr>
        <w:t xml:space="preserve">   </w:t>
      </w:r>
      <w:r>
        <w:rPr>
          <w:rFonts w:eastAsia="Arial" w:cs="Arial" w:ascii="Arial" w:hAnsi="Arial"/>
          <w:b/>
          <w:bCs/>
          <w:color w:val="FFFFFF"/>
          <w:sz w:val="26"/>
          <w:szCs w:val="26"/>
        </w:rPr>
        <w:t>SOFTWARE LICENSE KEY REFERENCE</w:t>
      </w:r>
    </w:p>
    <w:p>
      <w:pPr>
        <w:pStyle w:val="Normal"/>
        <w:shd w:val="clear" w:fill="1F4E79"/>
        <w:spacing w:before="0" w:after="160"/>
        <w:ind w:left="80"/>
        <w:rPr/>
      </w:pPr>
      <w:r>
        <w:rPr>
          <w:rFonts w:eastAsia="Arial" w:cs="Arial"/>
          <w:i/>
          <w:iCs/>
          <w:color w:val="EBF3FB"/>
          <w:sz w:val="18"/>
          <w:szCs w:val="18"/>
        </w:rPr>
        <w:t>Storage Location &amp; Key Type by Product</w:t>
      </w:r>
    </w:p>
    <w:p>
      <w:pPr>
        <w:pStyle w:val="Normal"/>
        <w:spacing w:before="0" w:after="120"/>
        <w:rPr/>
      </w:pPr>
      <w:r>
        <w:rPr>
          <w:rFonts w:eastAsia="Arial" w:cs="Arial"/>
          <w:i w:val="false"/>
          <w:iCs w:val="false"/>
          <w:color w:val="44546A"/>
          <w:sz w:val="20"/>
          <w:szCs w:val="20"/>
        </w:rPr>
        <w:t>All keys marked SYSBAS are outside the IASP and must be applied manually after switchover. Keys stored in the IASP (Robot Schedule) or IFS (Turnover) replicate automatically via PowerHA.</w:t>
      </w:r>
    </w:p>
    <w:tbl>
      <w:tblPr>
        <w:tblW w:w="9360" w:type="dxa"/>
        <w:jc w:val="left"/>
        <w:tblInd w:w="0" w:type="dxa"/>
        <w:tblLayout w:type="fixed"/>
        <w:tblCellMar>
          <w:top w:w="80" w:type="dxa"/>
          <w:left w:w="140" w:type="dxa"/>
          <w:bottom w:w="80" w:type="dxa"/>
          <w:right w:w="140" w:type="dxa"/>
        </w:tblCellMar>
      </w:tblPr>
      <w:tblGrid>
        <w:gridCol w:w="1500"/>
        <w:gridCol w:w="1100"/>
        <w:gridCol w:w="1300"/>
        <w:gridCol w:w="4059"/>
        <w:gridCol w:w="1401"/>
      </w:tblGrid>
      <w:tr>
        <w:trPr>
          <w:tblHeader w:val="true"/>
          <w:cantSplit w:val="true"/>
        </w:trPr>
        <w:tc>
          <w:tcPr>
            <w:tcW w:w="15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Product</w:t>
            </w:r>
          </w:p>
        </w:tc>
        <w:tc>
          <w:tcPr>
            <w:tcW w:w="11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Storage</w:t>
            </w:r>
          </w:p>
        </w:tc>
        <w:tc>
          <w:tcPr>
            <w:tcW w:w="13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Key Type</w:t>
            </w:r>
          </w:p>
        </w:tc>
        <w:tc>
          <w:tcPr>
            <w:tcW w:w="405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Command / Key</w:t>
            </w:r>
          </w:p>
        </w:tc>
        <w:tc>
          <w:tcPr>
            <w:tcW w:w="140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Notes</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Abstract</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b w:val="false"/>
                <w:bCs w:val="false"/>
                <w:color w:val="44546A"/>
                <w:sz w:val="19"/>
                <w:szCs w:val="19"/>
              </w:rPr>
              <w:t>ADDLIBLE ABSTRACT</w:t>
            </w:r>
          </w:p>
          <w:p>
            <w:pPr>
              <w:pStyle w:val="Normal"/>
              <w:spacing w:before="0" w:after="40"/>
              <w:rPr/>
            </w:pPr>
            <w:r>
              <w:rPr>
                <w:rFonts w:eastAsia="Arial" w:cs="Arial"/>
                <w:b w:val="false"/>
                <w:bCs w:val="false"/>
                <w:color w:val="44546A"/>
                <w:sz w:val="19"/>
                <w:szCs w:val="19"/>
              </w:rPr>
              <w:t>APPERM</w:t>
            </w:r>
          </w:p>
          <w:p>
            <w:pPr>
              <w:pStyle w:val="Normal"/>
              <w:spacing w:before="0" w:after="0"/>
              <w:rPr/>
            </w:pPr>
            <w:r>
              <w:rPr>
                <w:rFonts w:eastAsia="Arial" w:cs="Arial"/>
                <w:b w:val="false"/>
                <w:bCs w:val="false"/>
                <w:color w:val="44546A"/>
                <w:sz w:val="19"/>
                <w:szCs w:val="19"/>
              </w:rPr>
              <w:t>*FJ96D48951J5H2*Q91T3QV8T6AQ0BE4QLAPKNCV298V3427C+4TWV4K*J*1TI+PPWMTZM6MBM1</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Apply before DR</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Esend</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b w:val="false"/>
                <w:bCs w:val="false"/>
                <w:color w:val="44546A"/>
                <w:sz w:val="19"/>
                <w:szCs w:val="19"/>
              </w:rPr>
              <w:t>ADDLIBLE ESEND</w:t>
            </w:r>
          </w:p>
          <w:p>
            <w:pPr>
              <w:pStyle w:val="Normal"/>
              <w:spacing w:before="0" w:after="40"/>
              <w:rPr/>
            </w:pPr>
            <w:r>
              <w:rPr>
                <w:rFonts w:eastAsia="Arial" w:cs="Arial"/>
                <w:b w:val="false"/>
                <w:bCs w:val="false"/>
                <w:color w:val="44546A"/>
                <w:sz w:val="19"/>
                <w:szCs w:val="19"/>
              </w:rPr>
              <w:t>ESPERM</w:t>
            </w:r>
          </w:p>
          <w:p>
            <w:pPr>
              <w:pStyle w:val="Normal"/>
              <w:spacing w:before="0" w:after="0"/>
              <w:rPr/>
            </w:pPr>
            <w:r>
              <w:rPr>
                <w:rFonts w:eastAsia="Arial" w:cs="Arial"/>
                <w:b w:val="false"/>
                <w:bCs w:val="false"/>
                <w:color w:val="44546A"/>
                <w:sz w:val="19"/>
                <w:szCs w:val="19"/>
              </w:rPr>
              <w:t>KGLF513084JJLHF8CSKWPCU+C0EC2YIBCZ5HA993A+*U8573N259Q151VBFT7SK44M6*MITPLIT</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Apply before DR</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DBU</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b w:val="false"/>
                <w:bCs w:val="false"/>
                <w:color w:val="44546A"/>
                <w:sz w:val="19"/>
                <w:szCs w:val="19"/>
              </w:rPr>
              <w:t>ADDLIBLE DBU11</w:t>
            </w:r>
          </w:p>
          <w:p>
            <w:pPr>
              <w:pStyle w:val="Normal"/>
              <w:spacing w:before="0" w:after="40"/>
              <w:rPr/>
            </w:pPr>
            <w:r>
              <w:rPr>
                <w:rFonts w:eastAsia="Arial" w:cs="Arial"/>
                <w:b w:val="false"/>
                <w:bCs w:val="false"/>
                <w:color w:val="44546A"/>
                <w:sz w:val="19"/>
                <w:szCs w:val="19"/>
              </w:rPr>
              <w:t>DBUSEC</w:t>
            </w:r>
          </w:p>
          <w:p>
            <w:pPr>
              <w:pStyle w:val="Normal"/>
              <w:spacing w:before="0" w:after="0"/>
              <w:rPr/>
            </w:pPr>
            <w:r>
              <w:rPr>
                <w:rFonts w:eastAsia="Arial" w:cs="Arial"/>
                <w:b w:val="false"/>
                <w:bCs w:val="false"/>
                <w:color w:val="44546A"/>
                <w:sz w:val="19"/>
                <w:szCs w:val="19"/>
              </w:rPr>
              <w:t>7858201 DBU 11.0 3ABEF1 9E128C D4E801 5102 (partition 2)</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Taatools</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40"/>
              <w:rPr/>
            </w:pPr>
            <w:r>
              <w:rPr>
                <w:rFonts w:eastAsia="Arial" w:cs="Arial"/>
                <w:b w:val="false"/>
                <w:bCs w:val="false"/>
                <w:color w:val="44546A"/>
                <w:sz w:val="19"/>
                <w:szCs w:val="19"/>
              </w:rPr>
              <w:t>ADDLIBLE TAATOOL</w:t>
            </w:r>
          </w:p>
          <w:p>
            <w:pPr>
              <w:pStyle w:val="Normal"/>
              <w:spacing w:before="0" w:after="0"/>
              <w:rPr/>
            </w:pPr>
            <w:r>
              <w:rPr>
                <w:rFonts w:eastAsia="Arial" w:cs="Arial"/>
                <w:b w:val="false"/>
                <w:bCs w:val="false"/>
                <w:color w:val="44546A"/>
                <w:sz w:val="19"/>
                <w:szCs w:val="19"/>
              </w:rPr>
              <w:t>CHGTAAKEY KEY(547399CEB851D098B4F2FA5289B362E96AF00F747255293B5124D7265286)</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FormsPrint</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15-Day Temp</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b w:val="false"/>
                <w:bCs w:val="false"/>
                <w:color w:val="44546A"/>
                <w:sz w:val="19"/>
                <w:szCs w:val="19"/>
              </w:rPr>
              <w:t>ADDLIBLE ICSPROG</w:t>
            </w:r>
          </w:p>
          <w:p>
            <w:pPr>
              <w:pStyle w:val="Normal"/>
              <w:spacing w:before="0" w:after="40"/>
              <w:rPr/>
            </w:pPr>
            <w:r>
              <w:rPr>
                <w:rFonts w:eastAsia="Arial" w:cs="Arial"/>
                <w:b w:val="false"/>
                <w:bCs w:val="false"/>
                <w:color w:val="44546A"/>
                <w:sz w:val="19"/>
                <w:szCs w:val="19"/>
              </w:rPr>
              <w:t>CALL ICSPROG/LICENSE</w:t>
            </w:r>
          </w:p>
          <w:p>
            <w:pPr>
              <w:pStyle w:val="Normal"/>
              <w:spacing w:before="0" w:after="0"/>
              <w:rPr/>
            </w:pPr>
            <w:r>
              <w:rPr>
                <w:rFonts w:eastAsia="Arial" w:cs="Arial"/>
                <w:b w:val="false"/>
                <w:bCs w:val="false"/>
                <w:color w:val="44546A"/>
                <w:sz w:val="19"/>
                <w:szCs w:val="19"/>
              </w:rPr>
              <w:t>Select 5 = Temporary 15 day access</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Wait until DR window to apply</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Spyview</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See Section 11.1 — STRSPY &gt; F21 &gt; CLRPFM &gt; key: D259D0E7699C670F2A05A6F6EFF74106</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SN# 7858201, LPAR 002</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Turnover</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IFS/IASP</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40"/>
              <w:rPr/>
            </w:pPr>
            <w:r>
              <w:rPr>
                <w:rFonts w:eastAsia="Arial" w:cs="Arial"/>
                <w:b w:val="false"/>
                <w:bCs w:val="false"/>
                <w:color w:val="44546A"/>
                <w:sz w:val="19"/>
                <w:szCs w:val="19"/>
              </w:rPr>
              <w:t>Key path: /home/unicom/licenses/* TN4</w:t>
            </w:r>
          </w:p>
          <w:p>
            <w:pPr>
              <w:pStyle w:val="Normal"/>
              <w:spacing w:before="0" w:after="0"/>
              <w:rPr/>
            </w:pPr>
            <w:r>
              <w:rPr>
                <w:rFonts w:eastAsia="Arial" w:cs="Arial"/>
                <w:b w:val="false"/>
                <w:bCs w:val="false"/>
                <w:color w:val="44546A"/>
                <w:sz w:val="19"/>
                <w:szCs w:val="19"/>
              </w:rPr>
              <w:t>Rename: LicenseT2025 → License</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Replicates via IASP — rename required. SN# 7858201, LPAR 002</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DSI</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DTAARA</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90-Day</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CRTDTAARA DCL511DTA/DSIPROTECT TYPE(*CHAR) LEN(24) VALUE(X'C1E935EDACC...')</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Key by SN# for SVC_DCLINK interface 13</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JDE World A7.3</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DTAARA</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CHGDTAARA JDFOBJA73/QJDF (496 17) VALUE('060139RPGHDB00701')</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SN# 7858201 — same key by serial number each time</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Robot Console</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DEVA-T&amp;C license</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Robot Alert</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DEVA-T&amp;C license</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Robot Schedule</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IASP</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DEVA-T&amp;C — in IASP, replicates. Reset via RSLSETOID PRC(RBT)</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Robot Network</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SYSBAS</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DEVA-T&amp;C license</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FastFax</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DB Table</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Permanent</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SQL INSERT into FFXLDV + UPDATE FFXLDE NetServer name</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See Section 13 for full SQL</w:t>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Vertex</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N/A</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Key</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license key required</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PcMiler</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N/A</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No Key</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No license key required</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QMGTOOLS</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N/A</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Key</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license key required</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RDI</w:t>
            </w:r>
          </w:p>
        </w:tc>
        <w:tc>
          <w:tcPr>
            <w:tcW w:w="11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N/A</w:t>
            </w:r>
          </w:p>
        </w:tc>
        <w:tc>
          <w:tcPr>
            <w:tcW w:w="13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No Key</w:t>
            </w:r>
          </w:p>
        </w:tc>
        <w:tc>
          <w:tcPr>
            <w:tcW w:w="40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No license key required</w:t>
            </w:r>
          </w:p>
        </w:tc>
        <w:tc>
          <w:tcPr>
            <w:tcW w:w="14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r>
        <w:trPr>
          <w:cantSplit w:val="true"/>
        </w:trPr>
        <w:tc>
          <w:tcPr>
            <w:tcW w:w="15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MQ FTE</w:t>
            </w:r>
          </w:p>
        </w:tc>
        <w:tc>
          <w:tcPr>
            <w:tcW w:w="11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N/A</w:t>
            </w:r>
          </w:p>
        </w:tc>
        <w:tc>
          <w:tcPr>
            <w:tcW w:w="13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Key</w:t>
            </w:r>
          </w:p>
        </w:tc>
        <w:tc>
          <w:tcPr>
            <w:tcW w:w="40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No license key required</w:t>
            </w:r>
          </w:p>
        </w:tc>
        <w:tc>
          <w:tcPr>
            <w:tcW w:w="14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
          </w:p>
        </w:tc>
      </w:tr>
    </w:tbl>
    <w:p>
      <w:pPr>
        <w:pStyle w:val="Normal"/>
        <w:rPr/>
      </w:pPr>
      <w:r>
        <w:rPr/>
      </w:r>
      <w:r>
        <w:br w:type="page"/>
      </w:r>
    </w:p>
    <w:p>
      <w:pPr>
        <w:pStyle w:val="Heading1"/>
        <w:shd w:val="clear" w:fill="0D2340"/>
        <w:spacing w:before="0" w:after="0"/>
        <w:ind w:left="80"/>
        <w:rPr/>
      </w:pPr>
      <w:bookmarkStart w:id="43" w:name="__RefHeading___Toc4550_1452158057"/>
      <w:bookmarkEnd w:id="43"/>
      <w:r>
        <w:rPr>
          <w:rFonts w:eastAsia="Arial" w:cs="Arial" w:ascii="Arial" w:hAnsi="Arial"/>
          <w:b/>
          <w:bCs/>
          <w:color w:val="2E75B6"/>
          <w:sz w:val="22"/>
          <w:szCs w:val="22"/>
        </w:rPr>
        <w:t>22</w:t>
      </w:r>
      <w:r>
        <w:rPr>
          <w:rFonts w:eastAsia="Arial" w:cs="Arial" w:ascii="Arial" w:hAnsi="Arial"/>
          <w:sz w:val="22"/>
          <w:szCs w:val="22"/>
        </w:rPr>
        <w:t xml:space="preserve">   </w:t>
      </w:r>
      <w:r>
        <w:rPr>
          <w:rFonts w:eastAsia="Arial" w:cs="Arial" w:ascii="Arial" w:hAnsi="Arial"/>
          <w:b/>
          <w:bCs/>
          <w:color w:val="FFFFFF"/>
          <w:sz w:val="26"/>
          <w:szCs w:val="26"/>
        </w:rPr>
        <w:t>EXPECTED ACTIVE SUBSYSTEMS — DEVAT/TEMPLE</w:t>
      </w:r>
    </w:p>
    <w:p>
      <w:pPr>
        <w:pStyle w:val="Normal"/>
        <w:shd w:val="clear" w:fill="1F4E79"/>
        <w:spacing w:before="0" w:after="160"/>
        <w:ind w:left="80"/>
        <w:rPr/>
      </w:pPr>
      <w:r>
        <w:rPr>
          <w:rFonts w:eastAsia="Arial" w:cs="Arial"/>
          <w:i/>
          <w:iCs/>
          <w:color w:val="EBF3FB"/>
          <w:sz w:val="18"/>
          <w:szCs w:val="18"/>
        </w:rPr>
        <w:t>Reference List for Post-Switchover Verification</w:t>
      </w:r>
    </w:p>
    <w:p>
      <w:pPr>
        <w:pStyle w:val="Normal"/>
        <w:spacing w:before="0" w:after="120"/>
        <w:rPr/>
      </w:pPr>
      <w:r>
        <w:rPr>
          <w:rFonts w:eastAsia="Arial" w:cs="Arial"/>
          <w:i w:val="false"/>
          <w:iCs w:val="false"/>
          <w:color w:val="44546A"/>
          <w:sz w:val="20"/>
          <w:szCs w:val="20"/>
        </w:rPr>
        <w:t>After Level 3 is started on DEVAT, verify all subsystems below are active using WRKACTJOB or WRKSBS. Any subsystem not active should be investigated before declaring DR complete.</w:t>
      </w:r>
    </w:p>
    <w:tbl>
      <w:tblPr>
        <w:tblW w:w="8760" w:type="dxa"/>
        <w:jc w:val="left"/>
        <w:tblInd w:w="0" w:type="dxa"/>
        <w:tblLayout w:type="fixed"/>
        <w:tblCellMar>
          <w:top w:w="80" w:type="dxa"/>
          <w:left w:w="140" w:type="dxa"/>
          <w:bottom w:w="80" w:type="dxa"/>
          <w:right w:w="140" w:type="dxa"/>
        </w:tblCellMar>
      </w:tblPr>
      <w:tblGrid>
        <w:gridCol w:w="2199"/>
        <w:gridCol w:w="2181"/>
        <w:gridCol w:w="2199"/>
        <w:gridCol w:w="2180"/>
      </w:tblGrid>
      <w:tr>
        <w:trPr>
          <w:tblHeader w:val="true"/>
          <w:cantSplit w:val="true"/>
        </w:trPr>
        <w:tc>
          <w:tcPr>
            <w:tcW w:w="21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Subsystem</w:t>
            </w:r>
          </w:p>
        </w:tc>
        <w:tc>
          <w:tcPr>
            <w:tcW w:w="218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Library</w:t>
            </w:r>
          </w:p>
        </w:tc>
        <w:tc>
          <w:tcPr>
            <w:tcW w:w="21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Subsystem</w:t>
            </w:r>
          </w:p>
        </w:tc>
        <w:tc>
          <w:tcPr>
            <w:tcW w:w="218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Library</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BACKGROUND</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QUSRSYS</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QINTER</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BATCHWW</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QMFT</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QMQMMFT</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DCL511SBS</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DCL511DTAC</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QMQM</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QMQMMFT</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DCSBS</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QPGMR</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FASTFAXL</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FASTFAXLC</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QSERVER</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FASTPATH</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QSNADS</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FINANCE</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QSPL</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GOLDENGATE</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QSYSWRK</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ICSFMST</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ICSSYSC</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QUSRWRK</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OPSBACKUP</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QUSRSYS</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Q1ABRMNET</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QBRM</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ORDERPOST</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QUSRSYS</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RBTSLEEPER</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RBTSYSLIB</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PROCURE</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AMSCONFIG</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SLEEPER</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QGPL</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QBATCH</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SPYCS</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SPYVIEWC</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QCMN</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QSYS</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SPYGLASS</w:t>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SPYVIEWC</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QCTL</w:t>
            </w:r>
          </w:p>
        </w:tc>
        <w:tc>
          <w:tcPr>
            <w:tcW w:w="218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QSYS</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TSERVER</w:t>
            </w:r>
          </w:p>
        </w:tc>
        <w:tc>
          <w:tcPr>
            <w:tcW w:w="218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AMSCONFIG</w:t>
            </w:r>
          </w:p>
        </w:tc>
      </w:tr>
      <w:tr>
        <w:trPr>
          <w:cantSplit w:val="true"/>
        </w:trPr>
        <w:tc>
          <w:tcPr>
            <w:tcW w:w="2199"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QHTTPSVR</w:t>
            </w:r>
          </w:p>
        </w:tc>
        <w:tc>
          <w:tcPr>
            <w:tcW w:w="218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QHTTPSVR</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c>
          <w:tcPr>
            <w:tcW w:w="218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
          </w:p>
        </w:tc>
      </w:tr>
    </w:tbl>
    <w:p>
      <w:pPr>
        <w:pStyle w:val="Normal"/>
        <w:rPr/>
      </w:pPr>
      <w:r>
        <w:rPr/>
      </w:r>
      <w:r>
        <w:br w:type="page"/>
      </w:r>
    </w:p>
    <w:p>
      <w:pPr>
        <w:pStyle w:val="Heading1"/>
        <w:shd w:val="clear" w:fill="0D2340"/>
        <w:spacing w:before="0" w:after="0"/>
        <w:ind w:left="80"/>
        <w:rPr/>
      </w:pPr>
      <w:bookmarkStart w:id="44" w:name="__RefHeading___Toc4552_1452158057"/>
      <w:bookmarkEnd w:id="44"/>
      <w:r>
        <w:rPr>
          <w:rFonts w:eastAsia="Arial" w:cs="Arial" w:ascii="Arial" w:hAnsi="Arial"/>
          <w:b/>
          <w:bCs/>
          <w:color w:val="2E75B6"/>
          <w:sz w:val="22"/>
          <w:szCs w:val="22"/>
        </w:rPr>
        <w:t>23</w:t>
      </w:r>
      <w:r>
        <w:rPr>
          <w:rFonts w:eastAsia="Arial" w:cs="Arial" w:ascii="Arial" w:hAnsi="Arial"/>
          <w:sz w:val="22"/>
          <w:szCs w:val="22"/>
        </w:rPr>
        <w:t xml:space="preserve">   </w:t>
      </w:r>
      <w:r>
        <w:rPr>
          <w:rFonts w:eastAsia="Arial" w:cs="Arial" w:ascii="Arial" w:hAnsi="Arial"/>
          <w:b/>
          <w:bCs/>
          <w:color w:val="FFFFFF"/>
          <w:sz w:val="26"/>
          <w:szCs w:val="26"/>
        </w:rPr>
        <w:t>DNS &amp; NETWORK REFERENCE</w:t>
      </w:r>
    </w:p>
    <w:p>
      <w:pPr>
        <w:pStyle w:val="Normal"/>
        <w:shd w:val="clear" w:fill="1F4E79"/>
        <w:spacing w:before="0" w:after="160"/>
        <w:ind w:left="80"/>
        <w:rPr/>
      </w:pPr>
      <w:r>
        <w:rPr>
          <w:rFonts w:eastAsia="Arial" w:cs="Arial"/>
          <w:i/>
          <w:iCs/>
          <w:color w:val="EBF3FB"/>
          <w:sz w:val="18"/>
          <w:szCs w:val="18"/>
        </w:rPr>
        <w:t>Hostname Resolution — Normal vs. DR Active State</w:t>
      </w:r>
    </w:p>
    <w:tbl>
      <w:tblPr>
        <w:tblW w:w="9360" w:type="dxa"/>
        <w:jc w:val="left"/>
        <w:tblInd w:w="0" w:type="dxa"/>
        <w:tblLayout w:type="fixed"/>
        <w:tblCellMar>
          <w:top w:w="80" w:type="dxa"/>
          <w:left w:w="140" w:type="dxa"/>
          <w:bottom w:w="80" w:type="dxa"/>
          <w:right w:w="140" w:type="dxa"/>
        </w:tblCellMar>
      </w:tblPr>
      <w:tblGrid>
        <w:gridCol w:w="2600"/>
        <w:gridCol w:w="2199"/>
        <w:gridCol w:w="2201"/>
        <w:gridCol w:w="2359"/>
      </w:tblGrid>
      <w:tr>
        <w:trPr>
          <w:tblHeader w:val="true"/>
          <w:cantSplit w:val="true"/>
        </w:trPr>
        <w:tc>
          <w:tcPr>
            <w:tcW w:w="26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Hostname / Alias</w:t>
            </w:r>
          </w:p>
        </w:tc>
        <w:tc>
          <w:tcPr>
            <w:tcW w:w="219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Normal (Pre-DR)</w:t>
            </w:r>
          </w:p>
        </w:tc>
        <w:tc>
          <w:tcPr>
            <w:tcW w:w="2201"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DR State (Active)</w:t>
            </w:r>
          </w:p>
        </w:tc>
        <w:tc>
          <w:tcPr>
            <w:tcW w:w="2359"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Notes</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DEVA / DEVA.APPN.SNA.IBM.COM</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10.7.1.161 (Equinix)</w:t>
            </w:r>
          </w:p>
        </w:tc>
        <w:tc>
          <w:tcPr>
            <w:tcW w:w="22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10.7.1.231 (Temple)</w:t>
            </w:r>
          </w:p>
        </w:tc>
        <w:tc>
          <w:tcPr>
            <w:tcW w:w="23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Primary DEVA pointer — DNS change required</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BRMSDEVA</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10.7.1.231</w:t>
            </w:r>
          </w:p>
        </w:tc>
        <w:tc>
          <w:tcPr>
            <w:tcW w:w="22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10.7.1.161</w:t>
            </w:r>
          </w:p>
        </w:tc>
        <w:tc>
          <w:tcPr>
            <w:tcW w:w="23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BRMS hostname swaps</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WWDEVA.APPN.SNA.IBM.COM</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10.7.1.161</w:t>
            </w:r>
          </w:p>
        </w:tc>
        <w:tc>
          <w:tcPr>
            <w:tcW w:w="22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10.7.1.231</w:t>
            </w:r>
          </w:p>
        </w:tc>
        <w:tc>
          <w:tcPr>
            <w:tcW w:w="23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WW alias</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MXLDEVA / VDEVA / XMXLDEVA</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10.7.1.161</w:t>
            </w:r>
          </w:p>
        </w:tc>
        <w:tc>
          <w:tcPr>
            <w:tcW w:w="22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10.7.1.231</w:t>
            </w:r>
          </w:p>
        </w:tc>
        <w:tc>
          <w:tcPr>
            <w:tcW w:w="23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Additional aliases (PA, PE only)</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DEVAL</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N/A</w:t>
            </w:r>
          </w:p>
        </w:tc>
        <w:tc>
          <w:tcPr>
            <w:tcW w:w="22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10.7.1.231</w:t>
            </w:r>
          </w:p>
        </w:tc>
        <w:tc>
          <w:tcPr>
            <w:tcW w:w="23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DSS systems only (DSST, DSSC)</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DEVAC Console</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10.7.1.130</w:t>
            </w:r>
          </w:p>
        </w:tc>
        <w:tc>
          <w:tcPr>
            <w:tcW w:w="22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10.7.1.130</w:t>
            </w:r>
          </w:p>
        </w:tc>
        <w:tc>
          <w:tcPr>
            <w:tcW w:w="23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Equinix console — unchanged</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DEVAT Console</w:t>
            </w:r>
          </w:p>
        </w:tc>
        <w:tc>
          <w:tcPr>
            <w:tcW w:w="219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10.7.1.180</w:t>
            </w:r>
          </w:p>
        </w:tc>
        <w:tc>
          <w:tcPr>
            <w:tcW w:w="2201"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10.7.1.180</w:t>
            </w:r>
          </w:p>
        </w:tc>
        <w:tc>
          <w:tcPr>
            <w:tcW w:w="2359"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b w:val="false"/>
                <w:bCs w:val="false"/>
                <w:color w:val="44546A"/>
                <w:sz w:val="19"/>
                <w:szCs w:val="19"/>
              </w:rPr>
              <w:t>Temple console — PRIMARY during DR</w:t>
            </w:r>
          </w:p>
        </w:tc>
      </w:tr>
      <w:tr>
        <w:trPr>
          <w:cantSplit w:val="true"/>
        </w:trPr>
        <w:tc>
          <w:tcPr>
            <w:tcW w:w="2600" w:type="dxa"/>
            <w:tcBorders>
              <w:top w:val="single" w:sz="4" w:space="0" w:color="EBF3FB"/>
              <w:left w:val="single" w:sz="4" w:space="0" w:color="EBF3FB"/>
              <w:bottom w:val="single" w:sz="4" w:space="0" w:color="EBF3FB"/>
              <w:right w:val="single" w:sz="4" w:space="0" w:color="EBF3FB"/>
            </w:tcBorders>
            <w:shd w:fill="D6E4F0" w:val="clear"/>
          </w:tcPr>
          <w:p>
            <w:pPr>
              <w:pStyle w:val="Normal"/>
              <w:spacing w:before="0" w:after="0"/>
              <w:rPr/>
            </w:pPr>
            <w:r>
              <w:rPr>
                <w:rFonts w:eastAsia="Arial" w:cs="Arial"/>
                <w:b/>
                <w:bCs/>
                <w:color w:val="1A3A5C"/>
                <w:sz w:val="19"/>
                <w:szCs w:val="19"/>
              </w:rPr>
              <w:t>Mimix Replication</w:t>
            </w:r>
          </w:p>
        </w:tc>
        <w:tc>
          <w:tcPr>
            <w:tcW w:w="219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10.7.1.132 (DEVAC)</w:t>
            </w:r>
          </w:p>
        </w:tc>
        <w:tc>
          <w:tcPr>
            <w:tcW w:w="2201"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10.7.1.182 (DEVAT)</w:t>
            </w:r>
          </w:p>
        </w:tc>
        <w:tc>
          <w:tcPr>
            <w:tcW w:w="2359"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b w:val="false"/>
                <w:bCs w:val="false"/>
                <w:color w:val="44546A"/>
                <w:sz w:val="19"/>
                <w:szCs w:val="19"/>
              </w:rPr>
              <w:t>Direction reverses after PowerHA switchover</w:t>
            </w:r>
          </w:p>
        </w:tc>
      </w:tr>
    </w:tbl>
    <w:p>
      <w:pPr>
        <w:pStyle w:val="Normal"/>
        <w:rPr/>
      </w:pPr>
      <w:r>
        <w:rPr/>
      </w:r>
      <w:r>
        <w:br w:type="page"/>
      </w:r>
    </w:p>
    <w:p>
      <w:pPr>
        <w:pStyle w:val="Heading1"/>
        <w:shd w:val="clear" w:fill="0D2340"/>
        <w:spacing w:before="0" w:after="0"/>
        <w:ind w:left="80"/>
        <w:rPr/>
      </w:pPr>
      <w:bookmarkStart w:id="45" w:name="__RefHeading___Toc4554_1452158057"/>
      <w:bookmarkEnd w:id="45"/>
      <w:r>
        <w:rPr>
          <w:rFonts w:eastAsia="Arial" w:cs="Arial" w:ascii="Arial" w:hAnsi="Arial"/>
          <w:b/>
          <w:bCs/>
          <w:color w:val="2E75B6"/>
          <w:sz w:val="22"/>
          <w:szCs w:val="22"/>
        </w:rPr>
        <w:t>24</w:t>
      </w:r>
      <w:r>
        <w:rPr>
          <w:rFonts w:eastAsia="Arial" w:cs="Arial" w:ascii="Arial" w:hAnsi="Arial"/>
          <w:sz w:val="22"/>
          <w:szCs w:val="22"/>
        </w:rPr>
        <w:t xml:space="preserve">   </w:t>
      </w:r>
      <w:r>
        <w:rPr>
          <w:rFonts w:eastAsia="Arial" w:cs="Arial" w:ascii="Arial" w:hAnsi="Arial"/>
          <w:b/>
          <w:bCs/>
          <w:color w:val="FFFFFF"/>
          <w:sz w:val="26"/>
          <w:szCs w:val="26"/>
        </w:rPr>
        <w:t>QUICK REFERENCE — KEY COMMANDS</w:t>
      </w:r>
    </w:p>
    <w:p>
      <w:pPr>
        <w:pStyle w:val="Normal"/>
        <w:shd w:val="clear" w:fill="1F4E79"/>
        <w:spacing w:before="0" w:after="160"/>
        <w:ind w:left="80"/>
        <w:rPr/>
      </w:pPr>
      <w:r>
        <w:rPr>
          <w:rFonts w:eastAsia="Arial" w:cs="Arial"/>
          <w:i/>
          <w:iCs/>
          <w:color w:val="EBF3FB"/>
          <w:sz w:val="18"/>
          <w:szCs w:val="18"/>
        </w:rPr>
        <w:t>Critical Console Commands by Role</w:t>
      </w:r>
    </w:p>
    <w:tbl>
      <w:tblPr>
        <w:tblW w:w="9360" w:type="dxa"/>
        <w:jc w:val="left"/>
        <w:tblInd w:w="0" w:type="dxa"/>
        <w:tblLayout w:type="fixed"/>
        <w:tblCellMar>
          <w:top w:w="80" w:type="dxa"/>
          <w:left w:w="140" w:type="dxa"/>
          <w:bottom w:w="80" w:type="dxa"/>
          <w:right w:w="140" w:type="dxa"/>
        </w:tblCellMar>
      </w:tblPr>
      <w:tblGrid>
        <w:gridCol w:w="3200"/>
        <w:gridCol w:w="4360"/>
        <w:gridCol w:w="1800"/>
      </w:tblGrid>
      <w:tr>
        <w:trPr>
          <w:tblHeader w:val="true"/>
          <w:cantSplit w:val="true"/>
        </w:trPr>
        <w:tc>
          <w:tcPr>
            <w:tcW w:w="32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Command</w:t>
            </w:r>
          </w:p>
        </w:tc>
        <w:tc>
          <w:tcPr>
            <w:tcW w:w="436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Purpose</w:t>
            </w:r>
          </w:p>
        </w:tc>
        <w:tc>
          <w:tcPr>
            <w:tcW w:w="1800" w:type="dxa"/>
            <w:tcBorders>
              <w:top w:val="single" w:sz="4" w:space="0" w:color="1F4E79"/>
              <w:left w:val="single" w:sz="4" w:space="0" w:color="1F4E79"/>
              <w:bottom w:val="single" w:sz="4" w:space="0" w:color="1F4E79"/>
              <w:right w:val="single" w:sz="4" w:space="0" w:color="1F4E79"/>
            </w:tcBorders>
            <w:shd w:fill="1A3A5C" w:val="clear"/>
            <w:vAlign w:val="center"/>
          </w:tcPr>
          <w:p>
            <w:pPr>
              <w:pStyle w:val="Normal"/>
              <w:spacing w:before="0" w:after="0"/>
              <w:rPr/>
            </w:pPr>
            <w:r>
              <w:rPr>
                <w:rFonts w:eastAsia="Arial" w:cs="Arial"/>
                <w:b/>
                <w:bCs/>
                <w:color w:val="FFFFFF"/>
                <w:sz w:val="19"/>
                <w:szCs w:val="19"/>
              </w:rPr>
              <w:t>Who</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WRKCLU</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Main PowerHA entry point — all cluster operations</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WRKCLU OPTION(8)</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Work with *SYSBAS Cluster resources</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WRKCLU OPTION(9)</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PowerHA Resource Group operations — initiate switchover</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WRKCLU OPTION(10)</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Toolkit / ASP copy verification (used for flashing)</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WRKASPJOB</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Work with IASP jobs — end all before switchover</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CHKDUPLIBS IASP(DAHAIASP)</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Check for duplicate libraries in the IASP</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SETASPGRP ASPGRP(DAHAIASP)</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Set ASP Group for IASP object access</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QSECOFR</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WRKACTJOB SBS(QCTL)</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Monitor subsystem activity during Level 3 transitions</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ENDSBS / STRSBS</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End or Start a subsystem</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STRTCPSVR / ENDTCPSVR</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Start / End TCP server</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STRHOSTSVR</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Start IBM i host server (NetServer, ODBC)</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DSPSYSVAL SYSVAL(QABNORMSW)</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Check for abnormal system switch indicator</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DSPFMWSTS</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Display framework status</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WRKLICINF / GO LICPGM OPTION(10)</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Work with license information</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CALL QSFWINV / DSPSFWRSC</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Display software inventory / resources</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SYSMGMT</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RSLSETOID PRC(RBT)</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Reset Robot Schedule OID after a node change</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MLENGBR2</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RBTSYSLIB/RSLSHUTDWN</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Shutdown the RBTSLEEPER subsystem before Robot reset</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MLENGBR2</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STRSBS SBSD(RBTSYSLIB/RBTSLEEPER)</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Start the Robot Sleeper subsystem</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MLENGBR2</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GGSCI &gt; STOP MANAGER</w:t>
            </w:r>
          </w:p>
        </w:tc>
        <w:tc>
          <w:tcPr>
            <w:tcW w:w="436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Stop the GoldenGate manager from within GGSCI</w:t>
            </w:r>
          </w:p>
        </w:tc>
        <w:tc>
          <w:tcPr>
            <w:tcW w:w="1800" w:type="dxa"/>
            <w:tcBorders>
              <w:top w:val="single" w:sz="4" w:space="0" w:color="EBF3FB"/>
              <w:left w:val="single" w:sz="4" w:space="0" w:color="EBF3FB"/>
              <w:bottom w:val="single" w:sz="4" w:space="0" w:color="EBF3FB"/>
              <w:right w:val="single" w:sz="4" w:space="0" w:color="EBF3FB"/>
            </w:tcBorders>
            <w:shd w:fill="FFFFFF" w:val="clear"/>
          </w:tcPr>
          <w:p>
            <w:pPr>
              <w:pStyle w:val="Normal"/>
              <w:spacing w:before="0" w:after="0"/>
              <w:rPr/>
            </w:pPr>
            <w:r>
              <w:rPr>
                <w:rFonts w:eastAsia="Arial" w:cs="Arial"/>
                <w:color w:val="44546A"/>
                <w:sz w:val="19"/>
                <w:szCs w:val="19"/>
              </w:rPr>
              <w:t>MLENGBR2</w:t>
            </w:r>
          </w:p>
        </w:tc>
      </w:tr>
      <w:tr>
        <w:trPr>
          <w:cantSplit w:val="true"/>
        </w:trPr>
        <w:tc>
          <w:tcPr>
            <w:tcW w:w="32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ENDSBS SBS(GOLDENGATE) OPTION(*IMMED)</w:t>
            </w:r>
          </w:p>
        </w:tc>
        <w:tc>
          <w:tcPr>
            <w:tcW w:w="436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Immediately end the GoldenGate subsystem</w:t>
            </w:r>
          </w:p>
        </w:tc>
        <w:tc>
          <w:tcPr>
            <w:tcW w:w="1800" w:type="dxa"/>
            <w:tcBorders>
              <w:top w:val="single" w:sz="4" w:space="0" w:color="EBF3FB"/>
              <w:left w:val="single" w:sz="4" w:space="0" w:color="EBF3FB"/>
              <w:bottom w:val="single" w:sz="4" w:space="0" w:color="EBF3FB"/>
              <w:right w:val="single" w:sz="4" w:space="0" w:color="EBF3FB"/>
            </w:tcBorders>
            <w:shd w:fill="F2F6FA" w:val="clear"/>
          </w:tcPr>
          <w:p>
            <w:pPr>
              <w:pStyle w:val="Normal"/>
              <w:spacing w:before="0" w:after="0"/>
              <w:rPr/>
            </w:pPr>
            <w:r>
              <w:rPr>
                <w:rFonts w:eastAsia="Arial" w:cs="Arial"/>
                <w:color w:val="44546A"/>
                <w:sz w:val="19"/>
                <w:szCs w:val="19"/>
              </w:rPr>
              <w:t>MLENGBR2</w:t>
            </w:r>
          </w:p>
        </w:tc>
      </w:tr>
    </w:tbl>
    <w:p>
      <w:pPr>
        <w:pStyle w:val="Normal"/>
        <w:spacing w:before="200" w:after="200"/>
        <w:rPr/>
      </w:pPr>
      <w:r>
        <w:rPr/>
      </w:r>
    </w:p>
    <w:p>
      <w:pPr>
        <w:pStyle w:val="Normal"/>
        <w:spacing w:before="200" w:after="0"/>
        <w:jc w:val="center"/>
        <w:rPr/>
      </w:pPr>
      <w:r>
        <w:rPr>
          <w:rFonts w:eastAsia="Arial" w:cs="Arial"/>
          <w:i/>
          <w:iCs/>
          <w:color w:val="44546A"/>
          <w:sz w:val="17"/>
          <w:szCs w:val="17"/>
        </w:rPr>
        <w:t>End of Document  —  iSeries DEV Disaster Recovery Playbook  —  Version 1.0</w:t>
      </w:r>
    </w:p>
    <w:p>
      <w:pPr>
        <w:pStyle w:val="Normal"/>
        <w:jc w:val="center"/>
        <w:rPr/>
      </w:pPr>
      <w:r>
        <w:rPr>
          <w:rFonts w:eastAsia="Arial" w:cs="Arial"/>
          <w:b/>
          <w:bCs/>
          <w:color w:val="C00000"/>
          <w:sz w:val="17"/>
          <w:szCs w:val="17"/>
        </w:rPr>
        <w:t>CONFIDENTIAL — Internal Use Only — Unauthorized distribution is strictly prohibited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urier Ne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right" w:pos="9360" w:leader="none"/>
      </w:tabs>
      <w:spacing w:before="0" w:after="0"/>
      <w:rPr/>
    </w:pPr>
    <w:r>
      <w:rPr>
        <w:rFonts w:eastAsia="Arial" w:cs="Arial"/>
        <w:color w:val="8496A9"/>
        <w:sz w:val="17"/>
        <w:szCs w:val="17"/>
      </w:rPr>
      <w:t>McLane Company, Inc.  —  Internal Use Only</w:t>
      <w:tab/>
      <w:t xml:space="preserve">Page </w:t>
    </w:r>
    <w:r>
      <w:rPr/>
      <w:fldChar w:fldCharType="begin"/>
    </w:r>
    <w:r>
      <w:rPr/>
      <w:instrText xml:space="preserve"> PAGE </w:instrText>
    </w:r>
    <w:r>
      <w:rPr/>
      <w:fldChar w:fldCharType="separate"/>
    </w:r>
    <w:r>
      <w:rPr/>
      <w:t>39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right" w:pos="9360" w:leader="none"/>
      </w:tabs>
      <w:spacing w:before="0" w:after="0"/>
      <w:rPr/>
    </w:pPr>
    <w:r>
      <w:rPr>
        <w:rFonts w:eastAsia="Arial" w:cs="Arial"/>
        <w:color w:val="8496A9"/>
        <w:sz w:val="17"/>
        <w:szCs w:val="17"/>
      </w:rPr>
      <w:t>McLane Company, Inc.  —  Internal Use Only</w:t>
      <w:tab/>
      <w:t xml:space="preserve">Page </w:t>
    </w:r>
    <w:r>
      <w:rPr/>
      <w:fldChar w:fldCharType="begin"/>
    </w:r>
    <w:r>
      <w:rPr/>
      <w:instrText xml:space="preserve"> PAGE </w:instrText>
    </w:r>
    <w:r>
      <w:rPr/>
      <w:fldChar w:fldCharType="separate"/>
    </w:r>
    <w:r>
      <w:rPr/>
      <w:t>39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spacing w:before="0" w:after="0"/>
      <w:rPr/>
    </w:pPr>
    <w:r>
      <w:rPr>
        <w:rFonts w:eastAsia="Arial" w:cs="Arial"/>
        <w:color w:val="8496A9"/>
        <w:sz w:val="17"/>
        <w:szCs w:val="17"/>
      </w:rPr>
      <w:t>iSeries DEV  |  DR Playbook (Equinix → Temple)  |  Version 1.0</w:t>
    </w:r>
    <w:r>
      <w:rPr>
        <w:rFonts w:eastAsia="Arial" w:cs="Arial"/>
        <w:sz w:val="17"/>
        <w:szCs w:val="17"/>
      </w:rPr>
      <w:t xml:space="preserve">        </w:t>
    </w:r>
    <w:r>
      <w:rPr>
        <w:rFonts w:eastAsia="Arial" w:cs="Arial"/>
        <w:b/>
        <w:bCs/>
        <w:color w:val="C00000"/>
        <w:sz w:val="17"/>
        <w:szCs w:val="17"/>
      </w:rPr>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spacing w:before="0" w:after="0"/>
      <w:rPr/>
    </w:pPr>
    <w:r>
      <w:rPr>
        <w:rFonts w:eastAsia="Arial" w:cs="Arial"/>
        <w:color w:val="8496A9"/>
        <w:sz w:val="17"/>
        <w:szCs w:val="17"/>
      </w:rPr>
      <w:t>iSeries DEV  |  DR Playbook (Equinix → Temple)  |  Version 1.0</w:t>
    </w:r>
    <w:r>
      <w:rPr>
        <w:rFonts w:eastAsia="Arial" w:cs="Arial"/>
        <w:sz w:val="17"/>
        <w:szCs w:val="17"/>
      </w:rPr>
      <w:t xml:space="preserve">        </w:t>
    </w:r>
    <w:r>
      <w:rPr>
        <w:rFonts w:eastAsia="Arial" w:cs="Arial"/>
        <w:b/>
        <w:bCs/>
        <w:color w:val="C00000"/>
        <w:sz w:val="17"/>
        <w:szCs w:val="17"/>
      </w:rPr>
      <w:t>CONFIDENTIAL</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44546A"/>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44546A"/>
      <w:kern w:val="0"/>
      <w:sz w:val="20"/>
      <w:szCs w:val="20"/>
      <w:lang w:val="en-US" w:eastAsia="zh-CN" w:bidi="hi-IN"/>
    </w:rPr>
  </w:style>
  <w:style w:type="paragraph" w:styleId="Heading1">
    <w:name w:val="Heading 1"/>
    <w:basedOn w:val="Heading"/>
    <w:qFormat/>
    <w:pPr>
      <w:spacing w:before="360" w:after="0"/>
      <w:outlineLvl w:val="0"/>
    </w:pPr>
    <w:rPr>
      <w:rFonts w:ascii="Arial" w:hAnsi="Arial" w:eastAsia="Arial" w:cs="Arial"/>
      <w:b/>
      <w:bCs/>
      <w:color w:val="FFFFFF"/>
      <w:sz w:val="26"/>
      <w:szCs w:val="26"/>
    </w:rPr>
  </w:style>
  <w:style w:type="paragraph" w:styleId="Heading2">
    <w:name w:val="Heading 2"/>
    <w:basedOn w:val="Heading"/>
    <w:qFormat/>
    <w:pPr>
      <w:spacing w:before="200" w:after="60"/>
      <w:outlineLvl w:val="1"/>
    </w:pPr>
    <w:rPr>
      <w:rFonts w:ascii="Arial" w:hAnsi="Arial" w:eastAsia="Arial" w:cs="Arial"/>
      <w:b/>
      <w:bCs/>
      <w:color w:val="1A3A5C"/>
      <w:sz w:val="22"/>
      <w:szCs w:val="22"/>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44546A"/>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44546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39</Pages>
  <Words>6518</Words>
  <Characters>36483</Characters>
  <CharactersWithSpaces>42235</CharactersWithSpaces>
  <Paragraphs>1478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2026-06-17T07:23:29Z</dcterms:created>
  <dc:creator>Un-named</dc:creator>
  <dc:description/>
  <dc:language>en-US</dc:language>
  <cp:lastModifiedBy/>
  <dcterms:modified xsi:type="dcterms:W3CDTF">2026-06-17T07:24:43Z</dcterms:modified>
  <cp:revision>2</cp:revision>
  <dc:subject/>
  <dc:title/>
</cp:coreProperties>
</file>