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0"/>
        <w:rPr/>
      </w:pPr>
      <w:r>
        <w:rPr/>
      </w:r>
    </w:p>
    <w:p>
      <w:pPr>
        <w:pStyle w:val="Normal"/>
        <w:spacing w:before="0" w:after="0"/>
        <w:rPr/>
      </w:pPr>
      <w:r>
        <w:rPr>
          <w:rFonts w:eastAsia="Arial" w:cs="Arial"/>
          <w:b/>
          <w:bCs/>
          <w:color w:val="1A3A5C"/>
          <w:sz w:val="40"/>
          <w:szCs w:val="40"/>
        </w:rPr>
        <w:t>iSERIES DEV DISASTER RECOVERY</w:t>
      </w:r>
    </w:p>
    <w:p>
      <w:pPr>
        <w:pStyle w:val="Normal"/>
        <w:pBdr>
          <w:bottom w:val="single" w:sz="16" w:space="8" w:color="2E75B6"/>
        </w:pBdr>
        <w:spacing w:before="0" w:after="300"/>
        <w:rPr/>
      </w:pPr>
      <w:r>
        <w:rPr>
          <w:rFonts w:eastAsia="Arial" w:cs="Arial"/>
          <w:b/>
          <w:bCs/>
          <w:color w:val="2E75B6"/>
          <w:sz w:val="40"/>
          <w:szCs w:val="40"/>
        </w:rPr>
        <w:t>PLAYBOOK</w:t>
      </w:r>
    </w:p>
    <w:p>
      <w:pPr>
        <w:pStyle w:val="Normal"/>
        <w:spacing w:before="0" w:after="300"/>
        <w:rPr/>
      </w:pPr>
      <w:r>
        <w:rPr>
          <w:rFonts w:eastAsia="Arial" w:cs="Arial"/>
          <w:i/>
          <w:iCs/>
          <w:color w:val="44546A"/>
          <w:sz w:val="22"/>
          <w:szCs w:val="22"/>
        </w:rPr>
        <w:t>IBM i (iSeries)  —  Role Swap Execution Guide  |  DEVAT / Temple → DEVAC / Equinix</w:t>
      </w:r>
    </w:p>
    <w:tbl>
      <w:tblPr>
        <w:tblW w:w="9360" w:type="dxa"/>
        <w:jc w:val="left"/>
        <w:tblInd w:w="0" w:type="dxa"/>
        <w:tblLayout w:type="fixed"/>
        <w:tblCellMar>
          <w:top w:w="80" w:type="dxa"/>
          <w:left w:w="140" w:type="dxa"/>
          <w:bottom w:w="80" w:type="dxa"/>
          <w:right w:w="140" w:type="dxa"/>
        </w:tblCellMar>
      </w:tblPr>
      <w:tblGrid>
        <w:gridCol w:w="1900"/>
        <w:gridCol w:w="7459"/>
      </w:tblGrid>
      <w:tr>
        <w:trPr/>
        <w:tc>
          <w:tcPr>
            <w:tcW w:w="1900" w:type="dxa"/>
            <w:tcBorders>
              <w:top w:val="single" w:sz="4" w:space="0" w:color="EBF3FB"/>
              <w:left w:val="single" w:sz="4" w:space="0" w:color="EBF3FB"/>
              <w:bottom w:val="single" w:sz="4" w:space="0" w:color="EBF3FB"/>
              <w:right w:val="single" w:sz="4" w:space="0" w:color="EBF3FB"/>
            </w:tcBorders>
            <w:shd w:fill="D6E4F0" w:val="clear"/>
          </w:tcPr>
          <w:p>
            <w:pPr>
              <w:pStyle w:val="Normal"/>
              <w:rPr/>
            </w:pPr>
            <w:r>
              <w:rPr>
                <w:rFonts w:eastAsia="Arial" w:cs="Arial"/>
                <w:b/>
                <w:bCs/>
                <w:color w:val="1A3A5C"/>
                <w:sz w:val="19"/>
                <w:szCs w:val="19"/>
              </w:rPr>
              <w:t>Document Type</w:t>
            </w:r>
          </w:p>
        </w:tc>
        <w:tc>
          <w:tcPr>
            <w:tcW w:w="745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9"/>
                <w:szCs w:val="19"/>
              </w:rPr>
              <w:t>Disaster Recovery (DR) Runbook — Development Environment</w:t>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Pr>
          <w:p>
            <w:pPr>
              <w:pStyle w:val="Normal"/>
              <w:rPr/>
            </w:pPr>
            <w:r>
              <w:rPr>
                <w:rFonts w:eastAsia="Arial" w:cs="Arial"/>
                <w:b/>
                <w:bCs/>
                <w:color w:val="1A3A5C"/>
                <w:sz w:val="19"/>
                <w:szCs w:val="19"/>
              </w:rPr>
              <w:t>Environment</w:t>
            </w:r>
          </w:p>
        </w:tc>
        <w:tc>
          <w:tcPr>
            <w:tcW w:w="745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9"/>
                <w:szCs w:val="19"/>
              </w:rPr>
              <w:t>DEV — iSeries (IBM i)</w:t>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Pr>
          <w:p>
            <w:pPr>
              <w:pStyle w:val="Normal"/>
              <w:rPr/>
            </w:pPr>
            <w:r>
              <w:rPr>
                <w:rFonts w:eastAsia="Arial" w:cs="Arial"/>
                <w:b/>
                <w:bCs/>
                <w:color w:val="1A3A5C"/>
                <w:sz w:val="19"/>
                <w:szCs w:val="19"/>
              </w:rPr>
              <w:t>Source System</w:t>
            </w:r>
          </w:p>
        </w:tc>
        <w:tc>
          <w:tcPr>
            <w:tcW w:w="745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9"/>
                <w:szCs w:val="19"/>
              </w:rPr>
              <w:t>DEVAT / Temple — IP: 10.7.1.180</w:t>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Pr>
          <w:p>
            <w:pPr>
              <w:pStyle w:val="Normal"/>
              <w:rPr/>
            </w:pPr>
            <w:r>
              <w:rPr>
                <w:rFonts w:eastAsia="Arial" w:cs="Arial"/>
                <w:b/>
                <w:bCs/>
                <w:color w:val="1A3A5C"/>
                <w:sz w:val="19"/>
                <w:szCs w:val="19"/>
              </w:rPr>
              <w:t>Target System</w:t>
            </w:r>
          </w:p>
        </w:tc>
        <w:tc>
          <w:tcPr>
            <w:tcW w:w="745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9"/>
                <w:szCs w:val="19"/>
              </w:rPr>
              <w:t>DEVAC / Equinix — IP: 10.7.1.130</w:t>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Pr>
          <w:p>
            <w:pPr>
              <w:pStyle w:val="Normal"/>
              <w:rPr/>
            </w:pPr>
            <w:r>
              <w:rPr>
                <w:rFonts w:eastAsia="Arial" w:cs="Arial"/>
                <w:b/>
                <w:bCs/>
                <w:color w:val="1A3A5C"/>
                <w:sz w:val="19"/>
                <w:szCs w:val="19"/>
              </w:rPr>
              <w:t>HA Technology</w:t>
            </w:r>
          </w:p>
        </w:tc>
        <w:tc>
          <w:tcPr>
            <w:tcW w:w="745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9"/>
                <w:szCs w:val="19"/>
              </w:rPr>
              <w:t>IBM PowerHA SystemMirror — WRKCLU / DEVADEVCRG Resource Group</w:t>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Pr>
          <w:p>
            <w:pPr>
              <w:pStyle w:val="Normal"/>
              <w:rPr/>
            </w:pPr>
            <w:r>
              <w:rPr>
                <w:rFonts w:eastAsia="Arial" w:cs="Arial"/>
                <w:b/>
                <w:bCs/>
                <w:color w:val="1A3A5C"/>
                <w:sz w:val="19"/>
                <w:szCs w:val="19"/>
              </w:rPr>
              <w:t>Replication</w:t>
            </w:r>
          </w:p>
        </w:tc>
        <w:tc>
          <w:tcPr>
            <w:tcW w:w="745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9"/>
                <w:szCs w:val="19"/>
              </w:rPr>
              <w:t>Mimix — replication IPs: 10.7.1.182 / 10.7.1.132</w:t>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Pr>
          <w:p>
            <w:pPr>
              <w:pStyle w:val="Normal"/>
              <w:rPr/>
            </w:pPr>
            <w:r>
              <w:rPr>
                <w:rFonts w:eastAsia="Arial" w:cs="Arial"/>
                <w:b/>
                <w:bCs/>
                <w:color w:val="1A3A5C"/>
                <w:sz w:val="19"/>
                <w:szCs w:val="19"/>
              </w:rPr>
              <w:t>IASP</w:t>
            </w:r>
          </w:p>
        </w:tc>
        <w:tc>
          <w:tcPr>
            <w:tcW w:w="745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9"/>
                <w:szCs w:val="19"/>
              </w:rPr>
              <w:t>DAHAIASP — managed by PowerHA</w:t>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Pr>
          <w:p>
            <w:pPr>
              <w:pStyle w:val="Normal"/>
              <w:rPr/>
            </w:pPr>
            <w:r>
              <w:rPr>
                <w:rFonts w:eastAsia="Arial" w:cs="Arial"/>
                <w:b/>
                <w:bCs/>
                <w:color w:val="1A3A5C"/>
                <w:sz w:val="19"/>
                <w:szCs w:val="19"/>
              </w:rPr>
              <w:t>OS Version</w:t>
            </w:r>
          </w:p>
        </w:tc>
        <w:tc>
          <w:tcPr>
            <w:tcW w:w="745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9"/>
                <w:szCs w:val="19"/>
              </w:rPr>
              <w:t>IBM i OS 7.5</w:t>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Pr>
          <w:p>
            <w:pPr>
              <w:pStyle w:val="Normal"/>
              <w:rPr/>
            </w:pPr>
            <w:r>
              <w:rPr>
                <w:rFonts w:eastAsia="Arial" w:cs="Arial"/>
                <w:b/>
                <w:bCs/>
                <w:color w:val="1A3A5C"/>
                <w:sz w:val="19"/>
                <w:szCs w:val="19"/>
              </w:rPr>
              <w:t>Change Refs</w:t>
            </w:r>
          </w:p>
        </w:tc>
        <w:tc>
          <w:tcPr>
            <w:tcW w:w="745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9"/>
                <w:szCs w:val="19"/>
              </w:rPr>
              <w:t>CM-14792  |  ISERIES-840</w:t>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Pr>
          <w:p>
            <w:pPr>
              <w:pStyle w:val="Normal"/>
              <w:rPr/>
            </w:pPr>
            <w:r>
              <w:rPr>
                <w:rFonts w:eastAsia="Arial" w:cs="Arial"/>
                <w:b/>
                <w:bCs/>
                <w:color w:val="1A3A5C"/>
                <w:sz w:val="19"/>
                <w:szCs w:val="19"/>
              </w:rPr>
              <w:t>Classification</w:t>
            </w:r>
          </w:p>
        </w:tc>
        <w:tc>
          <w:tcPr>
            <w:tcW w:w="745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9"/>
                <w:szCs w:val="19"/>
              </w:rPr>
              <w:t>CONFIDENTIAL — INTERNAL USE ONLY</w:t>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Pr>
          <w:p>
            <w:pPr>
              <w:pStyle w:val="Normal"/>
              <w:rPr/>
            </w:pPr>
            <w:r>
              <w:rPr>
                <w:rFonts w:eastAsia="Arial" w:cs="Arial"/>
                <w:b/>
                <w:bCs/>
                <w:color w:val="1A3A5C"/>
                <w:sz w:val="19"/>
                <w:szCs w:val="19"/>
              </w:rPr>
              <w:t>Version</w:t>
            </w:r>
          </w:p>
        </w:tc>
        <w:tc>
          <w:tcPr>
            <w:tcW w:w="745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9"/>
                <w:szCs w:val="19"/>
              </w:rPr>
              <w:t>1.0 (Temple → Equinix direction)</w:t>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Pr>
          <w:p>
            <w:pPr>
              <w:pStyle w:val="Normal"/>
              <w:rPr/>
            </w:pPr>
            <w:r>
              <w:rPr>
                <w:rFonts w:eastAsia="Arial" w:cs="Arial"/>
                <w:b/>
                <w:bCs/>
                <w:color w:val="1A3A5C"/>
                <w:sz w:val="19"/>
                <w:szCs w:val="19"/>
              </w:rPr>
              <w:t>Prepared By</w:t>
            </w:r>
          </w:p>
        </w:tc>
        <w:tc>
          <w:tcPr>
            <w:tcW w:w="745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Pr>
          <w:p>
            <w:pPr>
              <w:pStyle w:val="Normal"/>
              <w:rPr/>
            </w:pPr>
            <w:r>
              <w:rPr>
                <w:rFonts w:eastAsia="Arial" w:cs="Arial"/>
                <w:b/>
                <w:bCs/>
                <w:color w:val="1A3A5C"/>
                <w:sz w:val="19"/>
                <w:szCs w:val="19"/>
              </w:rPr>
              <w:t>Reviewed By</w:t>
            </w:r>
          </w:p>
        </w:tc>
        <w:tc>
          <w:tcPr>
            <w:tcW w:w="745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Pr>
          <w:p>
            <w:pPr>
              <w:pStyle w:val="Normal"/>
              <w:rPr/>
            </w:pPr>
            <w:r>
              <w:rPr>
                <w:rFonts w:eastAsia="Arial" w:cs="Arial"/>
                <w:b/>
                <w:bCs/>
                <w:color w:val="1A3A5C"/>
                <w:sz w:val="19"/>
                <w:szCs w:val="19"/>
              </w:rPr>
              <w:t>Approved By</w:t>
            </w:r>
          </w:p>
        </w:tc>
        <w:tc>
          <w:tcPr>
            <w:tcW w:w="745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Pr>
          <w:p>
            <w:pPr>
              <w:pStyle w:val="Normal"/>
              <w:rPr/>
            </w:pPr>
            <w:r>
              <w:rPr>
                <w:rFonts w:eastAsia="Arial" w:cs="Arial"/>
                <w:b/>
                <w:bCs/>
                <w:color w:val="1A3A5C"/>
                <w:sz w:val="19"/>
                <w:szCs w:val="19"/>
              </w:rPr>
              <w:t>Last Updated</w:t>
            </w:r>
          </w:p>
        </w:tc>
        <w:tc>
          <w:tcPr>
            <w:tcW w:w="745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Pr>
          <w:p>
            <w:pPr>
              <w:pStyle w:val="Normal"/>
              <w:rPr/>
            </w:pPr>
            <w:r>
              <w:rPr>
                <w:rFonts w:eastAsia="Arial" w:cs="Arial"/>
                <w:b/>
                <w:bCs/>
                <w:color w:val="1A3A5C"/>
                <w:sz w:val="19"/>
                <w:szCs w:val="19"/>
              </w:rPr>
              <w:t>DR Test Date</w:t>
            </w:r>
          </w:p>
        </w:tc>
        <w:tc>
          <w:tcPr>
            <w:tcW w:w="745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r>
    </w:tbl>
    <w:p>
      <w:pPr>
        <w:pStyle w:val="Normal"/>
        <w:spacing w:before="200" w:after="200"/>
        <w:rPr/>
      </w:pPr>
      <w:r>
        <w:rPr/>
      </w:r>
    </w:p>
    <w:p>
      <w:pPr>
        <w:pStyle w:val="Normal"/>
        <w:jc w:val="center"/>
        <w:rPr/>
      </w:pPr>
      <w:r>
        <w:rPr>
          <w:rFonts w:eastAsia="Arial" w:cs="Arial"/>
          <w:b/>
          <w:bCs/>
          <w:color w:val="C00000"/>
          <w:sz w:val="17"/>
          <w:szCs w:val="17"/>
        </w:rPr>
        <w:t>This document is CONFIDENTIAL and intended for authorized personnel only. Unauthorized distribution is strictly prohibited.</w:t>
      </w:r>
      <w:r>
        <w:br w:type="page"/>
      </w:r>
    </w:p>
    <w:p>
      <w:pPr>
        <w:pStyle w:val="Normal"/>
        <w:shd w:val="clear" w:fill="0D2340"/>
        <w:spacing w:before="360" w:after="0"/>
        <w:ind w:left="80"/>
        <w:rPr/>
      </w:pPr>
      <w:r>
        <w:rPr>
          <w:rFonts w:eastAsia="Arial" w:cs="Arial"/>
          <w:b/>
          <w:bCs/>
          <w:color w:val="FFFFFF"/>
          <w:sz w:val="26"/>
          <w:szCs w:val="26"/>
        </w:rPr>
        <w:t>INDEX</w:t>
      </w:r>
    </w:p>
    <w:p>
      <w:pPr>
        <w:pStyle w:val="Normal"/>
        <w:shd w:val="clear" w:fill="1F4E79"/>
        <w:spacing w:before="0" w:after="200"/>
        <w:ind w:left="80"/>
        <w:rPr/>
      </w:pPr>
      <w:r>
        <w:rPr>
          <w:rFonts w:eastAsia="Arial" w:cs="Arial"/>
          <w:i/>
          <w:iCs/>
          <w:color w:val="EBF3FB"/>
          <w:sz w:val="18"/>
          <w:szCs w:val="18"/>
        </w:rPr>
        <w:t>Section Listing &amp; Page Reference</w:t>
      </w:r>
    </w:p>
    <w:p>
      <w:pPr>
        <w:pStyle w:val="Normal"/>
        <w:spacing w:before="0" w:after="200"/>
        <w:rPr/>
      </w:pPr>
      <w:r>
        <w:rPr>
          <w:rFonts w:eastAsia="Arial" w:cs="Arial"/>
          <w:i/>
          <w:iCs/>
          <w:color w:val="44546A"/>
          <w:sz w:val="20"/>
          <w:szCs w:val="20"/>
        </w:rPr>
        <w:t>This index is generated from the section and subsection headings below. In Microsoft Word, right-click anywhere in the listing and choose "Update Field" (or press F9) to refresh page numbers after any edits.</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\o "1-2" \h</w:instrText>
          </w:r>
          <w:r>
            <w:rPr>
              <w:rStyle w:val="IndexLink"/>
            </w:rPr>
            <w:fldChar w:fldCharType="separate"/>
          </w:r>
          <w:hyperlink w:anchor="__RefHeading___Toc4471_3284268967">
            <w:r>
              <w:rPr>
                <w:rStyle w:val="IndexLink"/>
              </w:rPr>
              <w:t>1 EXECUTIVE SUMMARY</w:t>
              <w:tab/>
              <w:t>3</w:t>
            </w:r>
          </w:hyperlink>
        </w:p>
        <w:p>
          <w:pPr>
            <w:pStyle w:val="TOC2"/>
            <w:tabs>
              <w:tab w:val="clear" w:pos="9077"/>
              <w:tab w:val="right" w:pos="9359" w:leader="dot"/>
            </w:tabs>
            <w:rPr/>
          </w:pPr>
          <w:hyperlink w:anchor="__RefHeading___Toc4473_3284268967">
            <w:r>
              <w:rPr>
                <w:rStyle w:val="IndexLink"/>
              </w:rPr>
              <w:t>1.1 DR Lifecycle — Phase Overview</w:t>
              <w:tab/>
              <w:t>3</w:t>
            </w:r>
          </w:hyperlink>
        </w:p>
        <w:p>
          <w:pPr>
            <w:pStyle w:val="TOC1"/>
            <w:tabs>
              <w:tab w:val="clear" w:pos="9360"/>
              <w:tab w:val="right" w:pos="9359" w:leader="dot"/>
            </w:tabs>
            <w:rPr/>
          </w:pPr>
          <w:hyperlink w:anchor="__RefHeading___Toc4475_3284268967">
            <w:r>
              <w:rPr>
                <w:rStyle w:val="IndexLink"/>
              </w:rPr>
              <w:t>2 SCOPE &amp; ENVIRONMENT</w:t>
              <w:tab/>
              <w:t>5</w:t>
            </w:r>
          </w:hyperlink>
        </w:p>
        <w:p>
          <w:pPr>
            <w:pStyle w:val="TOC2"/>
            <w:tabs>
              <w:tab w:val="clear" w:pos="9077"/>
              <w:tab w:val="right" w:pos="9359" w:leader="dot"/>
            </w:tabs>
            <w:rPr/>
          </w:pPr>
          <w:hyperlink w:anchor="__RefHeading___Toc4477_3284268967">
            <w:r>
              <w:rPr>
                <w:rStyle w:val="IndexLink"/>
              </w:rPr>
              <w:t>2.1 Technology Stack</w:t>
              <w:tab/>
              <w:t>5</w:t>
            </w:r>
          </w:hyperlink>
        </w:p>
        <w:p>
          <w:pPr>
            <w:pStyle w:val="TOC2"/>
            <w:tabs>
              <w:tab w:val="clear" w:pos="9077"/>
              <w:tab w:val="right" w:pos="9359" w:leader="dot"/>
            </w:tabs>
            <w:rPr/>
          </w:pPr>
          <w:hyperlink w:anchor="__RefHeading___Toc4479_3284268967">
            <w:r>
              <w:rPr>
                <w:rStyle w:val="IndexLink"/>
              </w:rPr>
              <w:t>2.2 Source / Target Systems</w:t>
              <w:tab/>
              <w:t>5</w:t>
            </w:r>
          </w:hyperlink>
        </w:p>
        <w:p>
          <w:pPr>
            <w:pStyle w:val="TOC2"/>
            <w:tabs>
              <w:tab w:val="clear" w:pos="9077"/>
              <w:tab w:val="right" w:pos="9359" w:leader="dot"/>
            </w:tabs>
            <w:rPr/>
          </w:pPr>
          <w:hyperlink w:anchor="__RefHeading___Toc4481_3284268967">
            <w:r>
              <w:rPr>
                <w:rStyle w:val="IndexLink"/>
              </w:rPr>
              <w:t>2.3 Scope Details</w:t>
              <w:tab/>
              <w:t>5</w:t>
            </w:r>
          </w:hyperlink>
        </w:p>
        <w:p>
          <w:pPr>
            <w:pStyle w:val="TOC1"/>
            <w:tabs>
              <w:tab w:val="clear" w:pos="9360"/>
              <w:tab w:val="right" w:pos="9359" w:leader="dot"/>
            </w:tabs>
            <w:rPr/>
          </w:pPr>
          <w:hyperlink w:anchor="__RefHeading___Toc4483_3284268967">
            <w:r>
              <w:rPr>
                <w:rStyle w:val="IndexLink"/>
              </w:rPr>
              <w:t>3 ROLES &amp; CONTACTS</w:t>
              <w:tab/>
              <w:t>6</w:t>
            </w:r>
          </w:hyperlink>
        </w:p>
        <w:p>
          <w:pPr>
            <w:pStyle w:val="TOC1"/>
            <w:tabs>
              <w:tab w:val="clear" w:pos="9360"/>
              <w:tab w:val="right" w:pos="9359" w:leader="dot"/>
            </w:tabs>
            <w:rPr/>
          </w:pPr>
          <w:hyperlink w:anchor="__RefHeading___Toc4485_3284268967">
            <w:r>
              <w:rPr>
                <w:rStyle w:val="IndexLink"/>
              </w:rPr>
              <w:t>4 PREREQUISITES &amp; PRE-DR CHECKS</w:t>
              <w:tab/>
              <w:t>7</w:t>
            </w:r>
          </w:hyperlink>
        </w:p>
        <w:p>
          <w:pPr>
            <w:pStyle w:val="TOC2"/>
            <w:tabs>
              <w:tab w:val="clear" w:pos="9077"/>
              <w:tab w:val="right" w:pos="9359" w:leader="dot"/>
            </w:tabs>
            <w:rPr/>
          </w:pPr>
          <w:hyperlink w:anchor="__RefHeading___Toc4487_3284268967">
            <w:r>
              <w:rPr>
                <w:rStyle w:val="IndexLink"/>
              </w:rPr>
              <w:t>4.1 Required Before Starting DR</w:t>
              <w:tab/>
              <w:t>7</w:t>
            </w:r>
          </w:hyperlink>
        </w:p>
        <w:p>
          <w:pPr>
            <w:pStyle w:val="TOC2"/>
            <w:tabs>
              <w:tab w:val="clear" w:pos="9077"/>
              <w:tab w:val="right" w:pos="9359" w:leader="dot"/>
            </w:tabs>
            <w:rPr/>
          </w:pPr>
          <w:hyperlink w:anchor="__RefHeading___Toc4489_3284268967">
            <w:r>
              <w:rPr>
                <w:rStyle w:val="IndexLink"/>
              </w:rPr>
              <w:t>4.2 PowerHA Pre-Checks</w:t>
              <w:tab/>
              <w:t>7</w:t>
            </w:r>
          </w:hyperlink>
        </w:p>
        <w:p>
          <w:pPr>
            <w:pStyle w:val="TOC2"/>
            <w:tabs>
              <w:tab w:val="clear" w:pos="9077"/>
              <w:tab w:val="right" w:pos="9359" w:leader="dot"/>
            </w:tabs>
            <w:rPr/>
          </w:pPr>
          <w:hyperlink w:anchor="__RefHeading___Toc4491_3284268967">
            <w:r>
              <w:rPr>
                <w:rStyle w:val="IndexLink"/>
              </w:rPr>
              <w:t>4.3 GoldenGate Pre-Checks</w:t>
              <w:tab/>
              <w:t>7</w:t>
            </w:r>
          </w:hyperlink>
        </w:p>
        <w:p>
          <w:pPr>
            <w:pStyle w:val="TOC1"/>
            <w:tabs>
              <w:tab w:val="clear" w:pos="9360"/>
              <w:tab w:val="right" w:pos="9359" w:leader="dot"/>
            </w:tabs>
            <w:rPr/>
          </w:pPr>
          <w:hyperlink w:anchor="__RefHeading___Toc4493_3284268967">
            <w:r>
              <w:rPr>
                <w:rStyle w:val="IndexLink"/>
              </w:rPr>
              <w:t>5 PRE-DR PREPARATION &amp; ENVIRONMENT CHECKS</w:t>
              <w:tab/>
              <w:t>9</w:t>
            </w:r>
          </w:hyperlink>
        </w:p>
        <w:p>
          <w:pPr>
            <w:pStyle w:val="TOC1"/>
            <w:tabs>
              <w:tab w:val="clear" w:pos="9360"/>
              <w:tab w:val="right" w:pos="9359" w:leader="dot"/>
            </w:tabs>
            <w:rPr/>
          </w:pPr>
          <w:hyperlink w:anchor="__RefHeading___Toc4495_3284268967">
            <w:r>
              <w:rPr>
                <w:rStyle w:val="IndexLink"/>
              </w:rPr>
              <w:t>6 DNS UPDATE</w:t>
              <w:tab/>
              <w:t>10</w:t>
            </w:r>
          </w:hyperlink>
        </w:p>
        <w:p>
          <w:pPr>
            <w:pStyle w:val="TOC1"/>
            <w:tabs>
              <w:tab w:val="clear" w:pos="9360"/>
              <w:tab w:val="right" w:pos="9359" w:leader="dot"/>
            </w:tabs>
            <w:rPr/>
          </w:pPr>
          <w:hyperlink w:anchor="__RefHeading___Toc4497_3284268967">
            <w:r>
              <w:rPr>
                <w:rStyle w:val="IndexLink"/>
              </w:rPr>
              <w:t>7 STOP GOLDENGATE &amp; END SUBSYSTEMS</w:t>
              <w:tab/>
              <w:t>11</w:t>
            </w:r>
          </w:hyperlink>
        </w:p>
        <w:p>
          <w:pPr>
            <w:pStyle w:val="TOC1"/>
            <w:tabs>
              <w:tab w:val="clear" w:pos="9360"/>
              <w:tab w:val="right" w:pos="9359" w:leader="dot"/>
            </w:tabs>
            <w:rPr/>
          </w:pPr>
          <w:hyperlink w:anchor="__RefHeading___Toc4499_3284268967">
            <w:r>
              <w:rPr>
                <w:rStyle w:val="IndexLink"/>
              </w:rPr>
              <w:t>8 POWERHA CLUSTER OPERATIONS &amp; IASP SWITCHOVER</w:t>
              <w:tab/>
              <w:t>12</w:t>
            </w:r>
          </w:hyperlink>
        </w:p>
        <w:p>
          <w:pPr>
            <w:pStyle w:val="TOC2"/>
            <w:tabs>
              <w:tab w:val="clear" w:pos="9077"/>
              <w:tab w:val="right" w:pos="9359" w:leader="dot"/>
            </w:tabs>
            <w:rPr/>
          </w:pPr>
          <w:hyperlink w:anchor="__RefHeading___Toc4501_3284268967">
            <w:r>
              <w:rPr>
                <w:rStyle w:val="IndexLink"/>
              </w:rPr>
              <w:t>8.1 Pre-Switchover Checks</w:t>
              <w:tab/>
              <w:t>12</w:t>
            </w:r>
          </w:hyperlink>
        </w:p>
        <w:p>
          <w:pPr>
            <w:pStyle w:val="TOC2"/>
            <w:tabs>
              <w:tab w:val="clear" w:pos="9077"/>
              <w:tab w:val="right" w:pos="9359" w:leader="dot"/>
            </w:tabs>
            <w:rPr/>
          </w:pPr>
          <w:hyperlink w:anchor="__RefHeading___Toc4503_3284268967">
            <w:r>
              <w:rPr>
                <w:rStyle w:val="IndexLink"/>
              </w:rPr>
              <w:t>8.2 Initiate the Switchover</w:t>
              <w:tab/>
              <w:t>12</w:t>
            </w:r>
          </w:hyperlink>
        </w:p>
        <w:p>
          <w:pPr>
            <w:pStyle w:val="TOC2"/>
            <w:tabs>
              <w:tab w:val="clear" w:pos="9077"/>
              <w:tab w:val="right" w:pos="9359" w:leader="dot"/>
            </w:tabs>
            <w:rPr/>
          </w:pPr>
          <w:hyperlink w:anchor="__RefHeading___Toc4505_3284268967">
            <w:r>
              <w:rPr>
                <w:rStyle w:val="IndexLink"/>
              </w:rPr>
              <w:t>8.3 Monitor Switchover Progress</w:t>
              <w:tab/>
              <w:t>13</w:t>
            </w:r>
          </w:hyperlink>
        </w:p>
        <w:p>
          <w:pPr>
            <w:pStyle w:val="TOC1"/>
            <w:tabs>
              <w:tab w:val="clear" w:pos="9360"/>
              <w:tab w:val="right" w:pos="9359" w:leader="dot"/>
            </w:tabs>
            <w:rPr/>
          </w:pPr>
          <w:hyperlink w:anchor="__RefHeading___Toc4507_3284268967">
            <w:r>
              <w:rPr>
                <w:rStyle w:val="IndexLink"/>
              </w:rPr>
              <w:t>9 MIMIX REPLICATION VERIFICATION</w:t>
              <w:tab/>
              <w:t>14</w:t>
            </w:r>
          </w:hyperlink>
        </w:p>
        <w:p>
          <w:pPr>
            <w:pStyle w:val="TOC1"/>
            <w:tabs>
              <w:tab w:val="clear" w:pos="9360"/>
              <w:tab w:val="right" w:pos="9359" w:leader="dot"/>
            </w:tabs>
            <w:rPr/>
          </w:pPr>
          <w:hyperlink w:anchor="__RefHeading___Toc4509_3284268967">
            <w:r>
              <w:rPr>
                <w:rStyle w:val="IndexLink"/>
              </w:rPr>
              <w:t>10 POST-SWITCHOVER CLUSTER VERIFICATION</w:t>
              <w:tab/>
              <w:t>15</w:t>
            </w:r>
          </w:hyperlink>
        </w:p>
        <w:p>
          <w:pPr>
            <w:pStyle w:val="TOC1"/>
            <w:tabs>
              <w:tab w:val="clear" w:pos="9360"/>
              <w:tab w:val="right" w:pos="9359" w:leader="dot"/>
            </w:tabs>
            <w:rPr/>
          </w:pPr>
          <w:hyperlink w:anchor="__RefHeading___Toc4511_3284268967">
            <w:r>
              <w:rPr>
                <w:rStyle w:val="IndexLink"/>
              </w:rPr>
              <w:t>11 APPLY 3RD-PARTY SOFTWARE KEYS</w:t>
              <w:tab/>
              <w:t>16</w:t>
            </w:r>
          </w:hyperlink>
        </w:p>
        <w:p>
          <w:pPr>
            <w:pStyle w:val="TOC2"/>
            <w:tabs>
              <w:tab w:val="clear" w:pos="9077"/>
              <w:tab w:val="right" w:pos="9359" w:leader="dot"/>
            </w:tabs>
            <w:rPr/>
          </w:pPr>
          <w:hyperlink w:anchor="__RefHeading___Toc4513_3284268967">
            <w:r>
              <w:rPr>
                <w:rStyle w:val="IndexLink"/>
              </w:rPr>
              <w:t>11.1 Spyview Key (SN# 7858201, LPAR 002)</w:t>
              <w:tab/>
              <w:t>16</w:t>
            </w:r>
          </w:hyperlink>
        </w:p>
        <w:p>
          <w:pPr>
            <w:pStyle w:val="TOC2"/>
            <w:tabs>
              <w:tab w:val="clear" w:pos="9077"/>
              <w:tab w:val="right" w:pos="9359" w:leader="dot"/>
            </w:tabs>
            <w:rPr/>
          </w:pPr>
          <w:hyperlink w:anchor="__RefHeading___Toc4515_3284268967">
            <w:r>
              <w:rPr>
                <w:rStyle w:val="IndexLink"/>
              </w:rPr>
              <w:t>11.2 Turnover Key (SN# 7858201, LPAR 002)</w:t>
              <w:tab/>
              <w:t>17</w:t>
            </w:r>
          </w:hyperlink>
        </w:p>
        <w:p>
          <w:pPr>
            <w:pStyle w:val="TOC2"/>
            <w:tabs>
              <w:tab w:val="clear" w:pos="9077"/>
              <w:tab w:val="right" w:pos="9359" w:leader="dot"/>
            </w:tabs>
            <w:rPr/>
          </w:pPr>
          <w:hyperlink w:anchor="__RefHeading___Toc4517_3284268967">
            <w:r>
              <w:rPr>
                <w:rStyle w:val="IndexLink"/>
              </w:rPr>
              <w:t>11.3 DSI Key (90-Day, by Serial Number)</w:t>
              <w:tab/>
              <w:t>17</w:t>
            </w:r>
          </w:hyperlink>
        </w:p>
        <w:p>
          <w:pPr>
            <w:pStyle w:val="TOC2"/>
            <w:tabs>
              <w:tab w:val="clear" w:pos="9077"/>
              <w:tab w:val="right" w:pos="9359" w:leader="dot"/>
            </w:tabs>
            <w:rPr/>
          </w:pPr>
          <w:hyperlink w:anchor="__RefHeading___Toc4519_3284268967">
            <w:r>
              <w:rPr>
                <w:rStyle w:val="IndexLink"/>
              </w:rPr>
              <w:t>11.4 JDE World Keys (A7.3 cum 7, SN# 7858201)</w:t>
              <w:tab/>
              <w:t>19</w:t>
            </w:r>
          </w:hyperlink>
        </w:p>
        <w:p>
          <w:pPr>
            <w:pStyle w:val="TOC2"/>
            <w:tabs>
              <w:tab w:val="clear" w:pos="9077"/>
              <w:tab w:val="right" w:pos="9359" w:leader="dot"/>
            </w:tabs>
            <w:rPr/>
          </w:pPr>
          <w:hyperlink w:anchor="__RefHeading___Toc4521_3284268967">
            <w:r>
              <w:rPr>
                <w:rStyle w:val="IndexLink"/>
              </w:rPr>
              <w:t>11.5 DXRECOV System Install Key</w:t>
              <w:tab/>
              <w:t>20</w:t>
            </w:r>
          </w:hyperlink>
        </w:p>
        <w:p>
          <w:pPr>
            <w:pStyle w:val="TOC2"/>
            <w:tabs>
              <w:tab w:val="clear" w:pos="9077"/>
              <w:tab w:val="right" w:pos="9359" w:leader="dot"/>
            </w:tabs>
            <w:rPr/>
          </w:pPr>
          <w:hyperlink w:anchor="__RefHeading___Toc4523_3284268967">
            <w:r>
              <w:rPr>
                <w:rStyle w:val="IndexLink"/>
              </w:rPr>
              <w:t>11.6 Robot Schedule Reset</w:t>
              <w:tab/>
              <w:t>21</w:t>
            </w:r>
          </w:hyperlink>
        </w:p>
        <w:p>
          <w:pPr>
            <w:pStyle w:val="TOC1"/>
            <w:tabs>
              <w:tab w:val="clear" w:pos="9360"/>
              <w:tab w:val="right" w:pos="9359" w:leader="dot"/>
            </w:tabs>
            <w:rPr/>
          </w:pPr>
          <w:hyperlink w:anchor="__RefHeading___Toc4525_3284268967">
            <w:r>
              <w:rPr>
                <w:rStyle w:val="IndexLink"/>
              </w:rPr>
              <w:t>12 TCP HOST TABLE UPDATES</w:t>
              <w:tab/>
              <w:t>22</w:t>
            </w:r>
          </w:hyperlink>
        </w:p>
        <w:p>
          <w:pPr>
            <w:pStyle w:val="TOC2"/>
            <w:tabs>
              <w:tab w:val="clear" w:pos="9077"/>
              <w:tab w:val="right" w:pos="9359" w:leader="dot"/>
            </w:tabs>
            <w:rPr/>
          </w:pPr>
          <w:hyperlink w:anchor="__RefHeading___Toc4527_3284268967">
            <w:r>
              <w:rPr>
                <w:rStyle w:val="IndexLink"/>
              </w:rPr>
              <w:t>12.1 PRODA (PA) Host Table</w:t>
              <w:tab/>
              <w:t>22</w:t>
            </w:r>
          </w:hyperlink>
        </w:p>
        <w:p>
          <w:pPr>
            <w:pStyle w:val="TOC2"/>
            <w:tabs>
              <w:tab w:val="clear" w:pos="9077"/>
              <w:tab w:val="right" w:pos="9359" w:leader="dot"/>
            </w:tabs>
            <w:rPr/>
          </w:pPr>
          <w:hyperlink w:anchor="__RefHeading___Toc4529_3284268967">
            <w:r>
              <w:rPr>
                <w:rStyle w:val="IndexLink"/>
              </w:rPr>
              <w:t>12.2 PRODE (PE) Host Table</w:t>
              <w:tab/>
              <w:t>22</w:t>
            </w:r>
          </w:hyperlink>
        </w:p>
        <w:p>
          <w:pPr>
            <w:pStyle w:val="TOC2"/>
            <w:tabs>
              <w:tab w:val="clear" w:pos="9077"/>
              <w:tab w:val="right" w:pos="9359" w:leader="dot"/>
            </w:tabs>
            <w:rPr/>
          </w:pPr>
          <w:hyperlink w:anchor="__RefHeading___Toc4531_3284268967">
            <w:r>
              <w:rPr>
                <w:rStyle w:val="IndexLink"/>
              </w:rPr>
              <w:t>12.3 DEVAC/Equinix Host Table</w:t>
              <w:tab/>
              <w:t>23</w:t>
            </w:r>
          </w:hyperlink>
        </w:p>
        <w:p>
          <w:pPr>
            <w:pStyle w:val="TOC2"/>
            <w:tabs>
              <w:tab w:val="clear" w:pos="9077"/>
              <w:tab w:val="right" w:pos="9359" w:leader="dot"/>
            </w:tabs>
            <w:rPr/>
          </w:pPr>
          <w:hyperlink w:anchor="__RefHeading___Toc4533_3284268967">
            <w:r>
              <w:rPr>
                <w:rStyle w:val="IndexLink"/>
              </w:rPr>
              <w:t>12.4 DEVAT/Temple Host Table</w:t>
              <w:tab/>
              <w:t>23</w:t>
            </w:r>
          </w:hyperlink>
        </w:p>
        <w:p>
          <w:pPr>
            <w:pStyle w:val="TOC2"/>
            <w:tabs>
              <w:tab w:val="clear" w:pos="9077"/>
              <w:tab w:val="right" w:pos="9359" w:leader="dot"/>
            </w:tabs>
            <w:rPr/>
          </w:pPr>
          <w:hyperlink w:anchor="__RefHeading___Toc4535_3284268967">
            <w:r>
              <w:rPr>
                <w:rStyle w:val="IndexLink"/>
              </w:rPr>
              <w:t>12.5 PRODDSS (DSST) Host Table</w:t>
              <w:tab/>
              <w:t>24</w:t>
            </w:r>
          </w:hyperlink>
        </w:p>
        <w:p>
          <w:pPr>
            <w:pStyle w:val="TOC2"/>
            <w:tabs>
              <w:tab w:val="clear" w:pos="9077"/>
              <w:tab w:val="right" w:pos="9359" w:leader="dot"/>
            </w:tabs>
            <w:rPr/>
          </w:pPr>
          <w:hyperlink w:anchor="__RefHeading___Toc4537_3284268967">
            <w:r>
              <w:rPr>
                <w:rStyle w:val="IndexLink"/>
              </w:rPr>
              <w:t>12.6 PRODDSSC (DSSC) Host Table</w:t>
              <w:tab/>
              <w:t>24</w:t>
            </w:r>
          </w:hyperlink>
        </w:p>
        <w:p>
          <w:pPr>
            <w:pStyle w:val="TOC1"/>
            <w:tabs>
              <w:tab w:val="clear" w:pos="9360"/>
              <w:tab w:val="right" w:pos="9359" w:leader="dot"/>
            </w:tabs>
            <w:rPr/>
          </w:pPr>
          <w:hyperlink w:anchor="__RefHeading___Toc4539_3284268967">
            <w:r>
              <w:rPr>
                <w:rStyle w:val="IndexLink"/>
              </w:rPr>
              <w:t>13 APPLY FASTFAX KEY &amp; VALIDATE</w:t>
              <w:tab/>
              <w:t>25</w:t>
            </w:r>
          </w:hyperlink>
        </w:p>
        <w:p>
          <w:pPr>
            <w:pStyle w:val="TOC1"/>
            <w:tabs>
              <w:tab w:val="clear" w:pos="9360"/>
              <w:tab w:val="right" w:pos="9359" w:leader="dot"/>
            </w:tabs>
            <w:rPr/>
          </w:pPr>
          <w:hyperlink w:anchor="__RefHeading___Toc4541_3284268967">
            <w:r>
              <w:rPr>
                <w:rStyle w:val="IndexLink"/>
              </w:rPr>
              <w:t>14 HANDOVER TO TESTERS &amp; START LEVEL 3</w:t>
              <w:tab/>
              <w:t>27</w:t>
            </w:r>
          </w:hyperlink>
        </w:p>
        <w:p>
          <w:pPr>
            <w:pStyle w:val="TOC1"/>
            <w:tabs>
              <w:tab w:val="clear" w:pos="9360"/>
              <w:tab w:val="right" w:pos="9359" w:leader="dot"/>
            </w:tabs>
            <w:rPr/>
          </w:pPr>
          <w:hyperlink w:anchor="__RefHeading___Toc4543_3284268967">
            <w:r>
              <w:rPr>
                <w:rStyle w:val="IndexLink"/>
              </w:rPr>
              <w:t>15 POST-DR JOBS &amp; FINAL CLEANUP</w:t>
              <w:tab/>
              <w:t>28</w:t>
            </w:r>
          </w:hyperlink>
        </w:p>
        <w:p>
          <w:pPr>
            <w:pStyle w:val="TOC1"/>
            <w:tabs>
              <w:tab w:val="clear" w:pos="9360"/>
              <w:tab w:val="right" w:pos="9359" w:leader="dot"/>
            </w:tabs>
            <w:rPr/>
          </w:pPr>
          <w:hyperlink w:anchor="__RefHeading___Toc4545_3284268967">
            <w:r>
              <w:rPr>
                <w:rStyle w:val="IndexLink"/>
              </w:rPr>
              <w:t>16 GOLDENGATE RESTART &amp; APPLICATION SERVICES</w:t>
              <w:tab/>
              <w:t>29</w:t>
            </w:r>
          </w:hyperlink>
        </w:p>
        <w:p>
          <w:pPr>
            <w:pStyle w:val="TOC1"/>
            <w:tabs>
              <w:tab w:val="clear" w:pos="9360"/>
              <w:tab w:val="right" w:pos="9359" w:leader="dot"/>
            </w:tabs>
            <w:rPr/>
          </w:pPr>
          <w:hyperlink w:anchor="__RefHeading___Toc4547_3284268967">
            <w:r>
              <w:rPr>
                <w:rStyle w:val="IndexLink"/>
              </w:rPr>
              <w:t>17 ROBOT NETWORK GUI CONFIGURATION</w:t>
              <w:tab/>
              <w:t>30</w:t>
            </w:r>
          </w:hyperlink>
        </w:p>
        <w:p>
          <w:pPr>
            <w:pStyle w:val="TOC1"/>
            <w:tabs>
              <w:tab w:val="clear" w:pos="9360"/>
              <w:tab w:val="right" w:pos="9359" w:leader="dot"/>
            </w:tabs>
            <w:rPr/>
          </w:pPr>
          <w:hyperlink w:anchor="__RefHeading___Toc4549_3284268967">
            <w:r>
              <w:rPr>
                <w:rStyle w:val="IndexLink"/>
              </w:rPr>
              <w:t>18 DR EXECUTION SIGN-OFF</w:t>
              <w:tab/>
              <w:t>31</w:t>
            </w:r>
          </w:hyperlink>
        </w:p>
        <w:p>
          <w:pPr>
            <w:pStyle w:val="TOC1"/>
            <w:tabs>
              <w:tab w:val="clear" w:pos="9360"/>
              <w:tab w:val="right" w:pos="9359" w:leader="dot"/>
            </w:tabs>
            <w:rPr/>
          </w:pPr>
          <w:hyperlink w:anchor="__RefHeading___Toc4551_3284268967">
            <w:r>
              <w:rPr>
                <w:rStyle w:val="IndexLink"/>
              </w:rPr>
              <w:t>19 DETAILED POST-DR VERIFICATION CHECKLIST</w:t>
              <w:tab/>
              <w:t>32</w:t>
            </w:r>
          </w:hyperlink>
        </w:p>
        <w:p>
          <w:pPr>
            <w:pStyle w:val="TOC1"/>
            <w:tabs>
              <w:tab w:val="clear" w:pos="9360"/>
              <w:tab w:val="right" w:pos="9359" w:leader="dot"/>
            </w:tabs>
            <w:rPr/>
          </w:pPr>
          <w:hyperlink w:anchor="__RefHeading___Toc4553_3284268967">
            <w:r>
              <w:rPr>
                <w:rStyle w:val="IndexLink"/>
              </w:rPr>
              <w:t>20 KNOWN ISSUES &amp; WORKAROUNDS</w:t>
              <w:tab/>
              <w:t>35</w:t>
            </w:r>
          </w:hyperlink>
        </w:p>
        <w:p>
          <w:pPr>
            <w:pStyle w:val="TOC1"/>
            <w:tabs>
              <w:tab w:val="clear" w:pos="9360"/>
              <w:tab w:val="right" w:pos="9359" w:leader="dot"/>
            </w:tabs>
            <w:rPr/>
          </w:pPr>
          <w:hyperlink w:anchor="__RefHeading___Toc4555_3284268967">
            <w:r>
              <w:rPr>
                <w:rStyle w:val="IndexLink"/>
              </w:rPr>
              <w:t>21 SOFTWARE LICENSE KEY REFERENCE</w:t>
              <w:tab/>
              <w:t>36</w:t>
            </w:r>
          </w:hyperlink>
        </w:p>
        <w:p>
          <w:pPr>
            <w:pStyle w:val="TOC1"/>
            <w:tabs>
              <w:tab w:val="clear" w:pos="9360"/>
              <w:tab w:val="right" w:pos="9359" w:leader="dot"/>
            </w:tabs>
            <w:rPr/>
          </w:pPr>
          <w:hyperlink w:anchor="__RefHeading___Toc4557_3284268967">
            <w:r>
              <w:rPr>
                <w:rStyle w:val="IndexLink"/>
              </w:rPr>
              <w:t>22 EXPECTED ACTIVE SUBSYSTEMS — DEVAC/EQUINIX</w:t>
              <w:tab/>
              <w:t>38</w:t>
            </w:r>
          </w:hyperlink>
        </w:p>
        <w:p>
          <w:pPr>
            <w:pStyle w:val="TOC1"/>
            <w:tabs>
              <w:tab w:val="clear" w:pos="9360"/>
              <w:tab w:val="right" w:pos="9359" w:leader="dot"/>
            </w:tabs>
            <w:rPr/>
          </w:pPr>
          <w:hyperlink w:anchor="__RefHeading___Toc4559_3284268967">
            <w:r>
              <w:rPr>
                <w:rStyle w:val="IndexLink"/>
              </w:rPr>
              <w:t>23 DNS &amp; NETWORK REFERENCE</w:t>
              <w:tab/>
              <w:t>39</w:t>
            </w:r>
          </w:hyperlink>
        </w:p>
        <w:p>
          <w:pPr>
            <w:pStyle w:val="TOC1"/>
            <w:tabs>
              <w:tab w:val="clear" w:pos="9360"/>
              <w:tab w:val="right" w:pos="9359" w:leader="dot"/>
            </w:tabs>
            <w:rPr/>
          </w:pPr>
          <w:hyperlink w:anchor="__RefHeading___Toc4561_3284268967">
            <w:r>
              <w:rPr>
                <w:rStyle w:val="IndexLink"/>
              </w:rPr>
              <w:t>24 QUICK REFERENCE — KEY COMMANDS</w:t>
              <w:tab/>
              <w:t>40</w:t>
            </w:r>
          </w:hyperlink>
          <w:r>
            <w:rPr>
              <w:rStyle w:val="IndexLink"/>
            </w:rPr>
            <w:fldChar w:fldCharType="end"/>
          </w:r>
        </w:p>
      </w:sdtContent>
    </w:sdt>
    <w:p>
      <w:pPr>
        <w:pStyle w:val="Normal"/>
        <w:rPr/>
      </w:pPr>
      <w:r>
        <w:rPr/>
      </w:r>
      <w:r>
        <w:br w:type="page"/>
      </w:r>
    </w:p>
    <w:p>
      <w:pPr>
        <w:pStyle w:val="Heading1"/>
        <w:shd w:val="clear" w:fill="0D2340"/>
        <w:spacing w:before="360" w:after="0"/>
        <w:ind w:left="80"/>
        <w:rPr/>
      </w:pPr>
      <w:bookmarkStart w:id="0" w:name="__RefHeading___Toc4471_3284268967"/>
      <w:bookmarkEnd w:id="0"/>
      <w:r>
        <w:rPr>
          <w:rFonts w:eastAsia="Arial" w:cs="Arial" w:ascii="Arial" w:hAnsi="Arial"/>
          <w:b/>
          <w:bCs/>
          <w:color w:val="2E75B6"/>
          <w:sz w:val="22"/>
          <w:szCs w:val="22"/>
        </w:rPr>
        <w:t>1</w:t>
      </w:r>
      <w:r>
        <w:rPr>
          <w:rFonts w:eastAsia="Arial" w:cs="Arial" w:ascii="Arial" w:hAnsi="Arial"/>
          <w:sz w:val="22"/>
          <w:szCs w:val="22"/>
        </w:rPr>
        <w:t xml:space="preserve">   </w:t>
      </w:r>
      <w:r>
        <w:rPr>
          <w:rFonts w:eastAsia="Arial" w:cs="Arial" w:ascii="Arial" w:hAnsi="Arial"/>
          <w:b/>
          <w:bCs/>
          <w:color w:val="FFFFFF"/>
          <w:sz w:val="26"/>
          <w:szCs w:val="26"/>
        </w:rPr>
        <w:t>EXECUTIVE SUMMARY</w:t>
      </w:r>
    </w:p>
    <w:p>
      <w:pPr>
        <w:pStyle w:val="Normal"/>
        <w:shd w:val="clear" w:fill="1F4E79"/>
        <w:spacing w:before="0" w:after="160"/>
        <w:ind w:left="80"/>
        <w:rPr/>
      </w:pPr>
      <w:r>
        <w:rPr>
          <w:rFonts w:eastAsia="Arial" w:cs="Arial"/>
          <w:i/>
          <w:iCs/>
          <w:color w:val="EBF3FB"/>
          <w:sz w:val="18"/>
          <w:szCs w:val="18"/>
        </w:rPr>
        <w:t>Purpose, Scope &amp; Governance Framework</w:t>
      </w:r>
    </w:p>
    <w:p>
      <w:pPr>
        <w:pStyle w:val="Normal"/>
        <w:spacing w:before="0" w:after="120"/>
        <w:rPr/>
      </w:pPr>
      <w:r>
        <w:rPr>
          <w:rFonts w:eastAsia="Arial" w:cs="Arial"/>
          <w:i w:val="false"/>
          <w:iCs w:val="false"/>
          <w:color w:val="44546A"/>
          <w:sz w:val="20"/>
          <w:szCs w:val="20"/>
        </w:rPr>
        <w:t>This Disaster Recovery Playbook defines the step-by-step procedure to activate the iSeries DEV Disaster Recovery environment by switching the active IBM i partition from DEVAT/Temple (primary) to DEVAC/Equinix (DR target). The switchover is orchestrated using IBM PowerHA SystemMirror for the IASP (DAHAIASP), with Mimix providing continuous journal-based replication between the two sites.</w:t>
      </w:r>
    </w:p>
    <w:p>
      <w:pPr>
        <w:pStyle w:val="Normal"/>
        <w:spacing w:before="0" w:after="200"/>
        <w:rPr/>
      </w:pPr>
      <w:r>
        <w:rPr>
          <w:rFonts w:eastAsia="Arial" w:cs="Arial"/>
          <w:i w:val="false"/>
          <w:iCs w:val="false"/>
          <w:color w:val="44546A"/>
          <w:sz w:val="20"/>
          <w:szCs w:val="20"/>
        </w:rPr>
        <w:t>This document covers the role swap from DEVAT/Temple to DEVAC/Equinix. The same PowerHA/Mimix switchover mechanism applies in either direction. License key values in Section 11 (serial number and LPAR number) are tied to the physical partition — confirm the correct values for DEVAC before applying, as they are not necessarily identical to the DEVAT values shown in the companion Equinix → Temple playbook.</w:t>
      </w:r>
    </w:p>
    <w:tbl>
      <w:tblPr>
        <w:tblW w:w="9360" w:type="dxa"/>
        <w:jc w:val="left"/>
        <w:tblInd w:w="0" w:type="dxa"/>
        <w:tblLayout w:type="fixed"/>
        <w:tblCellMar>
          <w:top w:w="90" w:type="dxa"/>
          <w:left w:w="160" w:type="dxa"/>
          <w:bottom w:w="90" w:type="dxa"/>
          <w:right w:w="160" w:type="dxa"/>
        </w:tblCellMar>
      </w:tblPr>
      <w:tblGrid>
        <w:gridCol w:w="1900"/>
        <w:gridCol w:w="7459"/>
      </w:tblGrid>
      <w:tr>
        <w:trPr/>
        <w:tc>
          <w:tcPr>
            <w:tcW w:w="9359" w:type="dxa"/>
            <w:gridSpan w:val="2"/>
            <w:tcBorders>
              <w:top w:val="single" w:sz="4" w:space="0" w:color="1A3A5C"/>
              <w:left w:val="single" w:sz="4" w:space="0" w:color="1A3A5C"/>
              <w:bottom w:val="single" w:sz="4" w:space="0" w:color="1A3A5C"/>
              <w:right w:val="single" w:sz="4" w:space="0" w:color="1A3A5C"/>
            </w:tcBorders>
            <w:shd w:fill="1A3A5C" w:val="clear"/>
          </w:tcPr>
          <w:p>
            <w:pPr>
              <w:pStyle w:val="Normal"/>
              <w:rPr/>
            </w:pPr>
            <w:r>
              <w:rPr>
                <w:rFonts w:eastAsia="Arial" w:cs="Arial"/>
                <w:b/>
                <w:bCs/>
                <w:color w:val="FFFFFF"/>
                <w:sz w:val="19"/>
                <w:szCs w:val="19"/>
              </w:rPr>
              <w:t>KEY FACTS &amp; GOVERNANCE PARAMETERS</w:t>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Mar>
              <w:top w:w="80" w:type="dxa"/>
              <w:left w:w="140" w:type="dxa"/>
              <w:bottom w:w="80" w:type="dxa"/>
              <w:right w:w="140" w:type="dxa"/>
            </w:tcMar>
          </w:tcPr>
          <w:p>
            <w:pPr>
              <w:pStyle w:val="Normal"/>
              <w:rPr/>
            </w:pPr>
            <w:r>
              <w:rPr>
                <w:rFonts w:eastAsia="Arial" w:cs="Arial"/>
                <w:b/>
                <w:bCs/>
                <w:color w:val="1A3A5C"/>
                <w:sz w:val="19"/>
                <w:szCs w:val="19"/>
              </w:rPr>
              <w:t>Objective</w:t>
            </w:r>
          </w:p>
        </w:tc>
        <w:tc>
          <w:tcPr>
            <w:tcW w:w="7459" w:type="dxa"/>
            <w:tcBorders>
              <w:top w:val="single" w:sz="4" w:space="0" w:color="EBF3FB"/>
              <w:left w:val="single" w:sz="4" w:space="0" w:color="EBF3FB"/>
              <w:bottom w:val="single" w:sz="4" w:space="0" w:color="EBF3FB"/>
              <w:right w:val="single" w:sz="4" w:space="0" w:color="EBF3FB"/>
            </w:tcBorders>
            <w:shd w:fill="FFFFFF" w:val="clear"/>
            <w:tcMar>
              <w:top w:w="80" w:type="dxa"/>
              <w:left w:w="140" w:type="dxa"/>
              <w:bottom w:w="80" w:type="dxa"/>
              <w:right w:w="140" w:type="dxa"/>
            </w:tcMar>
          </w:tcPr>
          <w:p>
            <w:pPr>
              <w:pStyle w:val="Normal"/>
              <w:rPr/>
            </w:pPr>
            <w:r>
              <w:rPr>
                <w:rFonts w:eastAsia="Arial" w:cs="Arial"/>
                <w:color w:val="44546A"/>
                <w:sz w:val="19"/>
                <w:szCs w:val="19"/>
              </w:rPr>
              <w:t>Switch the active IBM i partition from DEVAT/Temple (primary) to DEVAC/Equinix (DR target) with minimum disruption and full auditability.</w:t>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Mar>
              <w:top w:w="80" w:type="dxa"/>
              <w:left w:w="140" w:type="dxa"/>
              <w:bottom w:w="80" w:type="dxa"/>
              <w:right w:w="140" w:type="dxa"/>
            </w:tcMar>
          </w:tcPr>
          <w:p>
            <w:pPr>
              <w:pStyle w:val="Normal"/>
              <w:rPr/>
            </w:pPr>
            <w:r>
              <w:rPr>
                <w:rFonts w:eastAsia="Arial" w:cs="Arial"/>
                <w:b/>
                <w:bCs/>
                <w:color w:val="1A3A5C"/>
                <w:sz w:val="19"/>
                <w:szCs w:val="19"/>
              </w:rPr>
              <w:t>Scope</w:t>
            </w:r>
          </w:p>
        </w:tc>
        <w:tc>
          <w:tcPr>
            <w:tcW w:w="7459" w:type="dxa"/>
            <w:tcBorders>
              <w:top w:val="single" w:sz="4" w:space="0" w:color="EBF3FB"/>
              <w:left w:val="single" w:sz="4" w:space="0" w:color="EBF3FB"/>
              <w:bottom w:val="single" w:sz="4" w:space="0" w:color="EBF3FB"/>
              <w:right w:val="single" w:sz="4" w:space="0" w:color="EBF3FB"/>
            </w:tcBorders>
            <w:shd w:fill="FFFFFF" w:val="clear"/>
            <w:tcMar>
              <w:top w:w="80" w:type="dxa"/>
              <w:left w:w="140" w:type="dxa"/>
              <w:bottom w:w="80" w:type="dxa"/>
              <w:right w:w="140" w:type="dxa"/>
            </w:tcMar>
          </w:tcPr>
          <w:p>
            <w:pPr>
              <w:pStyle w:val="Normal"/>
              <w:rPr/>
            </w:pPr>
            <w:r>
              <w:rPr>
                <w:rFonts w:eastAsia="Arial" w:cs="Arial"/>
                <w:color w:val="44546A"/>
                <w:sz w:val="19"/>
                <w:szCs w:val="19"/>
              </w:rPr>
              <w:t>IBM i (iSeries) DEV environment — PowerHA-controlled IASP switchover, Mimix replication reversal, 3rd-party software key application, TCP host table updates, and full post-DR validation.</w:t>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Mar>
              <w:top w:w="80" w:type="dxa"/>
              <w:left w:w="140" w:type="dxa"/>
              <w:bottom w:w="80" w:type="dxa"/>
              <w:right w:w="140" w:type="dxa"/>
            </w:tcMar>
          </w:tcPr>
          <w:p>
            <w:pPr>
              <w:pStyle w:val="Normal"/>
              <w:rPr/>
            </w:pPr>
            <w:r>
              <w:rPr>
                <w:rFonts w:eastAsia="Arial" w:cs="Arial"/>
                <w:b/>
                <w:bCs/>
                <w:color w:val="1A3A5C"/>
                <w:sz w:val="19"/>
                <w:szCs w:val="19"/>
              </w:rPr>
              <w:t>Source Facility</w:t>
            </w:r>
          </w:p>
        </w:tc>
        <w:tc>
          <w:tcPr>
            <w:tcW w:w="7459" w:type="dxa"/>
            <w:tcBorders>
              <w:top w:val="single" w:sz="4" w:space="0" w:color="EBF3FB"/>
              <w:left w:val="single" w:sz="4" w:space="0" w:color="EBF3FB"/>
              <w:bottom w:val="single" w:sz="4" w:space="0" w:color="EBF3FB"/>
              <w:right w:val="single" w:sz="4" w:space="0" w:color="EBF3FB"/>
            </w:tcBorders>
            <w:shd w:fill="FFFFFF" w:val="clear"/>
            <w:tcMar>
              <w:top w:w="80" w:type="dxa"/>
              <w:left w:w="140" w:type="dxa"/>
              <w:bottom w:w="80" w:type="dxa"/>
              <w:right w:w="140" w:type="dxa"/>
            </w:tcMar>
          </w:tcPr>
          <w:p>
            <w:pPr>
              <w:pStyle w:val="Normal"/>
              <w:rPr/>
            </w:pPr>
            <w:r>
              <w:rPr>
                <w:rFonts w:eastAsia="Arial" w:cs="Arial"/>
                <w:color w:val="44546A"/>
                <w:sz w:val="19"/>
                <w:szCs w:val="19"/>
              </w:rPr>
              <w:t>DEVAC is hosted at Equinix. DEVAT is hosted at Temple. These are the two sites in scope for this DR role swap.</w:t>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Mar>
              <w:top w:w="80" w:type="dxa"/>
              <w:left w:w="140" w:type="dxa"/>
              <w:bottom w:w="80" w:type="dxa"/>
              <w:right w:w="140" w:type="dxa"/>
            </w:tcMar>
          </w:tcPr>
          <w:p>
            <w:pPr>
              <w:pStyle w:val="Normal"/>
              <w:rPr/>
            </w:pPr>
            <w:r>
              <w:rPr>
                <w:rFonts w:eastAsia="Arial" w:cs="Arial"/>
                <w:b/>
                <w:bCs/>
                <w:color w:val="1A3A5C"/>
                <w:sz w:val="19"/>
                <w:szCs w:val="19"/>
              </w:rPr>
              <w:t>HA Strategy</w:t>
            </w:r>
          </w:p>
        </w:tc>
        <w:tc>
          <w:tcPr>
            <w:tcW w:w="7459" w:type="dxa"/>
            <w:tcBorders>
              <w:top w:val="single" w:sz="4" w:space="0" w:color="EBF3FB"/>
              <w:left w:val="single" w:sz="4" w:space="0" w:color="EBF3FB"/>
              <w:bottom w:val="single" w:sz="4" w:space="0" w:color="EBF3FB"/>
              <w:right w:val="single" w:sz="4" w:space="0" w:color="EBF3FB"/>
            </w:tcBorders>
            <w:shd w:fill="FFFFFF" w:val="clear"/>
            <w:tcMar>
              <w:top w:w="80" w:type="dxa"/>
              <w:left w:w="140" w:type="dxa"/>
              <w:bottom w:w="80" w:type="dxa"/>
              <w:right w:w="140" w:type="dxa"/>
            </w:tcMar>
          </w:tcPr>
          <w:p>
            <w:pPr>
              <w:pStyle w:val="Normal"/>
              <w:rPr/>
            </w:pPr>
            <w:r>
              <w:rPr>
                <w:rFonts w:eastAsia="Arial" w:cs="Arial"/>
                <w:color w:val="44546A"/>
                <w:sz w:val="19"/>
                <w:szCs w:val="19"/>
              </w:rPr>
              <w:t>IBM PowerHA SystemMirror controls the IASP (DAHAIASP) switchover via the DEVADEVCRG cluster resource group across 4 cluster nodes. Mimix reverses replication direction once the switchover completes.</w:t>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Mar>
              <w:top w:w="80" w:type="dxa"/>
              <w:left w:w="140" w:type="dxa"/>
              <w:bottom w:w="80" w:type="dxa"/>
              <w:right w:w="140" w:type="dxa"/>
            </w:tcMar>
          </w:tcPr>
          <w:p>
            <w:pPr>
              <w:pStyle w:val="Normal"/>
              <w:rPr/>
            </w:pPr>
            <w:r>
              <w:rPr>
                <w:rFonts w:eastAsia="Arial" w:cs="Arial"/>
                <w:b/>
                <w:bCs/>
                <w:color w:val="1A3A5C"/>
                <w:sz w:val="19"/>
                <w:szCs w:val="19"/>
              </w:rPr>
              <w:t>Target RTO</w:t>
            </w:r>
          </w:p>
        </w:tc>
        <w:tc>
          <w:tcPr>
            <w:tcW w:w="7459" w:type="dxa"/>
            <w:tcBorders>
              <w:top w:val="single" w:sz="4" w:space="0" w:color="EBF3FB"/>
              <w:left w:val="single" w:sz="4" w:space="0" w:color="EBF3FB"/>
              <w:bottom w:val="single" w:sz="4" w:space="0" w:color="EBF3FB"/>
              <w:right w:val="single" w:sz="4" w:space="0" w:color="EBF3FB"/>
            </w:tcBorders>
            <w:shd w:fill="FFFFFF" w:val="clear"/>
            <w:tcMar>
              <w:top w:w="80" w:type="dxa"/>
              <w:left w:w="140" w:type="dxa"/>
              <w:bottom w:w="80" w:type="dxa"/>
              <w:right w:w="140" w:type="dxa"/>
            </w:tcMar>
          </w:tcPr>
          <w:p>
            <w:pPr>
              <w:pStyle w:val="Normal"/>
              <w:rPr/>
            </w:pPr>
            <w:r>
              <w:rPr>
                <w:rFonts w:eastAsia="Arial" w:cs="Arial"/>
                <w:color w:val="44546A"/>
                <w:sz w:val="19"/>
                <w:szCs w:val="19"/>
              </w:rPr>
              <w:t>To be defined by management based on business criticality tiers. Currently under review.</w:t>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Mar>
              <w:top w:w="80" w:type="dxa"/>
              <w:left w:w="140" w:type="dxa"/>
              <w:bottom w:w="80" w:type="dxa"/>
              <w:right w:w="140" w:type="dxa"/>
            </w:tcMar>
          </w:tcPr>
          <w:p>
            <w:pPr>
              <w:pStyle w:val="Normal"/>
              <w:rPr/>
            </w:pPr>
            <w:r>
              <w:rPr>
                <w:rFonts w:eastAsia="Arial" w:cs="Arial"/>
                <w:b/>
                <w:bCs/>
                <w:color w:val="1A3A5C"/>
                <w:sz w:val="19"/>
                <w:szCs w:val="19"/>
              </w:rPr>
              <w:t>Target RPO</w:t>
            </w:r>
          </w:p>
        </w:tc>
        <w:tc>
          <w:tcPr>
            <w:tcW w:w="7459" w:type="dxa"/>
            <w:tcBorders>
              <w:top w:val="single" w:sz="4" w:space="0" w:color="EBF3FB"/>
              <w:left w:val="single" w:sz="4" w:space="0" w:color="EBF3FB"/>
              <w:bottom w:val="single" w:sz="4" w:space="0" w:color="EBF3FB"/>
              <w:right w:val="single" w:sz="4" w:space="0" w:color="EBF3FB"/>
            </w:tcBorders>
            <w:shd w:fill="FFFFFF" w:val="clear"/>
            <w:tcMar>
              <w:top w:w="80" w:type="dxa"/>
              <w:left w:w="140" w:type="dxa"/>
              <w:bottom w:w="80" w:type="dxa"/>
              <w:right w:w="140" w:type="dxa"/>
            </w:tcMar>
          </w:tcPr>
          <w:p>
            <w:pPr>
              <w:pStyle w:val="Normal"/>
              <w:rPr/>
            </w:pPr>
            <w:r>
              <w:rPr>
                <w:rFonts w:eastAsia="Arial" w:cs="Arial"/>
                <w:color w:val="44546A"/>
                <w:sz w:val="19"/>
                <w:szCs w:val="19"/>
              </w:rPr>
              <w:t>Near-zero data loss — Mimix journal-based replication ensures minimal data loss under normal switchover conditions.</w:t>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Mar>
              <w:top w:w="80" w:type="dxa"/>
              <w:left w:w="140" w:type="dxa"/>
              <w:bottom w:w="80" w:type="dxa"/>
              <w:right w:w="140" w:type="dxa"/>
            </w:tcMar>
          </w:tcPr>
          <w:p>
            <w:pPr>
              <w:pStyle w:val="Normal"/>
              <w:rPr/>
            </w:pPr>
            <w:r>
              <w:rPr>
                <w:rFonts w:eastAsia="Arial" w:cs="Arial"/>
                <w:b/>
                <w:bCs/>
                <w:color w:val="1A3A5C"/>
                <w:sz w:val="19"/>
                <w:szCs w:val="19"/>
              </w:rPr>
              <w:t>Evidence Policy</w:t>
            </w:r>
          </w:p>
        </w:tc>
        <w:tc>
          <w:tcPr>
            <w:tcW w:w="7459" w:type="dxa"/>
            <w:tcBorders>
              <w:top w:val="single" w:sz="4" w:space="0" w:color="EBF3FB"/>
              <w:left w:val="single" w:sz="4" w:space="0" w:color="EBF3FB"/>
              <w:bottom w:val="single" w:sz="4" w:space="0" w:color="EBF3FB"/>
              <w:right w:val="single" w:sz="4" w:space="0" w:color="EBF3FB"/>
            </w:tcBorders>
            <w:shd w:fill="FFF2CC" w:val="clear"/>
            <w:tcMar>
              <w:top w:w="80" w:type="dxa"/>
              <w:left w:w="140" w:type="dxa"/>
              <w:bottom w:w="80" w:type="dxa"/>
              <w:right w:w="140" w:type="dxa"/>
            </w:tcMar>
          </w:tcPr>
          <w:p>
            <w:pPr>
              <w:pStyle w:val="Normal"/>
              <w:rPr/>
            </w:pPr>
            <w:r>
              <w:rPr>
                <w:rFonts w:eastAsia="Arial" w:cs="Arial"/>
                <w:color w:val="44546A"/>
                <w:sz w:val="19"/>
                <w:szCs w:val="19"/>
              </w:rPr>
              <w:t>Verification evidence (completion record, timestamp, and system output) is required at every milestone identified as a checkpoint in this playbook. Administrative and preparatory steps are tracked via step-level completion only.</w:t>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Mar>
              <w:top w:w="80" w:type="dxa"/>
              <w:left w:w="140" w:type="dxa"/>
              <w:bottom w:w="80" w:type="dxa"/>
              <w:right w:w="140" w:type="dxa"/>
            </w:tcMar>
          </w:tcPr>
          <w:p>
            <w:pPr>
              <w:pStyle w:val="Normal"/>
              <w:rPr/>
            </w:pPr>
            <w:r>
              <w:rPr>
                <w:rFonts w:eastAsia="Arial" w:cs="Arial"/>
                <w:b/>
                <w:bCs/>
                <w:color w:val="1A3A5C"/>
                <w:sz w:val="19"/>
                <w:szCs w:val="19"/>
              </w:rPr>
              <w:t>Escalation Threshold</w:t>
            </w:r>
          </w:p>
        </w:tc>
        <w:tc>
          <w:tcPr>
            <w:tcW w:w="7459" w:type="dxa"/>
            <w:tcBorders>
              <w:top w:val="single" w:sz="4" w:space="0" w:color="EBF3FB"/>
              <w:left w:val="single" w:sz="4" w:space="0" w:color="EBF3FB"/>
              <w:bottom w:val="single" w:sz="4" w:space="0" w:color="EBF3FB"/>
              <w:right w:val="single" w:sz="4" w:space="0" w:color="EBF3FB"/>
            </w:tcBorders>
            <w:shd w:fill="FFFFFF" w:val="clear"/>
            <w:tcMar>
              <w:top w:w="80" w:type="dxa"/>
              <w:left w:w="140" w:type="dxa"/>
              <w:bottom w:w="80" w:type="dxa"/>
              <w:right w:w="140" w:type="dxa"/>
            </w:tcMar>
          </w:tcPr>
          <w:p>
            <w:pPr>
              <w:pStyle w:val="Normal"/>
              <w:rPr/>
            </w:pPr>
            <w:r>
              <w:rPr>
                <w:rFonts w:eastAsia="Arial" w:cs="Arial"/>
                <w:color w:val="44546A"/>
                <w:sz w:val="19"/>
                <w:szCs w:val="19"/>
              </w:rPr>
              <w:t>Mimix replication direction not reversing: escalate immediately to the Mimix Administrator (FS7300). DEVAT ASP State stuck beyond 10 minutes: escalate to IBM support.</w:t>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Mar>
              <w:top w:w="80" w:type="dxa"/>
              <w:left w:w="140" w:type="dxa"/>
              <w:bottom w:w="80" w:type="dxa"/>
              <w:right w:w="140" w:type="dxa"/>
            </w:tcMar>
          </w:tcPr>
          <w:p>
            <w:pPr>
              <w:pStyle w:val="Normal"/>
              <w:rPr/>
            </w:pPr>
            <w:r>
              <w:rPr>
                <w:rFonts w:eastAsia="Arial" w:cs="Arial"/>
                <w:b/>
                <w:bCs/>
                <w:color w:val="1A3A5C"/>
                <w:sz w:val="19"/>
                <w:szCs w:val="19"/>
              </w:rPr>
              <w:t>Communication Policy</w:t>
            </w:r>
          </w:p>
        </w:tc>
        <w:tc>
          <w:tcPr>
            <w:tcW w:w="7459" w:type="dxa"/>
            <w:tcBorders>
              <w:top w:val="single" w:sz="4" w:space="0" w:color="EBF3FB"/>
              <w:left w:val="single" w:sz="4" w:space="0" w:color="EBF3FB"/>
              <w:bottom w:val="single" w:sz="4" w:space="0" w:color="EBF3FB"/>
              <w:right w:val="single" w:sz="4" w:space="0" w:color="EBF3FB"/>
            </w:tcBorders>
            <w:shd w:fill="FFFFFF" w:val="clear"/>
            <w:tcMar>
              <w:top w:w="80" w:type="dxa"/>
              <w:left w:w="140" w:type="dxa"/>
              <w:bottom w:w="80" w:type="dxa"/>
              <w:right w:w="140" w:type="dxa"/>
            </w:tcMar>
          </w:tcPr>
          <w:p>
            <w:pPr>
              <w:pStyle w:val="Normal"/>
              <w:rPr/>
            </w:pPr>
            <w:r>
              <w:rPr>
                <w:rFonts w:eastAsia="Arial" w:cs="Arial"/>
                <w:color w:val="44546A"/>
                <w:sz w:val="19"/>
                <w:szCs w:val="19"/>
              </w:rPr>
              <w:t>All team members (DR Lead, SYSMGMT, MLENGBR2, QSECOFR, DXRECOV, Mimix Administrator) must be confirmed on the DR coordination call before Phase 1 begins.</w:t>
            </w:r>
          </w:p>
        </w:tc>
      </w:tr>
    </w:tbl>
    <w:p>
      <w:pPr>
        <w:pStyle w:val="Normal"/>
        <w:spacing w:before="160" w:after="160"/>
        <w:rPr/>
      </w:pPr>
      <w:r>
        <w:rPr/>
      </w:r>
    </w:p>
    <w:p>
      <w:pPr>
        <w:pStyle w:val="Heading2"/>
        <w:spacing w:before="200" w:after="60"/>
        <w:rPr/>
      </w:pPr>
      <w:bookmarkStart w:id="1" w:name="__RefHeading___Toc4473_3284268967"/>
      <w:bookmarkEnd w:id="1"/>
      <w:r>
        <w:rPr>
          <w:rFonts w:eastAsia="Arial" w:cs="Arial" w:ascii="Arial" w:hAnsi="Arial"/>
          <w:b/>
          <w:bCs/>
          <w:color w:val="2E75B6"/>
          <w:sz w:val="22"/>
          <w:szCs w:val="22"/>
        </w:rPr>
        <w:t xml:space="preserve">1.1  </w:t>
      </w:r>
      <w:r>
        <w:rPr>
          <w:rFonts w:eastAsia="Arial" w:cs="Arial" w:ascii="Arial" w:hAnsi="Arial"/>
          <w:b/>
          <w:bCs/>
          <w:color w:val="1A3A5C"/>
          <w:sz w:val="22"/>
          <w:szCs w:val="22"/>
        </w:rPr>
        <w:t>DR Lifecycle — Phase Overview</w:t>
      </w:r>
    </w:p>
    <w:p>
      <w:pPr>
        <w:pStyle w:val="Normal"/>
        <w:pBdr>
          <w:bottom w:val="single" w:sz="8" w:space="1" w:color="2E75B6"/>
        </w:pBdr>
        <w:spacing w:before="0" w:after="60"/>
        <w:rPr/>
      </w:pPr>
      <w:r>
        <w:rPr/>
      </w:r>
    </w:p>
    <w:p>
      <w:pPr>
        <w:pStyle w:val="Normal"/>
        <w:spacing w:before="0" w:after="120"/>
        <w:rPr/>
      </w:pPr>
      <w:r>
        <w:rPr>
          <w:rFonts w:eastAsia="Arial" w:cs="Arial"/>
          <w:i w:val="false"/>
          <w:iCs w:val="false"/>
          <w:color w:val="44546A"/>
          <w:sz w:val="20"/>
          <w:szCs w:val="20"/>
        </w:rPr>
        <w:t>The following sequence reflects the end-to-end role swap execution order. Each phase gate requires evidence sign-off before proceeding to the next.</w:t>
      </w:r>
    </w:p>
    <w:tbl>
      <w:tblPr>
        <w:tblW w:w="9360" w:type="dxa"/>
        <w:jc w:val="left"/>
        <w:tblInd w:w="0" w:type="dxa"/>
        <w:tblLayout w:type="fixed"/>
        <w:tblCellMar>
          <w:top w:w="80" w:type="dxa"/>
          <w:left w:w="80" w:type="dxa"/>
          <w:bottom w:w="80" w:type="dxa"/>
          <w:right w:w="80" w:type="dxa"/>
        </w:tblCellMar>
      </w:tblPr>
      <w:tblGrid>
        <w:gridCol w:w="1170"/>
        <w:gridCol w:w="1170"/>
        <w:gridCol w:w="1170"/>
        <w:gridCol w:w="1170"/>
        <w:gridCol w:w="1170"/>
        <w:gridCol w:w="1170"/>
        <w:gridCol w:w="1170"/>
        <w:gridCol w:w="1169"/>
      </w:tblGrid>
      <w:tr>
        <w:trPr/>
        <w:tc>
          <w:tcPr>
            <w:tcW w:w="117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jc w:val="center"/>
              <w:rPr/>
            </w:pPr>
            <w:r>
              <w:rPr>
                <w:rFonts w:eastAsia="Arial" w:cs="Arial"/>
                <w:b/>
                <w:bCs/>
                <w:color w:val="D6E4F0"/>
                <w:sz w:val="16"/>
                <w:szCs w:val="16"/>
              </w:rPr>
              <w:t>Phase 1–2</w:t>
            </w:r>
          </w:p>
          <w:p>
            <w:pPr>
              <w:pStyle w:val="Normal"/>
              <w:jc w:val="center"/>
              <w:rPr/>
            </w:pPr>
            <w:r>
              <w:rPr>
                <w:rFonts w:eastAsia="Arial" w:cs="Arial"/>
                <w:b/>
                <w:bCs/>
                <w:color w:val="FFFFFF"/>
                <w:sz w:val="16"/>
                <w:szCs w:val="16"/>
              </w:rPr>
              <w:t>Pre-DR Prep &amp; DNS</w:t>
            </w:r>
          </w:p>
        </w:tc>
        <w:tc>
          <w:tcPr>
            <w:tcW w:w="117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jc w:val="center"/>
              <w:rPr/>
            </w:pPr>
            <w:r>
              <w:rPr>
                <w:rFonts w:eastAsia="Arial" w:cs="Arial"/>
                <w:b/>
                <w:bCs/>
                <w:color w:val="D6E4F0"/>
                <w:sz w:val="16"/>
                <w:szCs w:val="16"/>
              </w:rPr>
              <w:t>Phase 3</w:t>
            </w:r>
          </w:p>
          <w:p>
            <w:pPr>
              <w:pStyle w:val="Normal"/>
              <w:jc w:val="center"/>
              <w:rPr/>
            </w:pPr>
            <w:r>
              <w:rPr>
                <w:rFonts w:eastAsia="Arial" w:cs="Arial"/>
                <w:b/>
                <w:bCs/>
                <w:color w:val="FFFFFF"/>
                <w:sz w:val="16"/>
                <w:szCs w:val="16"/>
              </w:rPr>
              <w:t>GoldenGate &amp; Level 3</w:t>
            </w:r>
          </w:p>
        </w:tc>
        <w:tc>
          <w:tcPr>
            <w:tcW w:w="117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jc w:val="center"/>
              <w:rPr/>
            </w:pPr>
            <w:r>
              <w:rPr>
                <w:rFonts w:eastAsia="Arial" w:cs="Arial"/>
                <w:b/>
                <w:bCs/>
                <w:color w:val="D6E4F0"/>
                <w:sz w:val="16"/>
                <w:szCs w:val="16"/>
              </w:rPr>
              <w:t>Phase 4</w:t>
            </w:r>
          </w:p>
          <w:p>
            <w:pPr>
              <w:pStyle w:val="Normal"/>
              <w:jc w:val="center"/>
              <w:rPr/>
            </w:pPr>
            <w:r>
              <w:rPr>
                <w:rFonts w:eastAsia="Arial" w:cs="Arial"/>
                <w:b/>
                <w:bCs/>
                <w:color w:val="FFFFFF"/>
                <w:sz w:val="16"/>
                <w:szCs w:val="16"/>
              </w:rPr>
              <w:t>PowerHA Switchover</w:t>
            </w:r>
          </w:p>
        </w:tc>
        <w:tc>
          <w:tcPr>
            <w:tcW w:w="117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jc w:val="center"/>
              <w:rPr/>
            </w:pPr>
            <w:r>
              <w:rPr>
                <w:rFonts w:eastAsia="Arial" w:cs="Arial"/>
                <w:b/>
                <w:bCs/>
                <w:color w:val="D6E4F0"/>
                <w:sz w:val="16"/>
                <w:szCs w:val="16"/>
              </w:rPr>
              <w:t>Phase 5–6</w:t>
            </w:r>
          </w:p>
          <w:p>
            <w:pPr>
              <w:pStyle w:val="Normal"/>
              <w:jc w:val="center"/>
              <w:rPr/>
            </w:pPr>
            <w:r>
              <w:rPr>
                <w:rFonts w:eastAsia="Arial" w:cs="Arial"/>
                <w:b/>
                <w:bCs/>
                <w:color w:val="FFFFFF"/>
                <w:sz w:val="16"/>
                <w:szCs w:val="16"/>
              </w:rPr>
              <w:t>Mimix &amp; Cluster</w:t>
            </w:r>
          </w:p>
        </w:tc>
        <w:tc>
          <w:tcPr>
            <w:tcW w:w="117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jc w:val="center"/>
              <w:rPr/>
            </w:pPr>
            <w:r>
              <w:rPr>
                <w:rFonts w:eastAsia="Arial" w:cs="Arial"/>
                <w:b/>
                <w:bCs/>
                <w:color w:val="D6E4F0"/>
                <w:sz w:val="16"/>
                <w:szCs w:val="16"/>
              </w:rPr>
              <w:t>Phase 7</w:t>
            </w:r>
          </w:p>
          <w:p>
            <w:pPr>
              <w:pStyle w:val="Normal"/>
              <w:jc w:val="center"/>
              <w:rPr/>
            </w:pPr>
            <w:r>
              <w:rPr>
                <w:rFonts w:eastAsia="Arial" w:cs="Arial"/>
                <w:b/>
                <w:bCs/>
                <w:color w:val="FFFFFF"/>
                <w:sz w:val="16"/>
                <w:szCs w:val="16"/>
              </w:rPr>
              <w:t>3rd-Party Keys</w:t>
            </w:r>
          </w:p>
        </w:tc>
        <w:tc>
          <w:tcPr>
            <w:tcW w:w="117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jc w:val="center"/>
              <w:rPr/>
            </w:pPr>
            <w:r>
              <w:rPr>
                <w:rFonts w:eastAsia="Arial" w:cs="Arial"/>
                <w:b/>
                <w:bCs/>
                <w:color w:val="D6E4F0"/>
                <w:sz w:val="16"/>
                <w:szCs w:val="16"/>
              </w:rPr>
              <w:t>Phase 8</w:t>
            </w:r>
          </w:p>
          <w:p>
            <w:pPr>
              <w:pStyle w:val="Normal"/>
              <w:jc w:val="center"/>
              <w:rPr/>
            </w:pPr>
            <w:r>
              <w:rPr>
                <w:rFonts w:eastAsia="Arial" w:cs="Arial"/>
                <w:b/>
                <w:bCs/>
                <w:color w:val="FFFFFF"/>
                <w:sz w:val="16"/>
                <w:szCs w:val="16"/>
              </w:rPr>
              <w:t>Host Tables</w:t>
            </w:r>
          </w:p>
        </w:tc>
        <w:tc>
          <w:tcPr>
            <w:tcW w:w="117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jc w:val="center"/>
              <w:rPr/>
            </w:pPr>
            <w:r>
              <w:rPr>
                <w:rFonts w:eastAsia="Arial" w:cs="Arial"/>
                <w:b/>
                <w:bCs/>
                <w:color w:val="D6E4F0"/>
                <w:sz w:val="16"/>
                <w:szCs w:val="16"/>
              </w:rPr>
              <w:t>Phase 9–12</w:t>
            </w:r>
          </w:p>
          <w:p>
            <w:pPr>
              <w:pStyle w:val="Normal"/>
              <w:jc w:val="center"/>
              <w:rPr/>
            </w:pPr>
            <w:r>
              <w:rPr>
                <w:rFonts w:eastAsia="Arial" w:cs="Arial"/>
                <w:b/>
                <w:bCs/>
                <w:color w:val="FFFFFF"/>
                <w:sz w:val="16"/>
                <w:szCs w:val="16"/>
              </w:rPr>
              <w:t>FastFax &amp; Handover</w:t>
            </w:r>
          </w:p>
        </w:tc>
        <w:tc>
          <w:tcPr>
            <w:tcW w:w="1169"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jc w:val="center"/>
              <w:rPr/>
            </w:pPr>
            <w:r>
              <w:rPr>
                <w:rFonts w:eastAsia="Arial" w:cs="Arial"/>
                <w:b/>
                <w:bCs/>
                <w:color w:val="D6E4F0"/>
                <w:sz w:val="16"/>
                <w:szCs w:val="16"/>
              </w:rPr>
              <w:t>Phase 13–14</w:t>
            </w:r>
          </w:p>
          <w:p>
            <w:pPr>
              <w:pStyle w:val="Normal"/>
              <w:jc w:val="center"/>
              <w:rPr/>
            </w:pPr>
            <w:r>
              <w:rPr>
                <w:rFonts w:eastAsia="Arial" w:cs="Arial"/>
                <w:b/>
                <w:bCs/>
                <w:color w:val="FFFFFF"/>
                <w:sz w:val="16"/>
                <w:szCs w:val="16"/>
              </w:rPr>
              <w:t>Services &amp; Robot GUI</w:t>
            </w:r>
          </w:p>
        </w:tc>
      </w:tr>
      <w:tr>
        <w:trPr/>
        <w:tc>
          <w:tcPr>
            <w:tcW w:w="1170" w:type="dxa"/>
            <w:tcBorders>
              <w:top w:val="single" w:sz="4" w:space="0" w:color="EBF3FB"/>
              <w:left w:val="single" w:sz="4" w:space="0" w:color="EBF3FB"/>
              <w:bottom w:val="single" w:sz="4" w:space="0" w:color="EBF3FB"/>
              <w:right w:val="single" w:sz="4" w:space="0" w:color="EBF3FB"/>
            </w:tcBorders>
            <w:shd w:fill="F2F6FA" w:val="clear"/>
          </w:tcPr>
          <w:p>
            <w:pPr>
              <w:pStyle w:val="Normal"/>
              <w:jc w:val="center"/>
              <w:rPr/>
            </w:pPr>
            <w:r>
              <w:rPr>
                <w:rFonts w:eastAsia="Arial" w:cs="Arial"/>
                <w:color w:val="44546A"/>
                <w:sz w:val="14"/>
                <w:szCs w:val="14"/>
              </w:rPr>
              <w:t>Coordination call · Baseline capture · DNS pointer change</w:t>
            </w:r>
          </w:p>
        </w:tc>
        <w:tc>
          <w:tcPr>
            <w:tcW w:w="1170" w:type="dxa"/>
            <w:tcBorders>
              <w:top w:val="single" w:sz="4" w:space="0" w:color="EBF3FB"/>
              <w:left w:val="single" w:sz="4" w:space="0" w:color="EBF3FB"/>
              <w:bottom w:val="single" w:sz="4" w:space="0" w:color="EBF3FB"/>
              <w:right w:val="single" w:sz="4" w:space="0" w:color="EBF3FB"/>
            </w:tcBorders>
            <w:shd w:fill="F2F6FA" w:val="clear"/>
          </w:tcPr>
          <w:p>
            <w:pPr>
              <w:pStyle w:val="Normal"/>
              <w:jc w:val="center"/>
              <w:rPr/>
            </w:pPr>
            <w:r>
              <w:rPr>
                <w:rFonts w:eastAsia="Arial" w:cs="Arial"/>
                <w:color w:val="44546A"/>
                <w:sz w:val="14"/>
                <w:szCs w:val="14"/>
              </w:rPr>
              <w:t>Stop GoldenGate · End subsystems · End Level 3 (DEVAT)</w:t>
            </w:r>
          </w:p>
        </w:tc>
        <w:tc>
          <w:tcPr>
            <w:tcW w:w="1170" w:type="dxa"/>
            <w:tcBorders>
              <w:top w:val="single" w:sz="4" w:space="0" w:color="EBF3FB"/>
              <w:left w:val="single" w:sz="4" w:space="0" w:color="EBF3FB"/>
              <w:bottom w:val="single" w:sz="4" w:space="0" w:color="EBF3FB"/>
              <w:right w:val="single" w:sz="4" w:space="0" w:color="EBF3FB"/>
            </w:tcBorders>
            <w:shd w:fill="F2F6FA" w:val="clear"/>
          </w:tcPr>
          <w:p>
            <w:pPr>
              <w:pStyle w:val="Normal"/>
              <w:jc w:val="center"/>
              <w:rPr/>
            </w:pPr>
            <w:r>
              <w:rPr>
                <w:rFonts w:eastAsia="Arial" w:cs="Arial"/>
                <w:color w:val="44546A"/>
                <w:sz w:val="14"/>
                <w:szCs w:val="14"/>
              </w:rPr>
              <w:t>Pre-switch checks · Initiate switch · Monitor ASP state</w:t>
            </w:r>
          </w:p>
        </w:tc>
        <w:tc>
          <w:tcPr>
            <w:tcW w:w="1170" w:type="dxa"/>
            <w:tcBorders>
              <w:top w:val="single" w:sz="4" w:space="0" w:color="EBF3FB"/>
              <w:left w:val="single" w:sz="4" w:space="0" w:color="EBF3FB"/>
              <w:bottom w:val="single" w:sz="4" w:space="0" w:color="EBF3FB"/>
              <w:right w:val="single" w:sz="4" w:space="0" w:color="EBF3FB"/>
            </w:tcBorders>
            <w:shd w:fill="F2F6FA" w:val="clear"/>
          </w:tcPr>
          <w:p>
            <w:pPr>
              <w:pStyle w:val="Normal"/>
              <w:jc w:val="center"/>
              <w:rPr/>
            </w:pPr>
            <w:r>
              <w:rPr>
                <w:rFonts w:eastAsia="Arial" w:cs="Arial"/>
                <w:color w:val="44546A"/>
                <w:sz w:val="14"/>
                <w:szCs w:val="14"/>
              </w:rPr>
              <w:t>Replication direction reversed · 4-node cluster verified</w:t>
            </w:r>
          </w:p>
        </w:tc>
        <w:tc>
          <w:tcPr>
            <w:tcW w:w="1170" w:type="dxa"/>
            <w:tcBorders>
              <w:top w:val="single" w:sz="4" w:space="0" w:color="EBF3FB"/>
              <w:left w:val="single" w:sz="4" w:space="0" w:color="EBF3FB"/>
              <w:bottom w:val="single" w:sz="4" w:space="0" w:color="EBF3FB"/>
              <w:right w:val="single" w:sz="4" w:space="0" w:color="EBF3FB"/>
            </w:tcBorders>
            <w:shd w:fill="F2F6FA" w:val="clear"/>
          </w:tcPr>
          <w:p>
            <w:pPr>
              <w:pStyle w:val="Normal"/>
              <w:jc w:val="center"/>
              <w:rPr/>
            </w:pPr>
            <w:r>
              <w:rPr>
                <w:rFonts w:eastAsia="Arial" w:cs="Arial"/>
                <w:color w:val="44546A"/>
                <w:sz w:val="14"/>
                <w:szCs w:val="14"/>
              </w:rPr>
              <w:t>Spyview · Turnover · DSI · JDE · DXRECOV · Robot Schedule</w:t>
            </w:r>
          </w:p>
        </w:tc>
        <w:tc>
          <w:tcPr>
            <w:tcW w:w="1170" w:type="dxa"/>
            <w:tcBorders>
              <w:top w:val="single" w:sz="4" w:space="0" w:color="EBF3FB"/>
              <w:left w:val="single" w:sz="4" w:space="0" w:color="EBF3FB"/>
              <w:bottom w:val="single" w:sz="4" w:space="0" w:color="EBF3FB"/>
              <w:right w:val="single" w:sz="4" w:space="0" w:color="EBF3FB"/>
            </w:tcBorders>
            <w:shd w:fill="F2F6FA" w:val="clear"/>
          </w:tcPr>
          <w:p>
            <w:pPr>
              <w:pStyle w:val="Normal"/>
              <w:jc w:val="center"/>
              <w:rPr/>
            </w:pPr>
            <w:r>
              <w:rPr>
                <w:rFonts w:eastAsia="Arial" w:cs="Arial"/>
                <w:color w:val="44546A"/>
                <w:sz w:val="14"/>
                <w:szCs w:val="14"/>
              </w:rPr>
              <w:t>TCP host table updates — PA, PE, DEVAC, DEVAT, DSST, DSSC</w:t>
            </w:r>
          </w:p>
        </w:tc>
        <w:tc>
          <w:tcPr>
            <w:tcW w:w="1170" w:type="dxa"/>
            <w:tcBorders>
              <w:top w:val="single" w:sz="4" w:space="0" w:color="EBF3FB"/>
              <w:left w:val="single" w:sz="4" w:space="0" w:color="EBF3FB"/>
              <w:bottom w:val="single" w:sz="4" w:space="0" w:color="EBF3FB"/>
              <w:right w:val="single" w:sz="4" w:space="0" w:color="EBF3FB"/>
            </w:tcBorders>
            <w:shd w:fill="F2F6FA" w:val="clear"/>
          </w:tcPr>
          <w:p>
            <w:pPr>
              <w:pStyle w:val="Normal"/>
              <w:jc w:val="center"/>
              <w:rPr/>
            </w:pPr>
            <w:r>
              <w:rPr>
                <w:rFonts w:eastAsia="Arial" w:cs="Arial"/>
                <w:color w:val="44546A"/>
                <w:sz w:val="14"/>
                <w:szCs w:val="14"/>
              </w:rPr>
              <w:t>FastFax key · Tester handover · Level 3 start · Post-DR jobs</w:t>
            </w:r>
          </w:p>
        </w:tc>
        <w:tc>
          <w:tcPr>
            <w:tcW w:w="1169" w:type="dxa"/>
            <w:tcBorders>
              <w:top w:val="single" w:sz="4" w:space="0" w:color="EBF3FB"/>
              <w:left w:val="single" w:sz="4" w:space="0" w:color="EBF3FB"/>
              <w:bottom w:val="single" w:sz="4" w:space="0" w:color="EBF3FB"/>
              <w:right w:val="single" w:sz="4" w:space="0" w:color="EBF3FB"/>
            </w:tcBorders>
            <w:shd w:fill="F2F6FA" w:val="clear"/>
          </w:tcPr>
          <w:p>
            <w:pPr>
              <w:pStyle w:val="Normal"/>
              <w:jc w:val="center"/>
              <w:rPr/>
            </w:pPr>
            <w:r>
              <w:rPr>
                <w:rFonts w:eastAsia="Arial" w:cs="Arial"/>
                <w:color w:val="44546A"/>
                <w:sz w:val="14"/>
                <w:szCs w:val="14"/>
              </w:rPr>
              <w:t>GoldenGate restart · App services · Robot Network GUI config</w:t>
            </w:r>
          </w:p>
        </w:tc>
      </w:tr>
    </w:tbl>
    <w:p>
      <w:pPr>
        <w:pStyle w:val="Normal"/>
        <w:rPr/>
      </w:pPr>
      <w:r>
        <w:rPr/>
      </w:r>
      <w:r>
        <w:br w:type="page"/>
      </w:r>
    </w:p>
    <w:p>
      <w:pPr>
        <w:pStyle w:val="Heading1"/>
        <w:shd w:val="clear" w:fill="0D2340"/>
        <w:spacing w:before="0" w:after="0"/>
        <w:ind w:left="80"/>
        <w:rPr/>
      </w:pPr>
      <w:bookmarkStart w:id="2" w:name="__RefHeading___Toc4475_3284268967"/>
      <w:bookmarkEnd w:id="2"/>
      <w:r>
        <w:rPr>
          <w:rFonts w:eastAsia="Arial" w:cs="Arial" w:ascii="Arial" w:hAnsi="Arial"/>
          <w:b/>
          <w:bCs/>
          <w:color w:val="2E75B6"/>
          <w:sz w:val="22"/>
          <w:szCs w:val="22"/>
        </w:rPr>
        <w:t>2</w:t>
      </w:r>
      <w:r>
        <w:rPr>
          <w:rFonts w:eastAsia="Arial" w:cs="Arial" w:ascii="Arial" w:hAnsi="Arial"/>
          <w:sz w:val="22"/>
          <w:szCs w:val="22"/>
        </w:rPr>
        <w:t xml:space="preserve">   </w:t>
      </w:r>
      <w:r>
        <w:rPr>
          <w:rFonts w:eastAsia="Arial" w:cs="Arial" w:ascii="Arial" w:hAnsi="Arial"/>
          <w:b/>
          <w:bCs/>
          <w:color w:val="FFFFFF"/>
          <w:sz w:val="26"/>
          <w:szCs w:val="26"/>
        </w:rPr>
        <w:t>SCOPE &amp; ENVIRONMENT</w:t>
      </w:r>
    </w:p>
    <w:p>
      <w:pPr>
        <w:pStyle w:val="Normal"/>
        <w:shd w:val="clear" w:fill="1F4E79"/>
        <w:spacing w:before="0" w:after="160"/>
        <w:ind w:left="80"/>
        <w:rPr/>
      </w:pPr>
      <w:r>
        <w:rPr>
          <w:rFonts w:eastAsia="Arial" w:cs="Arial"/>
          <w:i/>
          <w:iCs/>
          <w:color w:val="EBF3FB"/>
          <w:sz w:val="18"/>
          <w:szCs w:val="18"/>
        </w:rPr>
        <w:t>Technology Stack, Source/Target Systems &amp; Network Scope</w:t>
      </w:r>
    </w:p>
    <w:p>
      <w:pPr>
        <w:pStyle w:val="Heading2"/>
        <w:spacing w:before="200" w:after="60"/>
        <w:rPr/>
      </w:pPr>
      <w:bookmarkStart w:id="3" w:name="__RefHeading___Toc4477_3284268967"/>
      <w:bookmarkEnd w:id="3"/>
      <w:r>
        <w:rPr>
          <w:rFonts w:eastAsia="Arial" w:cs="Arial" w:ascii="Arial" w:hAnsi="Arial"/>
          <w:b/>
          <w:bCs/>
          <w:color w:val="2E75B6"/>
          <w:sz w:val="22"/>
          <w:szCs w:val="22"/>
        </w:rPr>
        <w:t xml:space="preserve">2.1  </w:t>
      </w:r>
      <w:r>
        <w:rPr>
          <w:rFonts w:eastAsia="Arial" w:cs="Arial" w:ascii="Arial" w:hAnsi="Arial"/>
          <w:b/>
          <w:bCs/>
          <w:color w:val="1A3A5C"/>
          <w:sz w:val="22"/>
          <w:szCs w:val="22"/>
        </w:rPr>
        <w:t>Technology Stack</w:t>
      </w:r>
    </w:p>
    <w:p>
      <w:pPr>
        <w:pStyle w:val="Normal"/>
        <w:pBdr>
          <w:bottom w:val="single" w:sz="8" w:space="1" w:color="2E75B6"/>
        </w:pBdr>
        <w:spacing w:before="0" w:after="60"/>
        <w:rPr/>
      </w:pPr>
      <w:r>
        <w:rPr/>
      </w:r>
    </w:p>
    <w:tbl>
      <w:tblPr>
        <w:tblW w:w="9360" w:type="dxa"/>
        <w:jc w:val="left"/>
        <w:tblInd w:w="0" w:type="dxa"/>
        <w:tblLayout w:type="fixed"/>
        <w:tblCellMar>
          <w:top w:w="80" w:type="dxa"/>
          <w:left w:w="140" w:type="dxa"/>
          <w:bottom w:w="80" w:type="dxa"/>
          <w:right w:w="140" w:type="dxa"/>
        </w:tblCellMar>
      </w:tblPr>
      <w:tblGrid>
        <w:gridCol w:w="2799"/>
        <w:gridCol w:w="6560"/>
      </w:tblGrid>
      <w:tr>
        <w:trPr>
          <w:tblHeader w:val="true"/>
          <w:cantSplit w:val="true"/>
        </w:trPr>
        <w:tc>
          <w:tcPr>
            <w:tcW w:w="2799"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Component</w:t>
            </w:r>
          </w:p>
        </w:tc>
        <w:tc>
          <w:tcPr>
            <w:tcW w:w="656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Role</w:t>
            </w:r>
          </w:p>
        </w:tc>
      </w:tr>
      <w:tr>
        <w:trPr>
          <w:cantSplit w:val="true"/>
        </w:trPr>
        <w:tc>
          <w:tcPr>
            <w:tcW w:w="279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IBM PowerHA SystemMirror</w:t>
            </w:r>
          </w:p>
        </w:tc>
        <w:tc>
          <w:tcPr>
            <w:tcW w:w="656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Cluster resource group (DEVADEVCRG) controls IASP switchover via WRKCLU across 4 cluster nodes.</w:t>
            </w:r>
          </w:p>
        </w:tc>
      </w:tr>
      <w:tr>
        <w:trPr>
          <w:cantSplit w:val="true"/>
        </w:trPr>
        <w:tc>
          <w:tcPr>
            <w:tcW w:w="279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Mimix</w:t>
            </w:r>
          </w:p>
        </w:tc>
        <w:tc>
          <w:tcPr>
            <w:tcW w:w="656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Journal-based replication between DEVAT and DEVAC. The Mimix Administrator (FS7300) verifies replication direction after the PowerHA switchover.</w:t>
            </w:r>
          </w:p>
        </w:tc>
      </w:tr>
      <w:tr>
        <w:trPr>
          <w:cantSplit w:val="true"/>
        </w:trPr>
        <w:tc>
          <w:tcPr>
            <w:tcW w:w="279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GoldenGate</w:t>
            </w:r>
          </w:p>
        </w:tc>
        <w:tc>
          <w:tcPr>
            <w:tcW w:w="656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Data replication processes that must be stopped on source before switchover and restarted on target after.</w:t>
            </w:r>
          </w:p>
        </w:tc>
      </w:tr>
      <w:tr>
        <w:trPr>
          <w:cantSplit w:val="true"/>
        </w:trPr>
        <w:tc>
          <w:tcPr>
            <w:tcW w:w="279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DAHAIASP</w:t>
            </w:r>
          </w:p>
        </w:tc>
        <w:tc>
          <w:tcPr>
            <w:tcW w:w="656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The IASP containing DEV application data, managed by PowerHA across the 4 cluster nodes.</w:t>
            </w:r>
          </w:p>
        </w:tc>
      </w:tr>
      <w:tr>
        <w:trPr>
          <w:cantSplit w:val="true"/>
        </w:trPr>
        <w:tc>
          <w:tcPr>
            <w:tcW w:w="279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DEVAHA</w:t>
            </w:r>
          </w:p>
        </w:tc>
        <w:tc>
          <w:tcPr>
            <w:tcW w:w="656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The HA node; ASP copy is verified here before initiating the switchover.</w:t>
            </w:r>
          </w:p>
        </w:tc>
      </w:tr>
    </w:tbl>
    <w:p>
      <w:pPr>
        <w:pStyle w:val="Normal"/>
        <w:spacing w:before="160" w:after="160"/>
        <w:rPr/>
      </w:pPr>
      <w:r>
        <w:rPr/>
      </w:r>
    </w:p>
    <w:p>
      <w:pPr>
        <w:pStyle w:val="Heading2"/>
        <w:spacing w:before="200" w:after="60"/>
        <w:rPr/>
      </w:pPr>
      <w:bookmarkStart w:id="4" w:name="__RefHeading___Toc4479_3284268967"/>
      <w:bookmarkEnd w:id="4"/>
      <w:r>
        <w:rPr>
          <w:rFonts w:eastAsia="Arial" w:cs="Arial" w:ascii="Arial" w:hAnsi="Arial"/>
          <w:b/>
          <w:bCs/>
          <w:color w:val="2E75B6"/>
          <w:sz w:val="22"/>
          <w:szCs w:val="22"/>
        </w:rPr>
        <w:t xml:space="preserve">2.2  </w:t>
      </w:r>
      <w:r>
        <w:rPr>
          <w:rFonts w:eastAsia="Arial" w:cs="Arial" w:ascii="Arial" w:hAnsi="Arial"/>
          <w:b/>
          <w:bCs/>
          <w:color w:val="1A3A5C"/>
          <w:sz w:val="22"/>
          <w:szCs w:val="22"/>
        </w:rPr>
        <w:t>Source / Target Systems</w:t>
      </w:r>
    </w:p>
    <w:p>
      <w:pPr>
        <w:pStyle w:val="Normal"/>
        <w:pBdr>
          <w:bottom w:val="single" w:sz="8" w:space="1" w:color="2E75B6"/>
        </w:pBdr>
        <w:spacing w:before="0" w:after="60"/>
        <w:rPr/>
      </w:pPr>
      <w:r>
        <w:rPr/>
      </w:r>
    </w:p>
    <w:tbl>
      <w:tblPr>
        <w:tblW w:w="9360" w:type="dxa"/>
        <w:jc w:val="left"/>
        <w:tblInd w:w="0" w:type="dxa"/>
        <w:tblLayout w:type="fixed"/>
        <w:tblCellMar>
          <w:top w:w="80" w:type="dxa"/>
          <w:left w:w="140" w:type="dxa"/>
          <w:bottom w:w="80" w:type="dxa"/>
          <w:right w:w="140" w:type="dxa"/>
        </w:tblCellMar>
      </w:tblPr>
      <w:tblGrid>
        <w:gridCol w:w="2399"/>
        <w:gridCol w:w="3480"/>
        <w:gridCol w:w="3481"/>
      </w:tblGrid>
      <w:tr>
        <w:trPr>
          <w:tblHeader w:val="true"/>
          <w:cantSplit w:val="true"/>
        </w:trPr>
        <w:tc>
          <w:tcPr>
            <w:tcW w:w="2399"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Component</w:t>
            </w:r>
          </w:p>
        </w:tc>
        <w:tc>
          <w:tcPr>
            <w:tcW w:w="348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Source (DEVAT / Temple)</w:t>
            </w:r>
          </w:p>
        </w:tc>
        <w:tc>
          <w:tcPr>
            <w:tcW w:w="3481"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Target (DEVAC / Equinix)</w:t>
            </w:r>
          </w:p>
        </w:tc>
      </w:tr>
      <w:tr>
        <w:trPr>
          <w:cantSplit w:val="true"/>
        </w:trPr>
        <w:tc>
          <w:tcPr>
            <w:tcW w:w="23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Role</w:t>
            </w:r>
          </w:p>
        </w:tc>
        <w:tc>
          <w:tcPr>
            <w:tcW w:w="348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Primary — Active</w:t>
            </w:r>
          </w:p>
        </w:tc>
        <w:tc>
          <w:tcPr>
            <w:tcW w:w="348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DR Target — Standby</w:t>
            </w:r>
          </w:p>
        </w:tc>
      </w:tr>
      <w:tr>
        <w:trPr>
          <w:cantSplit w:val="true"/>
        </w:trPr>
        <w:tc>
          <w:tcPr>
            <w:tcW w:w="23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Location</w:t>
            </w:r>
          </w:p>
        </w:tc>
        <w:tc>
          <w:tcPr>
            <w:tcW w:w="348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Temple</w:t>
            </w:r>
          </w:p>
        </w:tc>
        <w:tc>
          <w:tcPr>
            <w:tcW w:w="348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Equinix</w:t>
            </w:r>
          </w:p>
        </w:tc>
      </w:tr>
      <w:tr>
        <w:trPr>
          <w:cantSplit w:val="true"/>
        </w:trPr>
        <w:tc>
          <w:tcPr>
            <w:tcW w:w="23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IP Address</w:t>
            </w:r>
          </w:p>
        </w:tc>
        <w:tc>
          <w:tcPr>
            <w:tcW w:w="348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10.7.1.180</w:t>
            </w:r>
          </w:p>
        </w:tc>
        <w:tc>
          <w:tcPr>
            <w:tcW w:w="348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10.7.1.130</w:t>
            </w:r>
          </w:p>
        </w:tc>
      </w:tr>
      <w:tr>
        <w:trPr>
          <w:cantSplit w:val="true"/>
        </w:trPr>
        <w:tc>
          <w:tcPr>
            <w:tcW w:w="23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Mimix Replication IP</w:t>
            </w:r>
          </w:p>
        </w:tc>
        <w:tc>
          <w:tcPr>
            <w:tcW w:w="348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10.7.1.182</w:t>
            </w:r>
          </w:p>
        </w:tc>
        <w:tc>
          <w:tcPr>
            <w:tcW w:w="348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10.7.1.132</w:t>
            </w:r>
          </w:p>
        </w:tc>
      </w:tr>
      <w:tr>
        <w:trPr>
          <w:cantSplit w:val="true"/>
        </w:trPr>
        <w:tc>
          <w:tcPr>
            <w:tcW w:w="23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DNS Pointer (DEVA)</w:t>
            </w:r>
          </w:p>
        </w:tc>
        <w:tc>
          <w:tcPr>
            <w:tcW w:w="348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10.7.1.231</w:t>
            </w:r>
          </w:p>
        </w:tc>
        <w:tc>
          <w:tcPr>
            <w:tcW w:w="348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10.7.1.161</w:t>
            </w:r>
          </w:p>
        </w:tc>
      </w:tr>
      <w:tr>
        <w:trPr>
          <w:cantSplit w:val="true"/>
        </w:trPr>
        <w:tc>
          <w:tcPr>
            <w:tcW w:w="23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IASP</w:t>
            </w:r>
          </w:p>
        </w:tc>
        <w:tc>
          <w:tcPr>
            <w:tcW w:w="348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DAHAIASP (Active)</w:t>
            </w:r>
          </w:p>
        </w:tc>
        <w:tc>
          <w:tcPr>
            <w:tcW w:w="348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DAHAIASP (Varies On During Switch)</w:t>
            </w:r>
          </w:p>
        </w:tc>
      </w:tr>
    </w:tbl>
    <w:p>
      <w:pPr>
        <w:pStyle w:val="Normal"/>
        <w:spacing w:before="160" w:after="160"/>
        <w:rPr/>
      </w:pPr>
      <w:r>
        <w:rPr/>
      </w:r>
    </w:p>
    <w:p>
      <w:pPr>
        <w:pStyle w:val="Heading2"/>
        <w:spacing w:before="200" w:after="60"/>
        <w:rPr/>
      </w:pPr>
      <w:bookmarkStart w:id="5" w:name="__RefHeading___Toc4481_3284268967"/>
      <w:bookmarkEnd w:id="5"/>
      <w:r>
        <w:rPr>
          <w:rFonts w:eastAsia="Arial" w:cs="Arial" w:ascii="Arial" w:hAnsi="Arial"/>
          <w:b/>
          <w:bCs/>
          <w:color w:val="2E75B6"/>
          <w:sz w:val="22"/>
          <w:szCs w:val="22"/>
        </w:rPr>
        <w:t xml:space="preserve">2.3  </w:t>
      </w:r>
      <w:r>
        <w:rPr>
          <w:rFonts w:eastAsia="Arial" w:cs="Arial" w:ascii="Arial" w:hAnsi="Arial"/>
          <w:b/>
          <w:bCs/>
          <w:color w:val="1A3A5C"/>
          <w:sz w:val="22"/>
          <w:szCs w:val="22"/>
        </w:rPr>
        <w:t>Scope Details</w:t>
      </w:r>
    </w:p>
    <w:p>
      <w:pPr>
        <w:pStyle w:val="Normal"/>
        <w:pBdr>
          <w:bottom w:val="single" w:sz="8" w:space="1" w:color="2E75B6"/>
        </w:pBdr>
        <w:spacing w:before="0" w:after="60"/>
        <w:rPr/>
      </w:pPr>
      <w:r>
        <w:rPr/>
      </w:r>
    </w:p>
    <w:tbl>
      <w:tblPr>
        <w:tblW w:w="9360" w:type="dxa"/>
        <w:jc w:val="left"/>
        <w:tblInd w:w="0" w:type="dxa"/>
        <w:tblLayout w:type="fixed"/>
        <w:tblCellMar>
          <w:top w:w="80" w:type="dxa"/>
          <w:left w:w="140" w:type="dxa"/>
          <w:bottom w:w="80" w:type="dxa"/>
          <w:right w:w="140" w:type="dxa"/>
        </w:tblCellMar>
      </w:tblPr>
      <w:tblGrid>
        <w:gridCol w:w="3200"/>
        <w:gridCol w:w="6159"/>
      </w:tblGrid>
      <w:tr>
        <w:trPr>
          <w:tblHeader w:val="true"/>
          <w:cantSplit w:val="true"/>
        </w:trPr>
        <w:tc>
          <w:tcPr>
            <w:tcW w:w="32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Item</w:t>
            </w:r>
          </w:p>
        </w:tc>
        <w:tc>
          <w:tcPr>
            <w:tcW w:w="6159"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Detail</w:t>
            </w:r>
          </w:p>
        </w:tc>
      </w:tr>
      <w:tr>
        <w:trPr>
          <w:cantSplit w:val="true"/>
        </w:trPr>
        <w:tc>
          <w:tcPr>
            <w:tcW w:w="32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Host table updates required on</w:t>
            </w:r>
          </w:p>
        </w:tc>
        <w:tc>
          <w:tcPr>
            <w:tcW w:w="615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DEVAC, DEVAT, PRODA (PA), PRODE (PE), PRODDSS (DSST), PRODDSSC (DSSC)</w:t>
            </w:r>
          </w:p>
        </w:tc>
      </w:tr>
      <w:tr>
        <w:trPr>
          <w:cantSplit w:val="true"/>
        </w:trPr>
        <w:tc>
          <w:tcPr>
            <w:tcW w:w="32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Execution phases</w:t>
            </w:r>
          </w:p>
        </w:tc>
        <w:tc>
          <w:tcPr>
            <w:tcW w:w="615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14 execution phases covering all DR steps from pre-DR preparation through GoldenGate and application service restart</w:t>
            </w:r>
          </w:p>
        </w:tc>
      </w:tr>
      <w:tr>
        <w:trPr>
          <w:cantSplit w:val="true"/>
        </w:trPr>
        <w:tc>
          <w:tcPr>
            <w:tcW w:w="32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3rd-party software requiring key re-application</w:t>
            </w:r>
          </w:p>
        </w:tc>
        <w:tc>
          <w:tcPr>
            <w:tcW w:w="615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Spyview, Turnover, DSI, JDE World, DXRECOV, FastFax (see Section 21 for full reference)</w:t>
            </w:r>
          </w:p>
        </w:tc>
      </w:tr>
    </w:tbl>
    <w:p>
      <w:pPr>
        <w:pStyle w:val="Normal"/>
        <w:rPr/>
      </w:pPr>
      <w:r>
        <w:rPr/>
      </w:r>
      <w:r>
        <w:br w:type="page"/>
      </w:r>
    </w:p>
    <w:p>
      <w:pPr>
        <w:pStyle w:val="Heading1"/>
        <w:shd w:val="clear" w:fill="0D2340"/>
        <w:spacing w:before="0" w:after="0"/>
        <w:ind w:left="80"/>
        <w:rPr/>
      </w:pPr>
      <w:bookmarkStart w:id="6" w:name="__RefHeading___Toc4483_3284268967"/>
      <w:bookmarkEnd w:id="6"/>
      <w:r>
        <w:rPr>
          <w:rFonts w:eastAsia="Arial" w:cs="Arial" w:ascii="Arial" w:hAnsi="Arial"/>
          <w:b/>
          <w:bCs/>
          <w:color w:val="2E75B6"/>
          <w:sz w:val="22"/>
          <w:szCs w:val="22"/>
        </w:rPr>
        <w:t>3</w:t>
      </w:r>
      <w:r>
        <w:rPr>
          <w:rFonts w:eastAsia="Arial" w:cs="Arial" w:ascii="Arial" w:hAnsi="Arial"/>
          <w:sz w:val="22"/>
          <w:szCs w:val="22"/>
        </w:rPr>
        <w:t xml:space="preserve">   </w:t>
      </w:r>
      <w:r>
        <w:rPr>
          <w:rFonts w:eastAsia="Arial" w:cs="Arial" w:ascii="Arial" w:hAnsi="Arial"/>
          <w:b/>
          <w:bCs/>
          <w:color w:val="FFFFFF"/>
          <w:sz w:val="26"/>
          <w:szCs w:val="26"/>
        </w:rPr>
        <w:t>ROLES &amp; CONTACTS</w:t>
      </w:r>
    </w:p>
    <w:p>
      <w:pPr>
        <w:pStyle w:val="Normal"/>
        <w:shd w:val="clear" w:fill="1F4E79"/>
        <w:spacing w:before="0" w:after="160"/>
        <w:ind w:left="80"/>
        <w:rPr/>
      </w:pPr>
      <w:r>
        <w:rPr>
          <w:rFonts w:eastAsia="Arial" w:cs="Arial"/>
          <w:i/>
          <w:iCs/>
          <w:color w:val="EBF3FB"/>
          <w:sz w:val="18"/>
          <w:szCs w:val="18"/>
        </w:rPr>
        <w:t>DR Execution Team — Confirmed Availability Required Before Initiation</w:t>
      </w:r>
    </w:p>
    <w:p>
      <w:pPr>
        <w:pStyle w:val="Normal"/>
        <w:spacing w:before="0" w:after="120"/>
        <w:rPr/>
      </w:pPr>
      <w:r>
        <w:rPr>
          <w:rFonts w:eastAsia="Arial" w:cs="Arial"/>
          <w:i w:val="false"/>
          <w:iCs w:val="false"/>
          <w:color w:val="44546A"/>
          <w:sz w:val="20"/>
          <w:szCs w:val="20"/>
        </w:rPr>
        <w:t>All profiles listed below must be confirmed available and reachable before initiating the role swap. All team members must be on the DR coordination call before Phase 1 begins.</w:t>
      </w:r>
    </w:p>
    <w:tbl>
      <w:tblPr>
        <w:tblW w:w="9360" w:type="dxa"/>
        <w:jc w:val="left"/>
        <w:tblInd w:w="0" w:type="dxa"/>
        <w:tblLayout w:type="fixed"/>
        <w:tblCellMar>
          <w:top w:w="80" w:type="dxa"/>
          <w:left w:w="140" w:type="dxa"/>
          <w:bottom w:w="80" w:type="dxa"/>
          <w:right w:w="140" w:type="dxa"/>
        </w:tblCellMar>
      </w:tblPr>
      <w:tblGrid>
        <w:gridCol w:w="1799"/>
        <w:gridCol w:w="4300"/>
        <w:gridCol w:w="1700"/>
        <w:gridCol w:w="1560"/>
      </w:tblGrid>
      <w:tr>
        <w:trPr>
          <w:tblHeader w:val="true"/>
          <w:cantSplit w:val="true"/>
        </w:trPr>
        <w:tc>
          <w:tcPr>
            <w:tcW w:w="1799"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Profile / Role</w:t>
            </w:r>
          </w:p>
        </w:tc>
        <w:tc>
          <w:tcPr>
            <w:tcW w:w="43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Responsibilities</w:t>
            </w:r>
          </w:p>
        </w:tc>
        <w:tc>
          <w:tcPr>
            <w:tcW w:w="17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Systems</w:t>
            </w:r>
          </w:p>
        </w:tc>
        <w:tc>
          <w:tcPr>
            <w:tcW w:w="156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20"/>
              <w:rPr/>
            </w:pPr>
            <w:r>
              <w:rPr>
                <w:rFonts w:eastAsia="Arial" w:cs="Arial"/>
                <w:b/>
                <w:bCs/>
                <w:color w:val="FFFFFF"/>
                <w:sz w:val="19"/>
                <w:szCs w:val="19"/>
              </w:rPr>
              <w:t>Availability</w:t>
            </w:r>
          </w:p>
          <w:p>
            <w:pPr>
              <w:pStyle w:val="Normal"/>
              <w:spacing w:before="0" w:after="0"/>
              <w:rPr/>
            </w:pPr>
            <w:r>
              <w:rPr>
                <w:rFonts w:eastAsia="Arial" w:cs="Arial"/>
                <w:b/>
                <w:bCs/>
                <w:color w:val="FFFFFF"/>
                <w:sz w:val="19"/>
                <w:szCs w:val="19"/>
              </w:rPr>
              <w:t>Confirmed</w:t>
            </w:r>
          </w:p>
        </w:tc>
      </w:tr>
      <w:tr>
        <w:trPr>
          <w:cantSplit w:val="true"/>
        </w:trPr>
        <w:tc>
          <w:tcPr>
            <w:tcW w:w="17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DR Lead / Sysadmin</w:t>
            </w:r>
          </w:p>
        </w:tc>
        <w:tc>
          <w:tcPr>
            <w:tcW w:w="43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DR orchestration. Handles DNS changes, Spyview key application, DSI key, JDE key initiation, GoldenGate restart, Robot Network GUI, FormsPrint queues, SMTP, and QNTC connectivity.</w:t>
            </w:r>
          </w:p>
        </w:tc>
        <w:tc>
          <w:tcPr>
            <w:tcW w:w="17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DEVAC / DEVAT</w:t>
            </w:r>
          </w:p>
        </w:tc>
        <w:tc>
          <w:tcPr>
            <w:tcW w:w="156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w:t>
            </w:r>
          </w:p>
        </w:tc>
      </w:tr>
      <w:tr>
        <w:trPr>
          <w:cantSplit w:val="true"/>
        </w:trPr>
        <w:tc>
          <w:tcPr>
            <w:tcW w:w="17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SYSMGMT</w:t>
            </w:r>
          </w:p>
        </w:tc>
        <w:tc>
          <w:tcPr>
            <w:tcW w:w="43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System Management privileged profile. Responsible for ending/starting Level 3, applying 3rd-party keys (Spyview, Turnover, FastFax), and post-DR job execution (ETS51000, ETS50020, ETS50001, ETS40080, OPS90100).</w:t>
            </w:r>
          </w:p>
        </w:tc>
        <w:tc>
          <w:tcPr>
            <w:tcW w:w="17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DEVAC / DEVAT</w:t>
            </w:r>
          </w:p>
        </w:tc>
        <w:tc>
          <w:tcPr>
            <w:tcW w:w="156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w:t>
            </w:r>
          </w:p>
        </w:tc>
      </w:tr>
      <w:tr>
        <w:trPr>
          <w:cantSplit w:val="true"/>
        </w:trPr>
        <w:tc>
          <w:tcPr>
            <w:tcW w:w="17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MLENGBR2</w:t>
            </w:r>
          </w:p>
        </w:tc>
        <w:tc>
          <w:tcPr>
            <w:tcW w:w="43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Operations / Middleware profile. Stops GoldenGate (GGSCI), runs Robot stop/start jobs (ETS95040, ETS95010, ETS95030), Robot Schedule reset (RSLSETOID), FormsPrint verification, and TCP host table updates across all systems.</w:t>
            </w:r>
          </w:p>
        </w:tc>
        <w:tc>
          <w:tcPr>
            <w:tcW w:w="17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DEVAC / DEVAT / PA / PE</w:t>
            </w:r>
          </w:p>
        </w:tc>
        <w:tc>
          <w:tcPr>
            <w:tcW w:w="156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w:t>
            </w:r>
          </w:p>
        </w:tc>
      </w:tr>
      <w:tr>
        <w:trPr>
          <w:cantSplit w:val="true"/>
        </w:trPr>
        <w:tc>
          <w:tcPr>
            <w:tcW w:w="17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QSECOFR</w:t>
            </w:r>
          </w:p>
        </w:tc>
        <w:tc>
          <w:tcPr>
            <w:tcW w:w="43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Security Officer profile. Responsible for IBM PowerHA cluster operations via WRKCLU — verifying/switching the DEVADEVCRG Resource Group, monitoring IASP VARYOFF/AVAILABLE states, and rebuilding JDE index objects.</w:t>
            </w:r>
          </w:p>
        </w:tc>
        <w:tc>
          <w:tcPr>
            <w:tcW w:w="17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DEVAT / DEVAC</w:t>
            </w:r>
          </w:p>
        </w:tc>
        <w:tc>
          <w:tcPr>
            <w:tcW w:w="156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w:t>
            </w:r>
          </w:p>
        </w:tc>
      </w:tr>
      <w:tr>
        <w:trPr>
          <w:cantSplit w:val="true"/>
        </w:trPr>
        <w:tc>
          <w:tcPr>
            <w:tcW w:w="17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DXRECOV</w:t>
            </w:r>
          </w:p>
        </w:tc>
        <w:tc>
          <w:tcPr>
            <w:tcW w:w="43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Recovery profile used exclusively for applying the DXRECOV system install key and verifying the software security code via the CSEC/G94 menu.</w:t>
            </w:r>
          </w:p>
        </w:tc>
        <w:tc>
          <w:tcPr>
            <w:tcW w:w="17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DEVAC</w:t>
            </w:r>
          </w:p>
        </w:tc>
        <w:tc>
          <w:tcPr>
            <w:tcW w:w="156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w:t>
            </w:r>
          </w:p>
        </w:tc>
      </w:tr>
      <w:tr>
        <w:trPr>
          <w:cantSplit w:val="true"/>
        </w:trPr>
        <w:tc>
          <w:tcPr>
            <w:tcW w:w="17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Mimix Administrator (FS7300)</w:t>
            </w:r>
          </w:p>
        </w:tc>
        <w:tc>
          <w:tcPr>
            <w:tcW w:w="43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Verifies that the Mimix replication direction has switched after the PowerHA IASP switchover completes.</w:t>
            </w:r>
          </w:p>
        </w:tc>
        <w:tc>
          <w:tcPr>
            <w:tcW w:w="17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Replication (10.7.1.182/182)</w:t>
            </w:r>
          </w:p>
        </w:tc>
        <w:tc>
          <w:tcPr>
            <w:tcW w:w="156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w:t>
            </w:r>
          </w:p>
        </w:tc>
      </w:tr>
      <w:tr>
        <w:trPr>
          <w:cantSplit w:val="true"/>
        </w:trPr>
        <w:tc>
          <w:tcPr>
            <w:tcW w:w="17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DR Test Team</w:t>
            </w:r>
          </w:p>
        </w:tc>
        <w:tc>
          <w:tcPr>
            <w:tcW w:w="43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Performs application-level smoke tests on DEVAC/Equinix to confirm the DR environment is functional before Level 3 is started.</w:t>
            </w:r>
          </w:p>
        </w:tc>
        <w:tc>
          <w:tcPr>
            <w:tcW w:w="17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DEVAC</w:t>
            </w:r>
          </w:p>
        </w:tc>
        <w:tc>
          <w:tcPr>
            <w:tcW w:w="156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w:t>
            </w:r>
          </w:p>
        </w:tc>
      </w:tr>
    </w:tbl>
    <w:p>
      <w:pPr>
        <w:pStyle w:val="Normal"/>
        <w:rPr/>
      </w:pPr>
      <w:r>
        <w:rPr/>
      </w:r>
      <w:r>
        <w:br w:type="page"/>
      </w:r>
    </w:p>
    <w:p>
      <w:pPr>
        <w:pStyle w:val="Heading1"/>
        <w:shd w:val="clear" w:fill="0D2340"/>
        <w:spacing w:before="0" w:after="0"/>
        <w:ind w:left="80"/>
        <w:rPr/>
      </w:pPr>
      <w:bookmarkStart w:id="7" w:name="__RefHeading___Toc4485_3284268967"/>
      <w:bookmarkEnd w:id="7"/>
      <w:r>
        <w:rPr>
          <w:rFonts w:eastAsia="Arial" w:cs="Arial" w:ascii="Arial" w:hAnsi="Arial"/>
          <w:b/>
          <w:bCs/>
          <w:color w:val="2E75B6"/>
          <w:sz w:val="22"/>
          <w:szCs w:val="22"/>
        </w:rPr>
        <w:t>4</w:t>
      </w:r>
      <w:r>
        <w:rPr>
          <w:rFonts w:eastAsia="Arial" w:cs="Arial" w:ascii="Arial" w:hAnsi="Arial"/>
          <w:sz w:val="22"/>
          <w:szCs w:val="22"/>
        </w:rPr>
        <w:t xml:space="preserve">   </w:t>
      </w:r>
      <w:r>
        <w:rPr>
          <w:rFonts w:eastAsia="Arial" w:cs="Arial" w:ascii="Arial" w:hAnsi="Arial"/>
          <w:b/>
          <w:bCs/>
          <w:color w:val="FFFFFF"/>
          <w:sz w:val="26"/>
          <w:szCs w:val="26"/>
        </w:rPr>
        <w:t>PREREQUISITES &amp; PRE-DR CHECKS</w:t>
      </w:r>
    </w:p>
    <w:p>
      <w:pPr>
        <w:pStyle w:val="Normal"/>
        <w:shd w:val="clear" w:fill="1F4E79"/>
        <w:spacing w:before="0" w:after="160"/>
        <w:ind w:left="80"/>
        <w:rPr/>
      </w:pPr>
      <w:r>
        <w:rPr>
          <w:rFonts w:eastAsia="Arial" w:cs="Arial"/>
          <w:i/>
          <w:iCs/>
          <w:color w:val="EBF3FB"/>
          <w:sz w:val="18"/>
          <w:szCs w:val="18"/>
        </w:rPr>
        <w:t>Readiness Confirmation Before Role Swap Execution</w:t>
      </w:r>
    </w:p>
    <w:p>
      <w:pPr>
        <w:pStyle w:val="Normal"/>
        <w:spacing w:before="0" w:after="120"/>
        <w:rPr/>
      </w:pPr>
      <w:r>
        <w:rPr>
          <w:rFonts w:eastAsia="Arial" w:cs="Arial"/>
          <w:i w:val="false"/>
          <w:iCs w:val="false"/>
          <w:color w:val="44546A"/>
          <w:sz w:val="20"/>
          <w:szCs w:val="20"/>
        </w:rPr>
        <w:t>All items in this section must be verified before initiating the role swap. Do not proceed to Section 5 until every applicable item is complete.</w:t>
      </w:r>
    </w:p>
    <w:p>
      <w:pPr>
        <w:pStyle w:val="Heading2"/>
        <w:spacing w:before="200" w:after="60"/>
        <w:rPr/>
      </w:pPr>
      <w:bookmarkStart w:id="8" w:name="__RefHeading___Toc4487_3284268967"/>
      <w:bookmarkEnd w:id="8"/>
      <w:r>
        <w:rPr>
          <w:rFonts w:eastAsia="Arial" w:cs="Arial" w:ascii="Arial" w:hAnsi="Arial"/>
          <w:b/>
          <w:bCs/>
          <w:color w:val="2E75B6"/>
          <w:sz w:val="22"/>
          <w:szCs w:val="22"/>
        </w:rPr>
        <w:t xml:space="preserve">4.1  </w:t>
      </w:r>
      <w:r>
        <w:rPr>
          <w:rFonts w:eastAsia="Arial" w:cs="Arial" w:ascii="Arial" w:hAnsi="Arial"/>
          <w:b/>
          <w:bCs/>
          <w:color w:val="1A3A5C"/>
          <w:sz w:val="22"/>
          <w:szCs w:val="22"/>
        </w:rPr>
        <w:t>Required Before Starting DR</w:t>
      </w:r>
    </w:p>
    <w:p>
      <w:pPr>
        <w:pStyle w:val="Normal"/>
        <w:pBdr>
          <w:bottom w:val="single" w:sz="8" w:space="1" w:color="2E75B6"/>
        </w:pBdr>
        <w:spacing w:before="0" w:after="60"/>
        <w:rPr/>
      </w:pPr>
      <w:r>
        <w:rPr/>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Confirm all team members are present on the DR coordination call: DR Lead, SYSMGMT, MLENGBR2, QSECOFR, DXRECOV, and the Mimix Administrator (FS7300).</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Run ETS50021 on DEVAT to enable the SYSMGMT profile. This must be run before any SYSMGMT logon.</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3</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Clean document folders on all LPARs prior to DR: WRKFLR, STATDOC, WRKDOC. These should be empty — validate on DEVAHA before proceeding (the program deletes these at the end of the CL).</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4</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Capture pre-DR screenshots for rollback comparison: JDE key (DSPDTAARA JDFOBJA73/QJDF) and the DXRECOV security code (G94 &gt; 14 &gt; F6).</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5</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Confirm the network/DNS administrator is available to update the DEVA DNS pointer.</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6</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Confirm all 3rd-party licence keys are staged and accessible.</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7</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Confirm the Mimix Administrator (FS7300) is available and standing by.</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bl>
    <w:p>
      <w:pPr>
        <w:pStyle w:val="Normal"/>
        <w:spacing w:before="160" w:after="200"/>
        <w:rPr/>
      </w:pPr>
      <w:r>
        <w:rPr/>
      </w:r>
    </w:p>
    <w:p>
      <w:pPr>
        <w:pStyle w:val="Heading2"/>
        <w:spacing w:before="200" w:after="60"/>
        <w:rPr/>
      </w:pPr>
      <w:bookmarkStart w:id="9" w:name="__RefHeading___Toc4489_3284268967"/>
      <w:bookmarkEnd w:id="9"/>
      <w:r>
        <w:rPr>
          <w:rFonts w:eastAsia="Arial" w:cs="Arial" w:ascii="Arial" w:hAnsi="Arial"/>
          <w:b/>
          <w:bCs/>
          <w:color w:val="2E75B6"/>
          <w:sz w:val="22"/>
          <w:szCs w:val="22"/>
        </w:rPr>
        <w:t xml:space="preserve">4.2  </w:t>
      </w:r>
      <w:r>
        <w:rPr>
          <w:rFonts w:eastAsia="Arial" w:cs="Arial" w:ascii="Arial" w:hAnsi="Arial"/>
          <w:b/>
          <w:bCs/>
          <w:color w:val="1A3A5C"/>
          <w:sz w:val="22"/>
          <w:szCs w:val="22"/>
        </w:rPr>
        <w:t>PowerHA Pre-Checks</w:t>
      </w:r>
    </w:p>
    <w:p>
      <w:pPr>
        <w:pStyle w:val="Normal"/>
        <w:pBdr>
          <w:bottom w:val="single" w:sz="8" w:space="1" w:color="2E75B6"/>
        </w:pBdr>
        <w:spacing w:before="0" w:after="60"/>
        <w:rPr/>
      </w:pPr>
      <w:r>
        <w:rPr/>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Confirm the DEVADEVCRG Resource Group is Active (WRKCLU Option 9).</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Confirm the Primary Node is correctly set to DEVAT/Temple before initiating the role swap.</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3</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Confirm the ASP copy is current and verified on DEVAHA (WRKCLU Option 10 &gt; Option 25).</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4</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Confirm all 4 cluster nodes are active and communicating.</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bl>
    <w:p>
      <w:pPr>
        <w:pStyle w:val="Normal"/>
        <w:spacing w:before="160" w:after="200"/>
        <w:rPr/>
      </w:pPr>
      <w:r>
        <w:rPr/>
      </w:r>
    </w:p>
    <w:p>
      <w:pPr>
        <w:pStyle w:val="Heading2"/>
        <w:spacing w:before="200" w:after="60"/>
        <w:rPr/>
      </w:pPr>
      <w:bookmarkStart w:id="10" w:name="__RefHeading___Toc4491_3284268967"/>
      <w:bookmarkEnd w:id="10"/>
      <w:r>
        <w:rPr>
          <w:rFonts w:eastAsia="Arial" w:cs="Arial" w:ascii="Arial" w:hAnsi="Arial"/>
          <w:b/>
          <w:bCs/>
          <w:color w:val="2E75B6"/>
          <w:sz w:val="22"/>
          <w:szCs w:val="22"/>
        </w:rPr>
        <w:t xml:space="preserve">4.3  </w:t>
      </w:r>
      <w:r>
        <w:rPr>
          <w:rFonts w:eastAsia="Arial" w:cs="Arial" w:ascii="Arial" w:hAnsi="Arial"/>
          <w:b/>
          <w:bCs/>
          <w:color w:val="1A3A5C"/>
          <w:sz w:val="22"/>
          <w:szCs w:val="22"/>
        </w:rPr>
        <w:t>GoldenGate Pre-Checks</w:t>
      </w:r>
    </w:p>
    <w:p>
      <w:pPr>
        <w:pStyle w:val="Normal"/>
        <w:pBdr>
          <w:bottom w:val="single" w:sz="8" w:space="1" w:color="2E75B6"/>
        </w:pBdr>
        <w:spacing w:before="0" w:after="60"/>
        <w:rPr/>
      </w:pPr>
      <w:r>
        <w:rPr/>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Confirm GoldenGate is running and healthy on DEVAT before starting the DR event.</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Confirm GoldenGate will be stopped cleanly (GGSCI &gt; STOP MANAGER) before Level 3 is ended in Phase 3.</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bl>
    <w:p>
      <w:pPr>
        <w:pStyle w:val="Normal"/>
        <w:rPr/>
      </w:pPr>
      <w:r>
        <w:rPr/>
      </w:r>
      <w:r>
        <w:br w:type="page"/>
      </w:r>
    </w:p>
    <w:p>
      <w:pPr>
        <w:pStyle w:val="Heading1"/>
        <w:shd w:val="clear" w:fill="0D2340"/>
        <w:spacing w:before="0" w:after="0"/>
        <w:ind w:left="80"/>
        <w:rPr/>
      </w:pPr>
      <w:bookmarkStart w:id="11" w:name="__RefHeading___Toc4493_3284268967"/>
      <w:bookmarkEnd w:id="11"/>
      <w:r>
        <w:rPr>
          <w:rFonts w:eastAsia="Arial" w:cs="Arial" w:ascii="Arial" w:hAnsi="Arial"/>
          <w:b/>
          <w:bCs/>
          <w:color w:val="2E75B6"/>
          <w:sz w:val="22"/>
          <w:szCs w:val="22"/>
        </w:rPr>
        <w:t>5</w:t>
      </w:r>
      <w:r>
        <w:rPr>
          <w:rFonts w:eastAsia="Arial" w:cs="Arial" w:ascii="Arial" w:hAnsi="Arial"/>
          <w:sz w:val="22"/>
          <w:szCs w:val="22"/>
        </w:rPr>
        <w:t xml:space="preserve">   </w:t>
      </w:r>
      <w:r>
        <w:rPr>
          <w:rFonts w:eastAsia="Arial" w:cs="Arial" w:ascii="Arial" w:hAnsi="Arial"/>
          <w:b/>
          <w:bCs/>
          <w:color w:val="FFFFFF"/>
          <w:sz w:val="26"/>
          <w:szCs w:val="26"/>
        </w:rPr>
        <w:t>PRE-DR PREPARATION &amp; ENVIRONMENT CHECKS</w:t>
      </w:r>
    </w:p>
    <w:p>
      <w:pPr>
        <w:pStyle w:val="Normal"/>
        <w:shd w:val="clear" w:fill="1F4E79"/>
        <w:spacing w:before="0" w:after="160"/>
        <w:ind w:left="80"/>
        <w:rPr/>
      </w:pPr>
      <w:r>
        <w:rPr>
          <w:rFonts w:eastAsia="Arial" w:cs="Arial"/>
          <w:i/>
          <w:iCs/>
          <w:color w:val="EBF3FB"/>
          <w:sz w:val="18"/>
          <w:szCs w:val="18"/>
        </w:rPr>
        <w:t>Phase 1 — Console Logon &amp; Baseline Capture</w:t>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Signon to CONSOLE as SYSMGMT on DEVA/Temple (IP: 10.7.1.180). Go to Option 10 on screen.</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Verify system values and capture baseline system state for comparison after the role swap:</w:t>
            </w:r>
          </w:p>
          <w:p>
            <w:pPr>
              <w:pStyle w:val="Normal"/>
              <w:shd w:val="clear" w:fill="1E1E2E"/>
              <w:spacing w:before="40" w:after="20"/>
              <w:rPr/>
            </w:pPr>
            <w:r>
              <w:rPr>
                <w:rFonts w:eastAsia="Courier New" w:cs="Courier New" w:ascii="Courier New" w:hAnsi="Courier New"/>
                <w:color w:val="A8D8EA"/>
                <w:sz w:val="17"/>
                <w:szCs w:val="17"/>
              </w:rPr>
              <w:t>DSPSYSVAL SYSVAL(QABNORMSW)</w:t>
            </w:r>
          </w:p>
          <w:p>
            <w:pPr>
              <w:pStyle w:val="Normal"/>
              <w:shd w:val="clear" w:fill="1E1E2E"/>
              <w:spacing w:before="40" w:after="20"/>
              <w:rPr/>
            </w:pPr>
            <w:r>
              <w:rPr>
                <w:rFonts w:eastAsia="Courier New" w:cs="Courier New" w:ascii="Courier New" w:hAnsi="Courier New"/>
                <w:color w:val="A8D8EA"/>
                <w:sz w:val="17"/>
                <w:szCs w:val="17"/>
              </w:rPr>
              <w:t>DSPFMWSTS</w:t>
            </w:r>
          </w:p>
          <w:p>
            <w:pPr>
              <w:pStyle w:val="Normal"/>
              <w:shd w:val="clear" w:fill="1E1E2E"/>
              <w:spacing w:before="40" w:after="20"/>
              <w:rPr/>
            </w:pPr>
            <w:r>
              <w:rPr>
                <w:rFonts w:eastAsia="Courier New" w:cs="Courier New" w:ascii="Courier New" w:hAnsi="Courier New"/>
                <w:color w:val="A8D8EA"/>
                <w:sz w:val="17"/>
                <w:szCs w:val="17"/>
              </w:rPr>
              <w:t>WRKLICINF</w:t>
            </w:r>
          </w:p>
          <w:p>
            <w:pPr>
              <w:pStyle w:val="Normal"/>
              <w:shd w:val="clear" w:fill="1E1E2E"/>
              <w:spacing w:before="40" w:after="20"/>
              <w:rPr/>
            </w:pPr>
            <w:r>
              <w:rPr>
                <w:rFonts w:eastAsia="Courier New" w:cs="Courier New" w:ascii="Courier New" w:hAnsi="Courier New"/>
                <w:color w:val="A8D8EA"/>
                <w:sz w:val="17"/>
                <w:szCs w:val="17"/>
              </w:rPr>
              <w:t>GO LICPGM OPTION(10)</w:t>
            </w:r>
          </w:p>
          <w:p>
            <w:pPr>
              <w:pStyle w:val="Normal"/>
              <w:shd w:val="clear" w:fill="1E1E2E"/>
              <w:spacing w:before="40" w:after="20"/>
              <w:rPr/>
            </w:pPr>
            <w:r>
              <w:rPr>
                <w:rFonts w:eastAsia="Courier New" w:cs="Courier New" w:ascii="Courier New" w:hAnsi="Courier New"/>
                <w:color w:val="A8D8EA"/>
                <w:sz w:val="17"/>
                <w:szCs w:val="17"/>
              </w:rPr>
              <w:t>CALL QSFWINV</w:t>
            </w:r>
          </w:p>
          <w:p>
            <w:pPr>
              <w:pStyle w:val="Normal"/>
              <w:shd w:val="clear" w:fill="1E1E2E"/>
              <w:spacing w:before="40" w:after="0"/>
              <w:rPr/>
            </w:pPr>
            <w:r>
              <w:rPr>
                <w:rFonts w:eastAsia="Courier New" w:cs="Courier New" w:ascii="Courier New" w:hAnsi="Courier New"/>
                <w:color w:val="A8D8EA"/>
                <w:sz w:val="17"/>
                <w:szCs w:val="17"/>
              </w:rPr>
              <w:t>DSPSFWRSC</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bl>
    <w:p>
      <w:pPr>
        <w:pStyle w:val="Normal"/>
        <w:rPr/>
      </w:pPr>
      <w:r>
        <w:rPr/>
      </w:r>
      <w:r>
        <w:br w:type="page"/>
      </w:r>
    </w:p>
    <w:p>
      <w:pPr>
        <w:pStyle w:val="Heading1"/>
        <w:shd w:val="clear" w:fill="0D2340"/>
        <w:spacing w:before="0" w:after="0"/>
        <w:ind w:left="80"/>
        <w:rPr/>
      </w:pPr>
      <w:bookmarkStart w:id="12" w:name="__RefHeading___Toc4495_3284268967"/>
      <w:bookmarkEnd w:id="12"/>
      <w:r>
        <w:rPr>
          <w:rFonts w:eastAsia="Arial" w:cs="Arial" w:ascii="Arial" w:hAnsi="Arial"/>
          <w:b/>
          <w:bCs/>
          <w:color w:val="2E75B6"/>
          <w:sz w:val="22"/>
          <w:szCs w:val="22"/>
        </w:rPr>
        <w:t>6</w:t>
      </w:r>
      <w:r>
        <w:rPr>
          <w:rFonts w:eastAsia="Arial" w:cs="Arial" w:ascii="Arial" w:hAnsi="Arial"/>
          <w:sz w:val="22"/>
          <w:szCs w:val="22"/>
        </w:rPr>
        <w:t xml:space="preserve">   </w:t>
      </w:r>
      <w:r>
        <w:rPr>
          <w:rFonts w:eastAsia="Arial" w:cs="Arial" w:ascii="Arial" w:hAnsi="Arial"/>
          <w:b/>
          <w:bCs/>
          <w:color w:val="FFFFFF"/>
          <w:sz w:val="26"/>
          <w:szCs w:val="26"/>
        </w:rPr>
        <w:t>DNS UPDATE</w:t>
      </w:r>
    </w:p>
    <w:p>
      <w:pPr>
        <w:pStyle w:val="Normal"/>
        <w:shd w:val="clear" w:fill="1F4E79"/>
        <w:spacing w:before="0" w:after="160"/>
        <w:ind w:left="80"/>
        <w:rPr/>
      </w:pPr>
      <w:r>
        <w:rPr>
          <w:rFonts w:eastAsia="Arial" w:cs="Arial"/>
          <w:i/>
          <w:iCs/>
          <w:color w:val="EBF3FB"/>
          <w:sz w:val="18"/>
          <w:szCs w:val="18"/>
        </w:rPr>
        <w:t>Phase 2 — Network Team Coordination</w:t>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6" w:space="0" w:color="C55A00"/>
              <w:left w:val="single" w:sz="18" w:space="0" w:color="C55A00"/>
              <w:bottom w:val="single" w:sz="6" w:space="0" w:color="C55A00"/>
              <w:right w:val="single" w:sz="6" w:space="0" w:color="C55A00"/>
            </w:tcBorders>
            <w:shd w:fill="FFF2CC" w:val="clear"/>
          </w:tcPr>
          <w:p>
            <w:pPr>
              <w:pStyle w:val="Normal"/>
              <w:rPr/>
            </w:pPr>
            <w:r>
              <w:rPr>
                <w:rFonts w:eastAsia="Arial" w:cs="Arial"/>
                <w:b/>
                <w:bCs/>
                <w:color w:val="C55A00"/>
                <w:sz w:val="19"/>
                <w:szCs w:val="19"/>
              </w:rPr>
              <w:t xml:space="preserve">⚠  </w:t>
            </w:r>
            <w:r>
              <w:rPr>
                <w:rFonts w:eastAsia="Arial" w:cs="Arial"/>
                <w:b/>
                <w:bCs/>
                <w:color w:val="C55A00"/>
                <w:sz w:val="19"/>
                <w:szCs w:val="19"/>
              </w:rPr>
              <w:t>MANDATORY ADVISORY</w:t>
            </w:r>
          </w:p>
          <w:p>
            <w:pPr>
              <w:pStyle w:val="Normal"/>
              <w:spacing w:before="60" w:after="0"/>
              <w:rPr/>
            </w:pPr>
            <w:r>
              <w:rPr>
                <w:rFonts w:eastAsia="Arial" w:cs="Arial"/>
                <w:color w:val="44546A"/>
                <w:sz w:val="19"/>
                <w:szCs w:val="19"/>
              </w:rPr>
              <w:t>The DNS change must be made before any subsystems are ended. Do not proceed to Phase 3 until ping tests confirm DNS propagation.</w:t>
            </w:r>
          </w:p>
        </w:tc>
      </w:tr>
    </w:tbl>
    <w:p>
      <w:pPr>
        <w:pStyle w:val="Normal"/>
        <w:spacing w:before="160" w:after="160"/>
        <w:rPr/>
      </w:pPr>
      <w:r>
        <w:rPr/>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Open the DR validation URL to confirm current routing, then flush the local DNS cache:</w:t>
            </w:r>
          </w:p>
          <w:p>
            <w:pPr>
              <w:pStyle w:val="Normal"/>
              <w:shd w:val="clear" w:fill="1E1E2E"/>
              <w:spacing w:before="40" w:after="20"/>
              <w:rPr/>
            </w:pPr>
            <w:r>
              <w:rPr>
                <w:rFonts w:eastAsia="Courier New" w:cs="Courier New" w:ascii="Courier New" w:hAnsi="Courier New"/>
                <w:color w:val="A8D8EA"/>
                <w:sz w:val="17"/>
                <w:szCs w:val="17"/>
              </w:rPr>
              <w:t>https://olamvssprod.mclaneco.com</w:t>
            </w:r>
          </w:p>
          <w:p>
            <w:pPr>
              <w:pStyle w:val="Normal"/>
              <w:shd w:val="clear" w:fill="1E1E2E"/>
              <w:spacing w:before="40" w:after="0"/>
              <w:rPr/>
            </w:pPr>
            <w:r>
              <w:rPr>
                <w:rFonts w:eastAsia="Courier New" w:cs="Courier New" w:ascii="Courier New" w:hAnsi="Courier New"/>
                <w:color w:val="A8D8EA"/>
                <w:sz w:val="17"/>
                <w:szCs w:val="17"/>
              </w:rPr>
              <w:t>ipconfig /flushdns</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Confirm DEVA currently resolves to DEVAT/Temple before making any change.</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3</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Select the DR Template in the DNS management console. Change the DEVA pointer from 10.7.1.231 (DEVAT/Temple) to 10.7.1.161 (DEVAC/Equinix).</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4</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Test ping to confirm DNS propagation on all client machines (repeat ipconfig /flushdns as needed):</w:t>
            </w:r>
          </w:p>
          <w:p>
            <w:pPr>
              <w:pStyle w:val="Normal"/>
              <w:shd w:val="clear" w:fill="1E1E2E"/>
              <w:spacing w:before="40" w:after="20"/>
              <w:rPr/>
            </w:pPr>
            <w:r>
              <w:rPr>
                <w:rFonts w:eastAsia="Courier New" w:cs="Courier New" w:ascii="Courier New" w:hAnsi="Courier New"/>
                <w:color w:val="A8D8EA"/>
                <w:sz w:val="17"/>
                <w:szCs w:val="17"/>
              </w:rPr>
              <w:t>ping DEVA</w:t>
            </w:r>
          </w:p>
          <w:p>
            <w:pPr>
              <w:pStyle w:val="Normal"/>
              <w:shd w:val="clear" w:fill="1E1E2E"/>
              <w:spacing w:before="40" w:after="0"/>
              <w:rPr/>
            </w:pPr>
            <w:r>
              <w:rPr>
                <w:rFonts w:eastAsia="Courier New" w:cs="Courier New" w:ascii="Courier New" w:hAnsi="Courier New"/>
                <w:color w:val="A8D8EA"/>
                <w:sz w:val="17"/>
                <w:szCs w:val="17"/>
              </w:rPr>
              <w:t>ping DEVA.APPN.SNA.IBM.COM</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bl>
    <w:p>
      <w:pPr>
        <w:pStyle w:val="Normal"/>
        <w:spacing w:before="160" w:after="0"/>
        <w:rPr/>
      </w:pPr>
      <w:r>
        <w:rPr/>
      </w:r>
    </w:p>
    <w:tbl>
      <w:tblPr>
        <w:tblW w:w="9360" w:type="dxa"/>
        <w:jc w:val="left"/>
        <w:tblInd w:w="0" w:type="dxa"/>
        <w:tblLayout w:type="fixed"/>
        <w:tblCellMar>
          <w:top w:w="100" w:type="dxa"/>
          <w:left w:w="160" w:type="dxa"/>
          <w:bottom w:w="100" w:type="dxa"/>
          <w:right w:w="160" w:type="dxa"/>
        </w:tblCellMar>
      </w:tblPr>
      <w:tblGrid>
        <w:gridCol w:w="1560"/>
        <w:gridCol w:w="7799"/>
      </w:tblGrid>
      <w:tr>
        <w:trPr>
          <w:tblHeader w:val="true"/>
          <w:cantSplit w:val="true"/>
        </w:trPr>
        <w:tc>
          <w:tcPr>
            <w:tcW w:w="9359" w:type="dxa"/>
            <w:gridSpan w:val="2"/>
            <w:tcBorders>
              <w:top w:val="single" w:sz="4" w:space="0" w:color="1A3A5C"/>
              <w:left w:val="single" w:sz="4" w:space="0" w:color="1A3A5C"/>
              <w:bottom w:val="single" w:sz="4" w:space="0" w:color="1A3A5C"/>
              <w:right w:val="single" w:sz="4" w:space="0" w:color="1A3A5C"/>
            </w:tcBorders>
            <w:shd w:fill="1F4E79" w:val="clear"/>
          </w:tcPr>
          <w:p>
            <w:pPr>
              <w:pStyle w:val="Normal"/>
              <w:rPr/>
            </w:pPr>
            <w:r>
              <w:rPr>
                <w:rFonts w:eastAsia="Arial" w:cs="Arial"/>
                <w:b/>
                <w:bCs/>
                <w:color w:val="D6E4F0"/>
                <w:sz w:val="19"/>
                <w:szCs w:val="19"/>
              </w:rPr>
              <w:t xml:space="preserve">EVIDENCE CAPTURE  —  </w:t>
            </w:r>
            <w:r>
              <w:rPr>
                <w:rFonts w:eastAsia="Arial" w:cs="Arial"/>
                <w:b/>
                <w:bCs/>
                <w:color w:val="FFFFFF"/>
                <w:sz w:val="19"/>
                <w:szCs w:val="19"/>
              </w:rPr>
              <w:t>6 — DNS Pointer Updated &amp; Propagation Confirmed</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Completed By</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Date / Time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System Output / Reference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Result</w:t>
            </w:r>
          </w:p>
        </w:tc>
        <w:tc>
          <w:tcPr>
            <w:tcW w:w="7799" w:type="dxa"/>
            <w:tcBorders>
              <w:top w:val="single" w:sz="4" w:space="0" w:color="1F4E79"/>
              <w:left w:val="single" w:sz="4" w:space="0" w:color="1F4E79"/>
              <w:bottom w:val="single" w:sz="4" w:space="0" w:color="1F4E79"/>
              <w:right w:val="single" w:sz="4" w:space="0" w:color="1F4E79"/>
            </w:tcBorders>
            <w:shd w:fill="E2EFDA" w:val="clear"/>
            <w:tcMar>
              <w:top w:w="80" w:type="dxa"/>
              <w:left w:w="140" w:type="dxa"/>
              <w:bottom w:w="80" w:type="dxa"/>
              <w:right w:w="140" w:type="dxa"/>
            </w:tcMar>
          </w:tcPr>
          <w:p>
            <w:pPr>
              <w:pStyle w:val="Normal"/>
              <w:rPr/>
            </w:pPr>
            <w:r>
              <w:rPr>
                <w:rFonts w:eastAsia="Arial" w:cs="Arial"/>
                <w:b/>
                <w:bCs/>
                <w:color w:val="375623"/>
                <w:sz w:val="19"/>
                <w:szCs w:val="19"/>
              </w:rPr>
              <w:t xml:space="preserve">☐  </w:t>
            </w:r>
            <w:r>
              <w:rPr>
                <w:rFonts w:eastAsia="Arial" w:cs="Arial"/>
                <w:b/>
                <w:bCs/>
                <w:color w:val="375623"/>
                <w:sz w:val="19"/>
                <w:szCs w:val="19"/>
              </w:rPr>
              <w:t>VERIFIED</w:t>
            </w:r>
            <w:r>
              <w:rPr>
                <w:rFonts w:eastAsia="Arial" w:cs="Arial"/>
                <w:sz w:val="19"/>
                <w:szCs w:val="19"/>
              </w:rPr>
              <w:t xml:space="preserve">          </w:t>
            </w:r>
            <w:r>
              <w:rPr>
                <w:rFonts w:eastAsia="Arial" w:cs="Arial"/>
                <w:b/>
                <w:bCs/>
                <w:color w:val="C00000"/>
                <w:sz w:val="19"/>
                <w:szCs w:val="19"/>
              </w:rPr>
              <w:t>☐  EXCEPTION</w:t>
            </w:r>
            <w:r>
              <w:rPr>
                <w:rFonts w:eastAsia="Arial" w:cs="Arial"/>
                <w:sz w:val="19"/>
                <w:szCs w:val="19"/>
              </w:rPr>
              <w:t xml:space="preserve">          </w:t>
            </w:r>
            <w:r>
              <w:rPr>
                <w:rFonts w:eastAsia="Arial" w:cs="Arial"/>
                <w:b/>
                <w:bCs/>
                <w:color w:val="666666"/>
                <w:sz w:val="19"/>
                <w:szCs w:val="19"/>
              </w:rPr>
              <w:t>☐  N/A</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Notes / Issues</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bl>
    <w:p>
      <w:pPr>
        <w:pStyle w:val="Normal"/>
        <w:rPr/>
      </w:pPr>
      <w:r>
        <w:rPr/>
      </w:r>
      <w:r>
        <w:br w:type="page"/>
      </w:r>
    </w:p>
    <w:p>
      <w:pPr>
        <w:pStyle w:val="Heading1"/>
        <w:shd w:val="clear" w:fill="0D2340"/>
        <w:spacing w:before="0" w:after="0"/>
        <w:ind w:left="80"/>
        <w:rPr/>
      </w:pPr>
      <w:bookmarkStart w:id="13" w:name="__RefHeading___Toc4497_3284268967"/>
      <w:bookmarkEnd w:id="13"/>
      <w:r>
        <w:rPr>
          <w:rFonts w:eastAsia="Arial" w:cs="Arial" w:ascii="Arial" w:hAnsi="Arial"/>
          <w:b/>
          <w:bCs/>
          <w:color w:val="2E75B6"/>
          <w:sz w:val="22"/>
          <w:szCs w:val="22"/>
        </w:rPr>
        <w:t>7</w:t>
      </w:r>
      <w:r>
        <w:rPr>
          <w:rFonts w:eastAsia="Arial" w:cs="Arial" w:ascii="Arial" w:hAnsi="Arial"/>
          <w:sz w:val="22"/>
          <w:szCs w:val="22"/>
        </w:rPr>
        <w:t xml:space="preserve">   </w:t>
      </w:r>
      <w:r>
        <w:rPr>
          <w:rFonts w:eastAsia="Arial" w:cs="Arial" w:ascii="Arial" w:hAnsi="Arial"/>
          <w:b/>
          <w:bCs/>
          <w:color w:val="FFFFFF"/>
          <w:sz w:val="26"/>
          <w:szCs w:val="26"/>
        </w:rPr>
        <w:t>STOP GOLDENGATE &amp; END SUBSYSTEMS</w:t>
      </w:r>
    </w:p>
    <w:p>
      <w:pPr>
        <w:pStyle w:val="Normal"/>
        <w:shd w:val="clear" w:fill="1F4E79"/>
        <w:spacing w:before="0" w:after="160"/>
        <w:ind w:left="80"/>
        <w:rPr/>
      </w:pPr>
      <w:r>
        <w:rPr>
          <w:rFonts w:eastAsia="Arial" w:cs="Arial"/>
          <w:i/>
          <w:iCs/>
          <w:color w:val="EBF3FB"/>
          <w:sz w:val="18"/>
          <w:szCs w:val="18"/>
        </w:rPr>
        <w:t>Phase 3 — Source-Side Wind-Down (DEVAT/Temple)</w:t>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6" w:space="0" w:color="C55A00"/>
              <w:left w:val="single" w:sz="18" w:space="0" w:color="C55A00"/>
              <w:bottom w:val="single" w:sz="6" w:space="0" w:color="C55A00"/>
              <w:right w:val="single" w:sz="6" w:space="0" w:color="C55A00"/>
            </w:tcBorders>
            <w:shd w:fill="FFF2CC" w:val="clear"/>
          </w:tcPr>
          <w:p>
            <w:pPr>
              <w:pStyle w:val="Normal"/>
              <w:rPr/>
            </w:pPr>
            <w:r>
              <w:rPr>
                <w:rFonts w:eastAsia="Arial" w:cs="Arial"/>
                <w:b/>
                <w:bCs/>
                <w:color w:val="C55A00"/>
                <w:sz w:val="19"/>
                <w:szCs w:val="19"/>
              </w:rPr>
              <w:t xml:space="preserve">⚠  </w:t>
            </w:r>
            <w:r>
              <w:rPr>
                <w:rFonts w:eastAsia="Arial" w:cs="Arial"/>
                <w:b/>
                <w:bCs/>
                <w:color w:val="C55A00"/>
                <w:sz w:val="19"/>
                <w:szCs w:val="19"/>
              </w:rPr>
              <w:t>MANDATORY ADVISORY</w:t>
            </w:r>
          </w:p>
          <w:p>
            <w:pPr>
              <w:pStyle w:val="Normal"/>
              <w:spacing w:before="60" w:after="0"/>
              <w:rPr/>
            </w:pPr>
            <w:r>
              <w:rPr>
                <w:rFonts w:eastAsia="Arial" w:cs="Arial"/>
                <w:color w:val="44546A"/>
                <w:sz w:val="19"/>
                <w:szCs w:val="19"/>
              </w:rPr>
              <w:t>GoldenGate must be fully stopped before Level 3 is ended. Do not initiate the PowerHA switchover (Section 8) until all user subsystems on DEVAT have ended.</w:t>
            </w:r>
          </w:p>
        </w:tc>
      </w:tr>
    </w:tbl>
    <w:p>
      <w:pPr>
        <w:pStyle w:val="Normal"/>
        <w:spacing w:before="160" w:after="160"/>
        <w:rPr/>
      </w:pPr>
      <w:r>
        <w:rPr/>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Logon to DEVAT and stop the GoldenGate manager:</w:t>
            </w:r>
          </w:p>
          <w:p>
            <w:pPr>
              <w:pStyle w:val="Normal"/>
              <w:shd w:val="clear" w:fill="1E1E2E"/>
              <w:spacing w:before="40" w:after="20"/>
              <w:rPr/>
            </w:pPr>
            <w:r>
              <w:rPr>
                <w:rFonts w:eastAsia="Courier New" w:cs="Courier New" w:ascii="Courier New" w:hAnsi="Courier New"/>
                <w:color w:val="A8D8EA"/>
                <w:sz w:val="17"/>
                <w:szCs w:val="17"/>
              </w:rPr>
              <w:t>ADDLIBLE GOLDENGATE</w:t>
            </w:r>
          </w:p>
          <w:p>
            <w:pPr>
              <w:pStyle w:val="Normal"/>
              <w:shd w:val="clear" w:fill="1E1E2E"/>
              <w:spacing w:before="40" w:after="20"/>
              <w:rPr/>
            </w:pPr>
            <w:r>
              <w:rPr>
                <w:rFonts w:eastAsia="Courier New" w:cs="Courier New" w:ascii="Courier New" w:hAnsi="Courier New"/>
                <w:color w:val="A8D8EA"/>
                <w:sz w:val="17"/>
                <w:szCs w:val="17"/>
              </w:rPr>
              <w:t>GGSCI</w:t>
            </w:r>
          </w:p>
          <w:p>
            <w:pPr>
              <w:pStyle w:val="Normal"/>
              <w:shd w:val="clear" w:fill="1E1E2E"/>
              <w:spacing w:before="40" w:after="0"/>
              <w:rPr/>
            </w:pPr>
            <w:r>
              <w:rPr>
                <w:rFonts w:eastAsia="Courier New" w:cs="Courier New" w:ascii="Courier New" w:hAnsi="Courier New"/>
                <w:color w:val="A8D8EA"/>
                <w:sz w:val="17"/>
                <w:szCs w:val="17"/>
              </w:rPr>
              <w:t>STOP MANAGER   (enter 'Y' to confirm)</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Run the Robot job to stop all GoldenGate processes: ETS95040 — stopAll. Confirm the job completes successfully.</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3</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End the GoldenGate subsystem and verify it has ended:</w:t>
            </w:r>
          </w:p>
          <w:p>
            <w:pPr>
              <w:pStyle w:val="Normal"/>
              <w:shd w:val="clear" w:fill="1E1E2E"/>
              <w:spacing w:before="40" w:after="0"/>
              <w:rPr/>
            </w:pPr>
            <w:r>
              <w:rPr>
                <w:rFonts w:eastAsia="Courier New" w:cs="Courier New" w:ascii="Courier New" w:hAnsi="Courier New"/>
                <w:color w:val="A8D8EA"/>
                <w:sz w:val="17"/>
                <w:szCs w:val="17"/>
              </w:rPr>
              <w:t>ENDSBS SBS(GOLDENGATE) OPTION(*IMMED)</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4</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End Level 3 on DEVA/Temple (Option 3). Wait until the IPL_PRCS job completes:</w:t>
            </w:r>
          </w:p>
          <w:p>
            <w:pPr>
              <w:pStyle w:val="Normal"/>
              <w:shd w:val="clear" w:fill="1E1E2E"/>
              <w:spacing w:before="40" w:after="0"/>
              <w:rPr/>
            </w:pPr>
            <w:r>
              <w:rPr>
                <w:rFonts w:eastAsia="Courier New" w:cs="Courier New" w:ascii="Courier New" w:hAnsi="Courier New"/>
                <w:color w:val="A8D8EA"/>
                <w:sz w:val="17"/>
                <w:szCs w:val="17"/>
              </w:rPr>
              <w:t>WRKACTJOB SBS(QCTL)</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5</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Verify all user subsystems have ended in Level 3 before proceeding: ORDERPOST, DCL511SBS, TSERVER, RBTSLEEPER.</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bl>
    <w:p>
      <w:pPr>
        <w:pStyle w:val="Normal"/>
        <w:spacing w:before="160" w:after="0"/>
        <w:rPr/>
      </w:pPr>
      <w:r>
        <w:rPr/>
      </w:r>
    </w:p>
    <w:tbl>
      <w:tblPr>
        <w:tblW w:w="9360" w:type="dxa"/>
        <w:jc w:val="left"/>
        <w:tblInd w:w="0" w:type="dxa"/>
        <w:tblLayout w:type="fixed"/>
        <w:tblCellMar>
          <w:top w:w="100" w:type="dxa"/>
          <w:left w:w="160" w:type="dxa"/>
          <w:bottom w:w="100" w:type="dxa"/>
          <w:right w:w="160" w:type="dxa"/>
        </w:tblCellMar>
      </w:tblPr>
      <w:tblGrid>
        <w:gridCol w:w="1560"/>
        <w:gridCol w:w="7799"/>
      </w:tblGrid>
      <w:tr>
        <w:trPr>
          <w:tblHeader w:val="true"/>
          <w:cantSplit w:val="true"/>
        </w:trPr>
        <w:tc>
          <w:tcPr>
            <w:tcW w:w="9359" w:type="dxa"/>
            <w:gridSpan w:val="2"/>
            <w:tcBorders>
              <w:top w:val="single" w:sz="4" w:space="0" w:color="1A3A5C"/>
              <w:left w:val="single" w:sz="4" w:space="0" w:color="1A3A5C"/>
              <w:bottom w:val="single" w:sz="4" w:space="0" w:color="1A3A5C"/>
              <w:right w:val="single" w:sz="4" w:space="0" w:color="1A3A5C"/>
            </w:tcBorders>
            <w:shd w:fill="1F4E79" w:val="clear"/>
          </w:tcPr>
          <w:p>
            <w:pPr>
              <w:pStyle w:val="Normal"/>
              <w:rPr/>
            </w:pPr>
            <w:r>
              <w:rPr>
                <w:rFonts w:eastAsia="Arial" w:cs="Arial"/>
                <w:b/>
                <w:bCs/>
                <w:color w:val="D6E4F0"/>
                <w:sz w:val="19"/>
                <w:szCs w:val="19"/>
              </w:rPr>
              <w:t xml:space="preserve">EVIDENCE CAPTURE  —  </w:t>
            </w:r>
            <w:r>
              <w:rPr>
                <w:rFonts w:eastAsia="Arial" w:cs="Arial"/>
                <w:b/>
                <w:bCs/>
                <w:color w:val="FFFFFF"/>
                <w:sz w:val="19"/>
                <w:szCs w:val="19"/>
              </w:rPr>
              <w:t>7 — GoldenGate Stopped &amp; DEVAT Subsystems Ended</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Completed By</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Date / Time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System Output / Reference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Result</w:t>
            </w:r>
          </w:p>
        </w:tc>
        <w:tc>
          <w:tcPr>
            <w:tcW w:w="7799" w:type="dxa"/>
            <w:tcBorders>
              <w:top w:val="single" w:sz="4" w:space="0" w:color="1F4E79"/>
              <w:left w:val="single" w:sz="4" w:space="0" w:color="1F4E79"/>
              <w:bottom w:val="single" w:sz="4" w:space="0" w:color="1F4E79"/>
              <w:right w:val="single" w:sz="4" w:space="0" w:color="1F4E79"/>
            </w:tcBorders>
            <w:shd w:fill="E2EFDA" w:val="clear"/>
            <w:tcMar>
              <w:top w:w="80" w:type="dxa"/>
              <w:left w:w="140" w:type="dxa"/>
              <w:bottom w:w="80" w:type="dxa"/>
              <w:right w:w="140" w:type="dxa"/>
            </w:tcMar>
          </w:tcPr>
          <w:p>
            <w:pPr>
              <w:pStyle w:val="Normal"/>
              <w:rPr/>
            </w:pPr>
            <w:r>
              <w:rPr>
                <w:rFonts w:eastAsia="Arial" w:cs="Arial"/>
                <w:b/>
                <w:bCs/>
                <w:color w:val="375623"/>
                <w:sz w:val="19"/>
                <w:szCs w:val="19"/>
              </w:rPr>
              <w:t xml:space="preserve">☐  </w:t>
            </w:r>
            <w:r>
              <w:rPr>
                <w:rFonts w:eastAsia="Arial" w:cs="Arial"/>
                <w:b/>
                <w:bCs/>
                <w:color w:val="375623"/>
                <w:sz w:val="19"/>
                <w:szCs w:val="19"/>
              </w:rPr>
              <w:t>VERIFIED</w:t>
            </w:r>
            <w:r>
              <w:rPr>
                <w:rFonts w:eastAsia="Arial" w:cs="Arial"/>
                <w:sz w:val="19"/>
                <w:szCs w:val="19"/>
              </w:rPr>
              <w:t xml:space="preserve">          </w:t>
            </w:r>
            <w:r>
              <w:rPr>
                <w:rFonts w:eastAsia="Arial" w:cs="Arial"/>
                <w:b/>
                <w:bCs/>
                <w:color w:val="C00000"/>
                <w:sz w:val="19"/>
                <w:szCs w:val="19"/>
              </w:rPr>
              <w:t>☐  EXCEPTION</w:t>
            </w:r>
            <w:r>
              <w:rPr>
                <w:rFonts w:eastAsia="Arial" w:cs="Arial"/>
                <w:sz w:val="19"/>
                <w:szCs w:val="19"/>
              </w:rPr>
              <w:t xml:space="preserve">          </w:t>
            </w:r>
            <w:r>
              <w:rPr>
                <w:rFonts w:eastAsia="Arial" w:cs="Arial"/>
                <w:b/>
                <w:bCs/>
                <w:color w:val="666666"/>
                <w:sz w:val="19"/>
                <w:szCs w:val="19"/>
              </w:rPr>
              <w:t>☐  N/A</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Notes / Issues</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bl>
    <w:p>
      <w:pPr>
        <w:pStyle w:val="Normal"/>
        <w:rPr/>
      </w:pPr>
      <w:r>
        <w:rPr/>
      </w:r>
      <w:r>
        <w:br w:type="page"/>
      </w:r>
    </w:p>
    <w:p>
      <w:pPr>
        <w:pStyle w:val="Heading1"/>
        <w:shd w:val="clear" w:fill="0D2340"/>
        <w:spacing w:before="0" w:after="0"/>
        <w:ind w:left="80"/>
        <w:rPr/>
      </w:pPr>
      <w:bookmarkStart w:id="14" w:name="__RefHeading___Toc4499_3284268967"/>
      <w:bookmarkEnd w:id="14"/>
      <w:r>
        <w:rPr>
          <w:rFonts w:eastAsia="Arial" w:cs="Arial" w:ascii="Arial" w:hAnsi="Arial"/>
          <w:b/>
          <w:bCs/>
          <w:color w:val="2E75B6"/>
          <w:sz w:val="22"/>
          <w:szCs w:val="22"/>
        </w:rPr>
        <w:t>8</w:t>
      </w:r>
      <w:r>
        <w:rPr>
          <w:rFonts w:eastAsia="Arial" w:cs="Arial" w:ascii="Arial" w:hAnsi="Arial"/>
          <w:sz w:val="22"/>
          <w:szCs w:val="22"/>
        </w:rPr>
        <w:t xml:space="preserve">   </w:t>
      </w:r>
      <w:r>
        <w:rPr>
          <w:rFonts w:eastAsia="Arial" w:cs="Arial" w:ascii="Arial" w:hAnsi="Arial"/>
          <w:b/>
          <w:bCs/>
          <w:color w:val="FFFFFF"/>
          <w:sz w:val="26"/>
          <w:szCs w:val="26"/>
        </w:rPr>
        <w:t>POWERHA CLUSTER OPERATIONS &amp; IASP SWITCHOVER</w:t>
      </w:r>
    </w:p>
    <w:p>
      <w:pPr>
        <w:pStyle w:val="Normal"/>
        <w:shd w:val="clear" w:fill="1F4E79"/>
        <w:spacing w:before="0" w:after="160"/>
        <w:ind w:left="80"/>
        <w:rPr/>
      </w:pPr>
      <w:r>
        <w:rPr>
          <w:rFonts w:eastAsia="Arial" w:cs="Arial"/>
          <w:i/>
          <w:iCs/>
          <w:color w:val="EBF3FB"/>
          <w:sz w:val="18"/>
          <w:szCs w:val="18"/>
        </w:rPr>
        <w:t>Phase 4 — DEVAT/Temple → DEVAC/Equinix Role Swap</w:t>
      </w:r>
    </w:p>
    <w:p>
      <w:pPr>
        <w:pStyle w:val="Heading2"/>
        <w:spacing w:before="200" w:after="60"/>
        <w:rPr/>
      </w:pPr>
      <w:bookmarkStart w:id="15" w:name="__RefHeading___Toc4501_3284268967"/>
      <w:bookmarkEnd w:id="15"/>
      <w:r>
        <w:rPr>
          <w:rFonts w:eastAsia="Arial" w:cs="Arial" w:ascii="Arial" w:hAnsi="Arial"/>
          <w:b/>
          <w:bCs/>
          <w:color w:val="2E75B6"/>
          <w:sz w:val="22"/>
          <w:szCs w:val="22"/>
        </w:rPr>
        <w:t xml:space="preserve">8.1  </w:t>
      </w:r>
      <w:r>
        <w:rPr>
          <w:rFonts w:eastAsia="Arial" w:cs="Arial" w:ascii="Arial" w:hAnsi="Arial"/>
          <w:b/>
          <w:bCs/>
          <w:color w:val="1A3A5C"/>
          <w:sz w:val="22"/>
          <w:szCs w:val="22"/>
        </w:rPr>
        <w:t>Pre-Switchover Checks</w:t>
      </w:r>
    </w:p>
    <w:p>
      <w:pPr>
        <w:pStyle w:val="Normal"/>
        <w:pBdr>
          <w:bottom w:val="single" w:sz="8" w:space="1" w:color="2E75B6"/>
        </w:pBdr>
        <w:spacing w:before="0" w:after="60"/>
        <w:rPr/>
      </w:pPr>
      <w:r>
        <w:rPr/>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Logoff SYSMGMT and logon to CONSOLE as QSECOFR on DEVAT/Temple (IP: 10.7.1.180).</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Open the PowerHA Cluster Manager:</w:t>
            </w:r>
          </w:p>
          <w:p>
            <w:pPr>
              <w:pStyle w:val="Normal"/>
              <w:shd w:val="clear" w:fill="1E1E2E"/>
              <w:spacing w:before="40" w:after="0"/>
              <w:rPr/>
            </w:pPr>
            <w:r>
              <w:rPr>
                <w:rFonts w:eastAsia="Courier New" w:cs="Courier New" w:ascii="Courier New" w:hAnsi="Courier New"/>
                <w:color w:val="A8D8EA"/>
                <w:sz w:val="17"/>
                <w:szCs w:val="17"/>
              </w:rPr>
              <w:t>WRKCLU</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3</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Check for duplicate libraries in the IASP and resolve any conflicts before switchover:</w:t>
            </w:r>
          </w:p>
          <w:p>
            <w:pPr>
              <w:pStyle w:val="Normal"/>
              <w:shd w:val="clear" w:fill="1E1E2E"/>
              <w:spacing w:before="40" w:after="20"/>
              <w:rPr/>
            </w:pPr>
            <w:r>
              <w:rPr>
                <w:rFonts w:eastAsia="Courier New" w:cs="Courier New" w:ascii="Courier New" w:hAnsi="Courier New"/>
                <w:color w:val="A8D8EA"/>
                <w:sz w:val="17"/>
                <w:szCs w:val="17"/>
              </w:rPr>
              <w:t>ADDLIBLE QZRDPWRHA/QZRDHASM</w:t>
            </w:r>
          </w:p>
          <w:p>
            <w:pPr>
              <w:pStyle w:val="Normal"/>
              <w:shd w:val="clear" w:fill="1E1E2E"/>
              <w:spacing w:before="40" w:after="0"/>
              <w:rPr/>
            </w:pPr>
            <w:r>
              <w:rPr>
                <w:rFonts w:eastAsia="Courier New" w:cs="Courier New" w:ascii="Courier New" w:hAnsi="Courier New"/>
                <w:color w:val="A8D8EA"/>
                <w:sz w:val="17"/>
                <w:szCs w:val="17"/>
              </w:rPr>
              <w:t>CHKDUPLIBS IASP(DAHAIASP)</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4</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End all IASP-related jobs. Verify ALL subsystems have ended in Level 3 before proceeding:</w:t>
            </w:r>
          </w:p>
          <w:p>
            <w:pPr>
              <w:pStyle w:val="Normal"/>
              <w:shd w:val="clear" w:fill="1E1E2E"/>
              <w:spacing w:before="40" w:after="0"/>
              <w:rPr/>
            </w:pPr>
            <w:r>
              <w:rPr>
                <w:rFonts w:eastAsia="Courier New" w:cs="Courier New" w:ascii="Courier New" w:hAnsi="Courier New"/>
                <w:color w:val="A8D8EA"/>
                <w:sz w:val="17"/>
                <w:szCs w:val="17"/>
              </w:rPr>
              <w:t>QSYS/WRKASPJOB   →   *End all jobs</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5</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WRKCLU → Option 9 — verify the DEVADEVCRG Resource Group is Active and the Primary Node is correctly set to DEVAT/Temple, with all 4 cluster nodes shown.</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6</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WRKCLU → Option 10 → Verify ASP Copy. Take Option 25 on DEVAHA (the HA node) and confirm the ASP copy is correct and current.</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7</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Start the QBATCH subsystem on all 4 nodes — required before PowerHA can complete the switchover (repeat on DEVAT, DEVAC, and both HA nodes):</w:t>
            </w:r>
          </w:p>
          <w:p>
            <w:pPr>
              <w:pStyle w:val="Normal"/>
              <w:shd w:val="clear" w:fill="1E1E2E"/>
              <w:spacing w:before="40" w:after="0"/>
              <w:rPr/>
            </w:pPr>
            <w:r>
              <w:rPr>
                <w:rFonts w:eastAsia="Courier New" w:cs="Courier New" w:ascii="Courier New" w:hAnsi="Courier New"/>
                <w:color w:val="A8D8EA"/>
                <w:sz w:val="17"/>
                <w:szCs w:val="17"/>
              </w:rPr>
              <w:t>STRSBS SBS(QBATCH) LIB(QSYS)</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bl>
    <w:p>
      <w:pPr>
        <w:pStyle w:val="Normal"/>
        <w:spacing w:before="160" w:after="200"/>
        <w:rPr/>
      </w:pPr>
      <w:r>
        <w:rPr/>
      </w:r>
    </w:p>
    <w:p>
      <w:pPr>
        <w:pStyle w:val="Heading2"/>
        <w:spacing w:before="200" w:after="60"/>
        <w:rPr/>
      </w:pPr>
      <w:bookmarkStart w:id="16" w:name="__RefHeading___Toc4503_3284268967"/>
      <w:bookmarkEnd w:id="16"/>
      <w:r>
        <w:rPr>
          <w:rFonts w:eastAsia="Arial" w:cs="Arial" w:ascii="Arial" w:hAnsi="Arial"/>
          <w:b/>
          <w:bCs/>
          <w:color w:val="2E75B6"/>
          <w:sz w:val="22"/>
          <w:szCs w:val="22"/>
        </w:rPr>
        <w:t xml:space="preserve">8.2  </w:t>
      </w:r>
      <w:r>
        <w:rPr>
          <w:rFonts w:eastAsia="Arial" w:cs="Arial" w:ascii="Arial" w:hAnsi="Arial"/>
          <w:b/>
          <w:bCs/>
          <w:color w:val="1A3A5C"/>
          <w:sz w:val="22"/>
          <w:szCs w:val="22"/>
        </w:rPr>
        <w:t>Initiate the Switchover</w:t>
      </w:r>
    </w:p>
    <w:p>
      <w:pPr>
        <w:pStyle w:val="Normal"/>
        <w:pBdr>
          <w:bottom w:val="single" w:sz="8" w:space="1" w:color="2E75B6"/>
        </w:pBdr>
        <w:spacing w:before="0" w:after="60"/>
        <w:rPr/>
      </w:pPr>
      <w:r>
        <w:rPr/>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6" w:space="0" w:color="C55A00"/>
              <w:left w:val="single" w:sz="18" w:space="0" w:color="C55A00"/>
              <w:bottom w:val="single" w:sz="6" w:space="0" w:color="C55A00"/>
              <w:right w:val="single" w:sz="6" w:space="0" w:color="C55A00"/>
            </w:tcBorders>
            <w:shd w:fill="FFF2CC" w:val="clear"/>
          </w:tcPr>
          <w:p>
            <w:pPr>
              <w:pStyle w:val="Normal"/>
              <w:rPr/>
            </w:pPr>
            <w:r>
              <w:rPr>
                <w:rFonts w:eastAsia="Arial" w:cs="Arial"/>
                <w:b/>
                <w:bCs/>
                <w:color w:val="C55A00"/>
                <w:sz w:val="19"/>
                <w:szCs w:val="19"/>
              </w:rPr>
              <w:t xml:space="preserve">⚠  </w:t>
            </w:r>
            <w:r>
              <w:rPr>
                <w:rFonts w:eastAsia="Arial" w:cs="Arial"/>
                <w:b/>
                <w:bCs/>
                <w:color w:val="C55A00"/>
                <w:sz w:val="19"/>
                <w:szCs w:val="19"/>
              </w:rPr>
              <w:t>MANDATORY ADVISORY</w:t>
            </w:r>
          </w:p>
          <w:p>
            <w:pPr>
              <w:pStyle w:val="Normal"/>
              <w:spacing w:before="60" w:after="0"/>
              <w:rPr/>
            </w:pPr>
            <w:r>
              <w:rPr>
                <w:rFonts w:eastAsia="Arial" w:cs="Arial"/>
                <w:color w:val="44546A"/>
                <w:sz w:val="19"/>
                <w:szCs w:val="19"/>
              </w:rPr>
              <w:t>The PowerHA session may drop during switchover (Switch Pending state). This is expected behavior — the system self-corrects once the IASP varyoff/varyon completes. Reconnect and continue monitoring.</w:t>
            </w:r>
          </w:p>
        </w:tc>
      </w:tr>
    </w:tbl>
    <w:p>
      <w:pPr>
        <w:pStyle w:val="Normal"/>
        <w:spacing w:before="120" w:after="120"/>
        <w:rPr/>
      </w:pPr>
      <w:r>
        <w:rPr/>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WRKCLU → Option 9 → Option 3 = Change Primary. Select resource group DEVADEVCRG and change the primary to DEVAC/Equinix. This initiates the PowerHA-controlled IASP switchover from DEVAT to DEVAC.</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Monitor the switchover status: WRKCLU → Option 6, repeating to refresh status. The status will show Switch Pending → in progress.</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bl>
    <w:p>
      <w:pPr>
        <w:pStyle w:val="Normal"/>
        <w:spacing w:before="160" w:after="200"/>
        <w:rPr/>
      </w:pPr>
      <w:r>
        <w:rPr/>
      </w:r>
    </w:p>
    <w:p>
      <w:pPr>
        <w:pStyle w:val="Heading2"/>
        <w:spacing w:before="200" w:after="60"/>
        <w:rPr/>
      </w:pPr>
      <w:bookmarkStart w:id="17" w:name="__RefHeading___Toc4505_3284268967"/>
      <w:bookmarkEnd w:id="17"/>
      <w:r>
        <w:rPr>
          <w:rFonts w:eastAsia="Arial" w:cs="Arial" w:ascii="Arial" w:hAnsi="Arial"/>
          <w:b/>
          <w:bCs/>
          <w:color w:val="2E75B6"/>
          <w:sz w:val="22"/>
          <w:szCs w:val="22"/>
        </w:rPr>
        <w:t xml:space="preserve">8.3  </w:t>
      </w:r>
      <w:r>
        <w:rPr>
          <w:rFonts w:eastAsia="Arial" w:cs="Arial" w:ascii="Arial" w:hAnsi="Arial"/>
          <w:b/>
          <w:bCs/>
          <w:color w:val="1A3A5C"/>
          <w:sz w:val="22"/>
          <w:szCs w:val="22"/>
        </w:rPr>
        <w:t>Monitor Switchover Progress</w:t>
      </w:r>
    </w:p>
    <w:p>
      <w:pPr>
        <w:pStyle w:val="Normal"/>
        <w:pBdr>
          <w:bottom w:val="single" w:sz="8" w:space="1" w:color="2E75B6"/>
        </w:pBdr>
        <w:spacing w:before="0" w:after="60"/>
        <w:rPr/>
      </w:pPr>
      <w:r>
        <w:rPr/>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Open a second session to DEVAT and monitor the ASP State under QSYSWRK using WRKASPJOB. ASP State on DEVAT/Temple will progress to VARYOFF (expected duration: ~3 minutes 10 seconds). The job ends once the IASP has varied off — the session may drop, which is expected.</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Signon to CONSOLE as QSECOFR on DEVAC/Equinix (IP: 10.7.1.130) and monitor. ASP State will progress to AVAILABLE (expected duration: ~1 minute 23 seconds to vary on). Do not proceed until DEVAC ASP State = AVAILABLE.</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bl>
    <w:p>
      <w:pPr>
        <w:pStyle w:val="Normal"/>
        <w:spacing w:before="160" w:after="0"/>
        <w:rPr/>
      </w:pPr>
      <w:r>
        <w:rPr/>
      </w:r>
    </w:p>
    <w:tbl>
      <w:tblPr>
        <w:tblW w:w="9360" w:type="dxa"/>
        <w:jc w:val="left"/>
        <w:tblInd w:w="0" w:type="dxa"/>
        <w:tblLayout w:type="fixed"/>
        <w:tblCellMar>
          <w:top w:w="100" w:type="dxa"/>
          <w:left w:w="160" w:type="dxa"/>
          <w:bottom w:w="100" w:type="dxa"/>
          <w:right w:w="160" w:type="dxa"/>
        </w:tblCellMar>
      </w:tblPr>
      <w:tblGrid>
        <w:gridCol w:w="1560"/>
        <w:gridCol w:w="7799"/>
      </w:tblGrid>
      <w:tr>
        <w:trPr>
          <w:tblHeader w:val="true"/>
          <w:cantSplit w:val="true"/>
        </w:trPr>
        <w:tc>
          <w:tcPr>
            <w:tcW w:w="9359" w:type="dxa"/>
            <w:gridSpan w:val="2"/>
            <w:tcBorders>
              <w:top w:val="single" w:sz="4" w:space="0" w:color="1A3A5C"/>
              <w:left w:val="single" w:sz="4" w:space="0" w:color="1A3A5C"/>
              <w:bottom w:val="single" w:sz="4" w:space="0" w:color="1A3A5C"/>
              <w:right w:val="single" w:sz="4" w:space="0" w:color="1A3A5C"/>
            </w:tcBorders>
            <w:shd w:fill="1F4E79" w:val="clear"/>
          </w:tcPr>
          <w:p>
            <w:pPr>
              <w:pStyle w:val="Normal"/>
              <w:rPr/>
            </w:pPr>
            <w:r>
              <w:rPr>
                <w:rFonts w:eastAsia="Arial" w:cs="Arial"/>
                <w:b/>
                <w:bCs/>
                <w:color w:val="D6E4F0"/>
                <w:sz w:val="19"/>
                <w:szCs w:val="19"/>
              </w:rPr>
              <w:t xml:space="preserve">EVIDENCE CAPTURE  —  </w:t>
            </w:r>
            <w:r>
              <w:rPr>
                <w:rFonts w:eastAsia="Arial" w:cs="Arial"/>
                <w:b/>
                <w:bCs/>
                <w:color w:val="FFFFFF"/>
                <w:sz w:val="19"/>
                <w:szCs w:val="19"/>
              </w:rPr>
              <w:t>8 — PowerHA IASP Switchover Complete (DEVAT → DEVAC)</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Completed By</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Date / Time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System Output / Reference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Result</w:t>
            </w:r>
          </w:p>
        </w:tc>
        <w:tc>
          <w:tcPr>
            <w:tcW w:w="7799" w:type="dxa"/>
            <w:tcBorders>
              <w:top w:val="single" w:sz="4" w:space="0" w:color="1F4E79"/>
              <w:left w:val="single" w:sz="4" w:space="0" w:color="1F4E79"/>
              <w:bottom w:val="single" w:sz="4" w:space="0" w:color="1F4E79"/>
              <w:right w:val="single" w:sz="4" w:space="0" w:color="1F4E79"/>
            </w:tcBorders>
            <w:shd w:fill="E2EFDA" w:val="clear"/>
            <w:tcMar>
              <w:top w:w="80" w:type="dxa"/>
              <w:left w:w="140" w:type="dxa"/>
              <w:bottom w:w="80" w:type="dxa"/>
              <w:right w:w="140" w:type="dxa"/>
            </w:tcMar>
          </w:tcPr>
          <w:p>
            <w:pPr>
              <w:pStyle w:val="Normal"/>
              <w:rPr/>
            </w:pPr>
            <w:r>
              <w:rPr>
                <w:rFonts w:eastAsia="Arial" w:cs="Arial"/>
                <w:b/>
                <w:bCs/>
                <w:color w:val="375623"/>
                <w:sz w:val="19"/>
                <w:szCs w:val="19"/>
              </w:rPr>
              <w:t xml:space="preserve">☐  </w:t>
            </w:r>
            <w:r>
              <w:rPr>
                <w:rFonts w:eastAsia="Arial" w:cs="Arial"/>
                <w:b/>
                <w:bCs/>
                <w:color w:val="375623"/>
                <w:sz w:val="19"/>
                <w:szCs w:val="19"/>
              </w:rPr>
              <w:t>VERIFIED</w:t>
            </w:r>
            <w:r>
              <w:rPr>
                <w:rFonts w:eastAsia="Arial" w:cs="Arial"/>
                <w:sz w:val="19"/>
                <w:szCs w:val="19"/>
              </w:rPr>
              <w:t xml:space="preserve">          </w:t>
            </w:r>
            <w:r>
              <w:rPr>
                <w:rFonts w:eastAsia="Arial" w:cs="Arial"/>
                <w:b/>
                <w:bCs/>
                <w:color w:val="C00000"/>
                <w:sz w:val="19"/>
                <w:szCs w:val="19"/>
              </w:rPr>
              <w:t>☐  EXCEPTION</w:t>
            </w:r>
            <w:r>
              <w:rPr>
                <w:rFonts w:eastAsia="Arial" w:cs="Arial"/>
                <w:sz w:val="19"/>
                <w:szCs w:val="19"/>
              </w:rPr>
              <w:t xml:space="preserve">          </w:t>
            </w:r>
            <w:r>
              <w:rPr>
                <w:rFonts w:eastAsia="Arial" w:cs="Arial"/>
                <w:b/>
                <w:bCs/>
                <w:color w:val="666666"/>
                <w:sz w:val="19"/>
                <w:szCs w:val="19"/>
              </w:rPr>
              <w:t>☐  N/A</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Notes / Issues</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bl>
    <w:p>
      <w:pPr>
        <w:pStyle w:val="Normal"/>
        <w:rPr/>
      </w:pPr>
      <w:r>
        <w:rPr/>
      </w:r>
      <w:r>
        <w:br w:type="page"/>
      </w:r>
    </w:p>
    <w:p>
      <w:pPr>
        <w:pStyle w:val="Heading1"/>
        <w:shd w:val="clear" w:fill="0D2340"/>
        <w:spacing w:before="0" w:after="0"/>
        <w:ind w:left="80"/>
        <w:rPr/>
      </w:pPr>
      <w:bookmarkStart w:id="18" w:name="__RefHeading___Toc4507_3284268967"/>
      <w:bookmarkEnd w:id="18"/>
      <w:r>
        <w:rPr>
          <w:rFonts w:eastAsia="Arial" w:cs="Arial" w:ascii="Arial" w:hAnsi="Arial"/>
          <w:b/>
          <w:bCs/>
          <w:color w:val="2E75B6"/>
          <w:sz w:val="22"/>
          <w:szCs w:val="22"/>
        </w:rPr>
        <w:t>9</w:t>
      </w:r>
      <w:r>
        <w:rPr>
          <w:rFonts w:eastAsia="Arial" w:cs="Arial" w:ascii="Arial" w:hAnsi="Arial"/>
          <w:sz w:val="22"/>
          <w:szCs w:val="22"/>
        </w:rPr>
        <w:t xml:space="preserve">   </w:t>
      </w:r>
      <w:r>
        <w:rPr>
          <w:rFonts w:eastAsia="Arial" w:cs="Arial" w:ascii="Arial" w:hAnsi="Arial"/>
          <w:b/>
          <w:bCs/>
          <w:color w:val="FFFFFF"/>
          <w:sz w:val="26"/>
          <w:szCs w:val="26"/>
        </w:rPr>
        <w:t>MIMIX REPLICATION VERIFICATION</w:t>
      </w:r>
    </w:p>
    <w:p>
      <w:pPr>
        <w:pStyle w:val="Normal"/>
        <w:shd w:val="clear" w:fill="1F4E79"/>
        <w:spacing w:before="0" w:after="160"/>
        <w:ind w:left="80"/>
        <w:rPr/>
      </w:pPr>
      <w:r>
        <w:rPr>
          <w:rFonts w:eastAsia="Arial" w:cs="Arial"/>
          <w:i/>
          <w:iCs/>
          <w:color w:val="EBF3FB"/>
          <w:sz w:val="18"/>
          <w:szCs w:val="18"/>
        </w:rPr>
        <w:t>Phase 5 — Confirm Replication Direction Reversal</w:t>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Mimix Administrator (FS7300): verify that the Mimix replication direction has reversed following the PowerHA IASP switchover — source is now DEVAC/Equinix, target is now DEVAT/Temple. Replication IPs: 10.7.1.182 / 10.7.1.132.</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Confirm all Mimix journal receivers and replication processes are running in the new direction and synchronizing correctly. Capture a screenshot of the Mimix status showing the new replication direction.</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bl>
    <w:p>
      <w:pPr>
        <w:pStyle w:val="Normal"/>
        <w:spacing w:before="160" w:after="0"/>
        <w:rPr/>
      </w:pPr>
      <w:r>
        <w:rPr/>
      </w:r>
    </w:p>
    <w:tbl>
      <w:tblPr>
        <w:tblW w:w="9360" w:type="dxa"/>
        <w:jc w:val="left"/>
        <w:tblInd w:w="0" w:type="dxa"/>
        <w:tblLayout w:type="fixed"/>
        <w:tblCellMar>
          <w:top w:w="100" w:type="dxa"/>
          <w:left w:w="160" w:type="dxa"/>
          <w:bottom w:w="100" w:type="dxa"/>
          <w:right w:w="160" w:type="dxa"/>
        </w:tblCellMar>
      </w:tblPr>
      <w:tblGrid>
        <w:gridCol w:w="1560"/>
        <w:gridCol w:w="7799"/>
      </w:tblGrid>
      <w:tr>
        <w:trPr>
          <w:tblHeader w:val="true"/>
          <w:cantSplit w:val="true"/>
        </w:trPr>
        <w:tc>
          <w:tcPr>
            <w:tcW w:w="9359" w:type="dxa"/>
            <w:gridSpan w:val="2"/>
            <w:tcBorders>
              <w:top w:val="single" w:sz="4" w:space="0" w:color="1A3A5C"/>
              <w:left w:val="single" w:sz="4" w:space="0" w:color="1A3A5C"/>
              <w:bottom w:val="single" w:sz="4" w:space="0" w:color="1A3A5C"/>
              <w:right w:val="single" w:sz="4" w:space="0" w:color="1A3A5C"/>
            </w:tcBorders>
            <w:shd w:fill="1F4E79" w:val="clear"/>
          </w:tcPr>
          <w:p>
            <w:pPr>
              <w:pStyle w:val="Normal"/>
              <w:rPr/>
            </w:pPr>
            <w:r>
              <w:rPr>
                <w:rFonts w:eastAsia="Arial" w:cs="Arial"/>
                <w:b/>
                <w:bCs/>
                <w:color w:val="D6E4F0"/>
                <w:sz w:val="19"/>
                <w:szCs w:val="19"/>
              </w:rPr>
              <w:t xml:space="preserve">EVIDENCE CAPTURE  —  </w:t>
            </w:r>
            <w:r>
              <w:rPr>
                <w:rFonts w:eastAsia="Arial" w:cs="Arial"/>
                <w:b/>
                <w:bCs/>
                <w:color w:val="FFFFFF"/>
                <w:sz w:val="19"/>
                <w:szCs w:val="19"/>
              </w:rPr>
              <w:t>9 — Mimix Replication Direction Reversed &amp; Synchronizing</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Completed By</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Date / Time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System Output / Reference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Result</w:t>
            </w:r>
          </w:p>
        </w:tc>
        <w:tc>
          <w:tcPr>
            <w:tcW w:w="7799" w:type="dxa"/>
            <w:tcBorders>
              <w:top w:val="single" w:sz="4" w:space="0" w:color="1F4E79"/>
              <w:left w:val="single" w:sz="4" w:space="0" w:color="1F4E79"/>
              <w:bottom w:val="single" w:sz="4" w:space="0" w:color="1F4E79"/>
              <w:right w:val="single" w:sz="4" w:space="0" w:color="1F4E79"/>
            </w:tcBorders>
            <w:shd w:fill="E2EFDA" w:val="clear"/>
            <w:tcMar>
              <w:top w:w="80" w:type="dxa"/>
              <w:left w:w="140" w:type="dxa"/>
              <w:bottom w:w="80" w:type="dxa"/>
              <w:right w:w="140" w:type="dxa"/>
            </w:tcMar>
          </w:tcPr>
          <w:p>
            <w:pPr>
              <w:pStyle w:val="Normal"/>
              <w:rPr/>
            </w:pPr>
            <w:r>
              <w:rPr>
                <w:rFonts w:eastAsia="Arial" w:cs="Arial"/>
                <w:b/>
                <w:bCs/>
                <w:color w:val="375623"/>
                <w:sz w:val="19"/>
                <w:szCs w:val="19"/>
              </w:rPr>
              <w:t xml:space="preserve">☐  </w:t>
            </w:r>
            <w:r>
              <w:rPr>
                <w:rFonts w:eastAsia="Arial" w:cs="Arial"/>
                <w:b/>
                <w:bCs/>
                <w:color w:val="375623"/>
                <w:sz w:val="19"/>
                <w:szCs w:val="19"/>
              </w:rPr>
              <w:t>VERIFIED</w:t>
            </w:r>
            <w:r>
              <w:rPr>
                <w:rFonts w:eastAsia="Arial" w:cs="Arial"/>
                <w:sz w:val="19"/>
                <w:szCs w:val="19"/>
              </w:rPr>
              <w:t xml:space="preserve">          </w:t>
            </w:r>
            <w:r>
              <w:rPr>
                <w:rFonts w:eastAsia="Arial" w:cs="Arial"/>
                <w:b/>
                <w:bCs/>
                <w:color w:val="C00000"/>
                <w:sz w:val="19"/>
                <w:szCs w:val="19"/>
              </w:rPr>
              <w:t>☐  EXCEPTION</w:t>
            </w:r>
            <w:r>
              <w:rPr>
                <w:rFonts w:eastAsia="Arial" w:cs="Arial"/>
                <w:sz w:val="19"/>
                <w:szCs w:val="19"/>
              </w:rPr>
              <w:t xml:space="preserve">          </w:t>
            </w:r>
            <w:r>
              <w:rPr>
                <w:rFonts w:eastAsia="Arial" w:cs="Arial"/>
                <w:b/>
                <w:bCs/>
                <w:color w:val="666666"/>
                <w:sz w:val="19"/>
                <w:szCs w:val="19"/>
              </w:rPr>
              <w:t>☐  N/A</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Notes / Issues</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bl>
    <w:p>
      <w:pPr>
        <w:pStyle w:val="Normal"/>
        <w:rPr/>
      </w:pPr>
      <w:r>
        <w:rPr/>
      </w:r>
      <w:r>
        <w:br w:type="page"/>
      </w:r>
    </w:p>
    <w:p>
      <w:pPr>
        <w:pStyle w:val="Heading1"/>
        <w:shd w:val="clear" w:fill="0D2340"/>
        <w:spacing w:before="0" w:after="0"/>
        <w:ind w:left="80"/>
        <w:rPr/>
      </w:pPr>
      <w:bookmarkStart w:id="19" w:name="__RefHeading___Toc4509_3284268967"/>
      <w:bookmarkEnd w:id="19"/>
      <w:r>
        <w:rPr>
          <w:rFonts w:eastAsia="Arial" w:cs="Arial" w:ascii="Arial" w:hAnsi="Arial"/>
          <w:b/>
          <w:bCs/>
          <w:color w:val="2E75B6"/>
          <w:sz w:val="22"/>
          <w:szCs w:val="22"/>
        </w:rPr>
        <w:t>10</w:t>
      </w:r>
      <w:r>
        <w:rPr>
          <w:rFonts w:eastAsia="Arial" w:cs="Arial" w:ascii="Arial" w:hAnsi="Arial"/>
          <w:sz w:val="22"/>
          <w:szCs w:val="22"/>
        </w:rPr>
        <w:t xml:space="preserve">   </w:t>
      </w:r>
      <w:r>
        <w:rPr>
          <w:rFonts w:eastAsia="Arial" w:cs="Arial" w:ascii="Arial" w:hAnsi="Arial"/>
          <w:b/>
          <w:bCs/>
          <w:color w:val="FFFFFF"/>
          <w:sz w:val="26"/>
          <w:szCs w:val="26"/>
        </w:rPr>
        <w:t>POST-SWITCHOVER CLUSTER VERIFICATION</w:t>
      </w:r>
    </w:p>
    <w:p>
      <w:pPr>
        <w:pStyle w:val="Normal"/>
        <w:shd w:val="clear" w:fill="1F4E79"/>
        <w:spacing w:before="0" w:after="160"/>
        <w:ind w:left="80"/>
        <w:rPr/>
      </w:pPr>
      <w:r>
        <w:rPr>
          <w:rFonts w:eastAsia="Arial" w:cs="Arial"/>
          <w:i/>
          <w:iCs/>
          <w:color w:val="EBF3FB"/>
          <w:sz w:val="18"/>
          <w:szCs w:val="18"/>
        </w:rPr>
        <w:t>Phase 6 — Confirm Cluster Health on DEVAC/Equinix</w:t>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Verify all 4 PowerHA cluster nodes are active:</w:t>
            </w:r>
          </w:p>
          <w:p>
            <w:pPr>
              <w:pStyle w:val="Normal"/>
              <w:shd w:val="clear" w:fill="1E1E2E"/>
              <w:spacing w:before="40" w:after="0"/>
              <w:rPr/>
            </w:pPr>
            <w:r>
              <w:rPr>
                <w:rFonts w:eastAsia="Courier New" w:cs="Courier New" w:ascii="Courier New" w:hAnsi="Courier New"/>
                <w:color w:val="A8D8EA"/>
                <w:sz w:val="17"/>
                <w:szCs w:val="17"/>
              </w:rPr>
              <w:t>WRKCLU   (confirm all nodes show as Active)</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Confirm the DEVADEVCRG Resource Group now shows Primary Node: DEVAC/Equinix, Status: Active (WRKCLU Option 9).</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bl>
    <w:p>
      <w:pPr>
        <w:pStyle w:val="Normal"/>
        <w:spacing w:before="160" w:after="0"/>
        <w:rPr/>
      </w:pPr>
      <w:r>
        <w:rPr/>
      </w:r>
    </w:p>
    <w:tbl>
      <w:tblPr>
        <w:tblW w:w="9360" w:type="dxa"/>
        <w:jc w:val="left"/>
        <w:tblInd w:w="0" w:type="dxa"/>
        <w:tblLayout w:type="fixed"/>
        <w:tblCellMar>
          <w:top w:w="100" w:type="dxa"/>
          <w:left w:w="160" w:type="dxa"/>
          <w:bottom w:w="100" w:type="dxa"/>
          <w:right w:w="160" w:type="dxa"/>
        </w:tblCellMar>
      </w:tblPr>
      <w:tblGrid>
        <w:gridCol w:w="1560"/>
        <w:gridCol w:w="7799"/>
      </w:tblGrid>
      <w:tr>
        <w:trPr>
          <w:tblHeader w:val="true"/>
          <w:cantSplit w:val="true"/>
        </w:trPr>
        <w:tc>
          <w:tcPr>
            <w:tcW w:w="9359" w:type="dxa"/>
            <w:gridSpan w:val="2"/>
            <w:tcBorders>
              <w:top w:val="single" w:sz="4" w:space="0" w:color="1A3A5C"/>
              <w:left w:val="single" w:sz="4" w:space="0" w:color="1A3A5C"/>
              <w:bottom w:val="single" w:sz="4" w:space="0" w:color="1A3A5C"/>
              <w:right w:val="single" w:sz="4" w:space="0" w:color="1A3A5C"/>
            </w:tcBorders>
            <w:shd w:fill="1F4E79" w:val="clear"/>
          </w:tcPr>
          <w:p>
            <w:pPr>
              <w:pStyle w:val="Normal"/>
              <w:rPr/>
            </w:pPr>
            <w:r>
              <w:rPr>
                <w:rFonts w:eastAsia="Arial" w:cs="Arial"/>
                <w:b/>
                <w:bCs/>
                <w:color w:val="D6E4F0"/>
                <w:sz w:val="19"/>
                <w:szCs w:val="19"/>
              </w:rPr>
              <w:t xml:space="preserve">EVIDENCE CAPTURE  —  </w:t>
            </w:r>
            <w:r>
              <w:rPr>
                <w:rFonts w:eastAsia="Arial" w:cs="Arial"/>
                <w:b/>
                <w:bCs/>
                <w:color w:val="FFFFFF"/>
                <w:sz w:val="19"/>
                <w:szCs w:val="19"/>
              </w:rPr>
              <w:t>10 — Cluster Verified Active on DEVAC/Equinix</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Completed By</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Date / Time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System Output / Reference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Result</w:t>
            </w:r>
          </w:p>
        </w:tc>
        <w:tc>
          <w:tcPr>
            <w:tcW w:w="7799" w:type="dxa"/>
            <w:tcBorders>
              <w:top w:val="single" w:sz="4" w:space="0" w:color="1F4E79"/>
              <w:left w:val="single" w:sz="4" w:space="0" w:color="1F4E79"/>
              <w:bottom w:val="single" w:sz="4" w:space="0" w:color="1F4E79"/>
              <w:right w:val="single" w:sz="4" w:space="0" w:color="1F4E79"/>
            </w:tcBorders>
            <w:shd w:fill="E2EFDA" w:val="clear"/>
            <w:tcMar>
              <w:top w:w="80" w:type="dxa"/>
              <w:left w:w="140" w:type="dxa"/>
              <w:bottom w:w="80" w:type="dxa"/>
              <w:right w:w="140" w:type="dxa"/>
            </w:tcMar>
          </w:tcPr>
          <w:p>
            <w:pPr>
              <w:pStyle w:val="Normal"/>
              <w:rPr/>
            </w:pPr>
            <w:r>
              <w:rPr>
                <w:rFonts w:eastAsia="Arial" w:cs="Arial"/>
                <w:b/>
                <w:bCs/>
                <w:color w:val="375623"/>
                <w:sz w:val="19"/>
                <w:szCs w:val="19"/>
              </w:rPr>
              <w:t xml:space="preserve">☐  </w:t>
            </w:r>
            <w:r>
              <w:rPr>
                <w:rFonts w:eastAsia="Arial" w:cs="Arial"/>
                <w:b/>
                <w:bCs/>
                <w:color w:val="375623"/>
                <w:sz w:val="19"/>
                <w:szCs w:val="19"/>
              </w:rPr>
              <w:t>VERIFIED</w:t>
            </w:r>
            <w:r>
              <w:rPr>
                <w:rFonts w:eastAsia="Arial" w:cs="Arial"/>
                <w:sz w:val="19"/>
                <w:szCs w:val="19"/>
              </w:rPr>
              <w:t xml:space="preserve">          </w:t>
            </w:r>
            <w:r>
              <w:rPr>
                <w:rFonts w:eastAsia="Arial" w:cs="Arial"/>
                <w:b/>
                <w:bCs/>
                <w:color w:val="C00000"/>
                <w:sz w:val="19"/>
                <w:szCs w:val="19"/>
              </w:rPr>
              <w:t>☐  EXCEPTION</w:t>
            </w:r>
            <w:r>
              <w:rPr>
                <w:rFonts w:eastAsia="Arial" w:cs="Arial"/>
                <w:sz w:val="19"/>
                <w:szCs w:val="19"/>
              </w:rPr>
              <w:t xml:space="preserve">          </w:t>
            </w:r>
            <w:r>
              <w:rPr>
                <w:rFonts w:eastAsia="Arial" w:cs="Arial"/>
                <w:b/>
                <w:bCs/>
                <w:color w:val="666666"/>
                <w:sz w:val="19"/>
                <w:szCs w:val="19"/>
              </w:rPr>
              <w:t>☐  N/A</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Notes / Issues</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bl>
    <w:p>
      <w:pPr>
        <w:pStyle w:val="Normal"/>
        <w:rPr/>
      </w:pPr>
      <w:r>
        <w:rPr/>
      </w:r>
      <w:r>
        <w:br w:type="page"/>
      </w:r>
    </w:p>
    <w:p>
      <w:pPr>
        <w:pStyle w:val="Heading1"/>
        <w:shd w:val="clear" w:fill="0D2340"/>
        <w:spacing w:before="0" w:after="0"/>
        <w:ind w:left="80"/>
        <w:rPr/>
      </w:pPr>
      <w:bookmarkStart w:id="20" w:name="__RefHeading___Toc4511_3284268967"/>
      <w:bookmarkEnd w:id="20"/>
      <w:r>
        <w:rPr>
          <w:rFonts w:eastAsia="Arial" w:cs="Arial" w:ascii="Arial" w:hAnsi="Arial"/>
          <w:b/>
          <w:bCs/>
          <w:color w:val="2E75B6"/>
          <w:sz w:val="22"/>
          <w:szCs w:val="22"/>
        </w:rPr>
        <w:t>11</w:t>
      </w:r>
      <w:r>
        <w:rPr>
          <w:rFonts w:eastAsia="Arial" w:cs="Arial" w:ascii="Arial" w:hAnsi="Arial"/>
          <w:sz w:val="22"/>
          <w:szCs w:val="22"/>
        </w:rPr>
        <w:t xml:space="preserve">   </w:t>
      </w:r>
      <w:r>
        <w:rPr>
          <w:rFonts w:eastAsia="Arial" w:cs="Arial" w:ascii="Arial" w:hAnsi="Arial"/>
          <w:b/>
          <w:bCs/>
          <w:color w:val="FFFFFF"/>
          <w:sz w:val="26"/>
          <w:szCs w:val="26"/>
        </w:rPr>
        <w:t>APPLY 3RD-PARTY SOFTWARE KEYS</w:t>
      </w:r>
    </w:p>
    <w:p>
      <w:pPr>
        <w:pStyle w:val="Normal"/>
        <w:shd w:val="clear" w:fill="1F4E79"/>
        <w:spacing w:before="0" w:after="160"/>
        <w:ind w:left="80"/>
        <w:rPr/>
      </w:pPr>
      <w:r>
        <w:rPr>
          <w:rFonts w:eastAsia="Arial" w:cs="Arial"/>
          <w:i/>
          <w:iCs/>
          <w:color w:val="EBF3FB"/>
          <w:sz w:val="18"/>
          <w:szCs w:val="18"/>
        </w:rPr>
        <w:t>Phase 7 — DEVAC/Equinix, Performed After Switchover &amp; Cluster Verification</w:t>
      </w:r>
    </w:p>
    <w:p>
      <w:pPr>
        <w:pStyle w:val="Normal"/>
        <w:spacing w:before="0" w:after="120"/>
        <w:rPr/>
      </w:pPr>
      <w:r>
        <w:rPr>
          <w:rFonts w:eastAsia="Arial" w:cs="Arial"/>
          <w:i w:val="false"/>
          <w:iCs w:val="false"/>
          <w:color w:val="44546A"/>
          <w:sz w:val="20"/>
          <w:szCs w:val="20"/>
        </w:rPr>
        <w:t>All keys marked SYSBAS are outside the IASP and must be applied manually after switchover. Keys stored in the IASP (Robot Schedule, Turnover) replicate automatically via PowerHA. Apply all SYSBAS keys on DEVAC/Equinix after the PowerHA switchover is confirmed complete.</w:t>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6" w:space="0" w:color="C55A00"/>
              <w:left w:val="single" w:sz="18" w:space="0" w:color="C55A00"/>
              <w:bottom w:val="single" w:sz="6" w:space="0" w:color="C55A00"/>
              <w:right w:val="single" w:sz="6" w:space="0" w:color="C55A00"/>
            </w:tcBorders>
            <w:shd w:fill="FFF2CC" w:val="clear"/>
          </w:tcPr>
          <w:p>
            <w:pPr>
              <w:pStyle w:val="Normal"/>
              <w:rPr/>
            </w:pPr>
            <w:r>
              <w:rPr>
                <w:rFonts w:eastAsia="Arial" w:cs="Arial"/>
                <w:b/>
                <w:bCs/>
                <w:color w:val="C55A00"/>
                <w:sz w:val="19"/>
                <w:szCs w:val="19"/>
              </w:rPr>
              <w:t xml:space="preserve">⚠  </w:t>
            </w:r>
            <w:r>
              <w:rPr>
                <w:rFonts w:eastAsia="Arial" w:cs="Arial"/>
                <w:b/>
                <w:bCs/>
                <w:color w:val="C55A00"/>
                <w:sz w:val="19"/>
                <w:szCs w:val="19"/>
              </w:rPr>
              <w:t>MANDATORY ADVISORY</w:t>
            </w:r>
          </w:p>
          <w:p>
            <w:pPr>
              <w:pStyle w:val="Normal"/>
              <w:spacing w:before="60" w:after="0"/>
              <w:rPr/>
            </w:pPr>
            <w:r>
              <w:rPr>
                <w:rFonts w:eastAsia="Arial" w:cs="Arial"/>
                <w:color w:val="44546A"/>
                <w:sz w:val="19"/>
                <w:szCs w:val="19"/>
              </w:rPr>
              <w:t>The serial number (SN# 7858201) and LPAR number (002) referenced throughout this section were sourced from the validated Equinix → Temple procedure, where keys are applied on DEVAT. These identifiers are tied to the physical partition and may differ for DEVAC — confirm the correct serial number and LPAR number for DEVAC before applying any key in this section.</w:t>
            </w:r>
          </w:p>
        </w:tc>
      </w:tr>
    </w:tbl>
    <w:p>
      <w:pPr>
        <w:pStyle w:val="Normal"/>
        <w:spacing w:before="120" w:after="120"/>
        <w:rPr/>
      </w:pPr>
      <w:r>
        <w:rPr/>
      </w:r>
    </w:p>
    <w:p>
      <w:pPr>
        <w:pStyle w:val="Heading2"/>
        <w:spacing w:before="200" w:after="60"/>
        <w:rPr/>
      </w:pPr>
      <w:bookmarkStart w:id="21" w:name="__RefHeading___Toc4513_3284268967"/>
      <w:bookmarkEnd w:id="21"/>
      <w:r>
        <w:rPr>
          <w:rFonts w:eastAsia="Arial" w:cs="Arial" w:ascii="Arial" w:hAnsi="Arial"/>
          <w:b/>
          <w:bCs/>
          <w:color w:val="2E75B6"/>
          <w:sz w:val="22"/>
          <w:szCs w:val="22"/>
        </w:rPr>
        <w:t xml:space="preserve">11.1  </w:t>
      </w:r>
      <w:r>
        <w:rPr>
          <w:rFonts w:eastAsia="Arial" w:cs="Arial" w:ascii="Arial" w:hAnsi="Arial"/>
          <w:b/>
          <w:bCs/>
          <w:color w:val="1A3A5C"/>
          <w:sz w:val="22"/>
          <w:szCs w:val="22"/>
        </w:rPr>
        <w:t>Spyview Key (SN# 7858201, LPAR 002)</w:t>
      </w:r>
    </w:p>
    <w:p>
      <w:pPr>
        <w:pStyle w:val="Normal"/>
        <w:pBdr>
          <w:bottom w:val="single" w:sz="8" w:space="1" w:color="2E75B6"/>
        </w:pBdr>
        <w:spacing w:before="0" w:after="60"/>
        <w:rPr/>
      </w:pPr>
      <w:r>
        <w:rPr/>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6" w:space="0" w:color="C55A00"/>
              <w:left w:val="single" w:sz="18" w:space="0" w:color="C55A00"/>
              <w:bottom w:val="single" w:sz="6" w:space="0" w:color="C55A00"/>
              <w:right w:val="single" w:sz="6" w:space="0" w:color="C55A00"/>
            </w:tcBorders>
            <w:shd w:fill="FFF2CC" w:val="clear"/>
          </w:tcPr>
          <w:p>
            <w:pPr>
              <w:pStyle w:val="Normal"/>
              <w:rPr/>
            </w:pPr>
            <w:r>
              <w:rPr>
                <w:rFonts w:eastAsia="Arial" w:cs="Arial"/>
                <w:b/>
                <w:bCs/>
                <w:color w:val="C55A00"/>
                <w:sz w:val="19"/>
                <w:szCs w:val="19"/>
              </w:rPr>
              <w:t xml:space="preserve">⚠  </w:t>
            </w:r>
            <w:r>
              <w:rPr>
                <w:rFonts w:eastAsia="Arial" w:cs="Arial"/>
                <w:b/>
                <w:bCs/>
                <w:color w:val="C55A00"/>
                <w:sz w:val="19"/>
                <w:szCs w:val="19"/>
              </w:rPr>
              <w:t>MANDATORY ADVISORY</w:t>
            </w:r>
          </w:p>
          <w:p>
            <w:pPr>
              <w:pStyle w:val="Normal"/>
              <w:spacing w:before="60" w:after="0"/>
              <w:rPr/>
            </w:pPr>
            <w:r>
              <w:rPr>
                <w:rFonts w:eastAsia="Arial" w:cs="Arial"/>
                <w:color w:val="44546A"/>
                <w:sz w:val="19"/>
                <w:szCs w:val="19"/>
              </w:rPr>
              <w:t>Prerequisite: QPMLPMGT/QSYS must have *PUBLIC = *USE (not *EXCLUDE). Spyview will fail to apply if this authority is set to *EXCLUDE — change it first if needed.</w:t>
            </w:r>
          </w:p>
        </w:tc>
      </w:tr>
    </w:tbl>
    <w:p>
      <w:pPr>
        <w:pStyle w:val="Normal"/>
        <w:spacing w:before="120" w:after="120"/>
        <w:rPr/>
      </w:pPr>
      <w:r>
        <w:rPr/>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Login as SYSMGMT on DEVAC.</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Clear the existing Spyview license files:</w:t>
            </w:r>
          </w:p>
          <w:p>
            <w:pPr>
              <w:pStyle w:val="Normal"/>
              <w:shd w:val="clear" w:fill="1E1E2E"/>
              <w:spacing w:before="40" w:after="20"/>
              <w:rPr/>
            </w:pPr>
            <w:r>
              <w:rPr>
                <w:rFonts w:eastAsia="Courier New" w:cs="Courier New" w:ascii="Courier New" w:hAnsi="Courier New"/>
                <w:color w:val="A8D8EA"/>
                <w:sz w:val="17"/>
                <w:szCs w:val="17"/>
              </w:rPr>
              <w:t>STRSPY &gt; F21</w:t>
            </w:r>
          </w:p>
          <w:p>
            <w:pPr>
              <w:pStyle w:val="Normal"/>
              <w:shd w:val="clear" w:fill="1E1E2E"/>
              <w:spacing w:before="40" w:after="20"/>
              <w:rPr/>
            </w:pPr>
            <w:r>
              <w:rPr>
                <w:rFonts w:eastAsia="Courier New" w:cs="Courier New" w:ascii="Courier New" w:hAnsi="Courier New"/>
                <w:color w:val="A8D8EA"/>
                <w:sz w:val="17"/>
                <w:szCs w:val="17"/>
              </w:rPr>
              <w:t>CLRPFM FILE(SPYVIEW/MFKYLIC)</w:t>
            </w:r>
          </w:p>
          <w:p>
            <w:pPr>
              <w:pStyle w:val="Normal"/>
              <w:shd w:val="clear" w:fill="1E1E2E"/>
              <w:spacing w:before="40" w:after="0"/>
              <w:rPr/>
            </w:pPr>
            <w:r>
              <w:rPr>
                <w:rFonts w:eastAsia="Courier New" w:cs="Courier New" w:ascii="Courier New" w:hAnsi="Courier New"/>
                <w:color w:val="A8D8EA"/>
                <w:sz w:val="17"/>
                <w:szCs w:val="17"/>
              </w:rPr>
              <w:t>CLRPFM FILE(SPYVIEW/MFKYMST)</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3</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Apply the new Spyview key (F12 &gt; Option 7), LPAR number 002:</w:t>
            </w:r>
          </w:p>
          <w:p>
            <w:pPr>
              <w:pStyle w:val="Normal"/>
              <w:shd w:val="clear" w:fill="1E1E2E"/>
              <w:spacing w:before="40" w:after="0"/>
              <w:rPr/>
            </w:pPr>
            <w:r>
              <w:rPr>
                <w:rFonts w:eastAsia="Courier New" w:cs="Courier New" w:ascii="Courier New" w:hAnsi="Courier New"/>
                <w:color w:val="A8D8EA"/>
                <w:sz w:val="17"/>
                <w:szCs w:val="17"/>
              </w:rPr>
              <w:t>D259D0E7699C670F2A05A6F6EFF74106</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4</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Select Products and apply Users and Demo Date. Confirm all licensed products are selected.</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5</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Start Spyview Print Distribution (starts 335 jobs in jobq SPYGLSDST):</w:t>
            </w:r>
          </w:p>
          <w:p>
            <w:pPr>
              <w:pStyle w:val="Normal"/>
              <w:shd w:val="clear" w:fill="1E1E2E"/>
              <w:spacing w:before="40" w:after="20"/>
              <w:rPr/>
            </w:pPr>
            <w:r>
              <w:rPr>
                <w:rFonts w:eastAsia="Courier New" w:cs="Courier New" w:ascii="Courier New" w:hAnsi="Courier New"/>
                <w:color w:val="A8D8EA"/>
                <w:sz w:val="17"/>
                <w:szCs w:val="17"/>
              </w:rPr>
              <w:t>START SPYVIEW PRINT DISTRIBUTION</w:t>
            </w:r>
          </w:p>
          <w:p>
            <w:pPr>
              <w:pStyle w:val="Normal"/>
              <w:shd w:val="clear" w:fill="1E1E2E"/>
              <w:spacing w:before="40" w:after="0"/>
              <w:rPr/>
            </w:pPr>
            <w:r>
              <w:rPr>
                <w:rFonts w:eastAsia="Courier New" w:cs="Courier New" w:ascii="Courier New" w:hAnsi="Courier New"/>
                <w:color w:val="A8D8EA"/>
                <w:sz w:val="17"/>
                <w:szCs w:val="17"/>
              </w:rPr>
              <w:t>CALL PRDETSSRC/STRDSTLIS4</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6</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Start the Spyview monitor if needed: STRMON (only if not already running).</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bl>
    <w:p>
      <w:pPr>
        <w:pStyle w:val="Normal"/>
        <w:spacing w:before="160" w:after="0"/>
        <w:rPr/>
      </w:pPr>
      <w:r>
        <w:rPr/>
      </w:r>
    </w:p>
    <w:tbl>
      <w:tblPr>
        <w:tblW w:w="9360" w:type="dxa"/>
        <w:jc w:val="left"/>
        <w:tblInd w:w="0" w:type="dxa"/>
        <w:tblLayout w:type="fixed"/>
        <w:tblCellMar>
          <w:top w:w="100" w:type="dxa"/>
          <w:left w:w="160" w:type="dxa"/>
          <w:bottom w:w="100" w:type="dxa"/>
          <w:right w:w="160" w:type="dxa"/>
        </w:tblCellMar>
      </w:tblPr>
      <w:tblGrid>
        <w:gridCol w:w="1560"/>
        <w:gridCol w:w="7799"/>
      </w:tblGrid>
      <w:tr>
        <w:trPr>
          <w:tblHeader w:val="true"/>
          <w:cantSplit w:val="true"/>
        </w:trPr>
        <w:tc>
          <w:tcPr>
            <w:tcW w:w="9359" w:type="dxa"/>
            <w:gridSpan w:val="2"/>
            <w:tcBorders>
              <w:top w:val="single" w:sz="4" w:space="0" w:color="1A3A5C"/>
              <w:left w:val="single" w:sz="4" w:space="0" w:color="1A3A5C"/>
              <w:bottom w:val="single" w:sz="4" w:space="0" w:color="1A3A5C"/>
              <w:right w:val="single" w:sz="4" w:space="0" w:color="1A3A5C"/>
            </w:tcBorders>
            <w:shd w:fill="1F4E79" w:val="clear"/>
          </w:tcPr>
          <w:p>
            <w:pPr>
              <w:pStyle w:val="Normal"/>
              <w:rPr/>
            </w:pPr>
            <w:r>
              <w:rPr>
                <w:rFonts w:eastAsia="Arial" w:cs="Arial"/>
                <w:b/>
                <w:bCs/>
                <w:color w:val="D6E4F0"/>
                <w:sz w:val="19"/>
                <w:szCs w:val="19"/>
              </w:rPr>
              <w:t xml:space="preserve">EVIDENCE CAPTURE  —  </w:t>
            </w:r>
            <w:r>
              <w:rPr>
                <w:rFonts w:eastAsia="Arial" w:cs="Arial"/>
                <w:b/>
                <w:bCs/>
                <w:color w:val="FFFFFF"/>
                <w:sz w:val="19"/>
                <w:szCs w:val="19"/>
              </w:rPr>
              <w:t>11.1 — Spyview Key Applied &amp; Print Distribution Active</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Completed By</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Date / Time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System Output / Reference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Result</w:t>
            </w:r>
          </w:p>
        </w:tc>
        <w:tc>
          <w:tcPr>
            <w:tcW w:w="7799" w:type="dxa"/>
            <w:tcBorders>
              <w:top w:val="single" w:sz="4" w:space="0" w:color="1F4E79"/>
              <w:left w:val="single" w:sz="4" w:space="0" w:color="1F4E79"/>
              <w:bottom w:val="single" w:sz="4" w:space="0" w:color="1F4E79"/>
              <w:right w:val="single" w:sz="4" w:space="0" w:color="1F4E79"/>
            </w:tcBorders>
            <w:shd w:fill="E2EFDA" w:val="clear"/>
            <w:tcMar>
              <w:top w:w="80" w:type="dxa"/>
              <w:left w:w="140" w:type="dxa"/>
              <w:bottom w:w="80" w:type="dxa"/>
              <w:right w:w="140" w:type="dxa"/>
            </w:tcMar>
          </w:tcPr>
          <w:p>
            <w:pPr>
              <w:pStyle w:val="Normal"/>
              <w:rPr/>
            </w:pPr>
            <w:r>
              <w:rPr>
                <w:rFonts w:eastAsia="Arial" w:cs="Arial"/>
                <w:b/>
                <w:bCs/>
                <w:color w:val="375623"/>
                <w:sz w:val="19"/>
                <w:szCs w:val="19"/>
              </w:rPr>
              <w:t xml:space="preserve">☐  </w:t>
            </w:r>
            <w:r>
              <w:rPr>
                <w:rFonts w:eastAsia="Arial" w:cs="Arial"/>
                <w:b/>
                <w:bCs/>
                <w:color w:val="375623"/>
                <w:sz w:val="19"/>
                <w:szCs w:val="19"/>
              </w:rPr>
              <w:t>VERIFIED</w:t>
            </w:r>
            <w:r>
              <w:rPr>
                <w:rFonts w:eastAsia="Arial" w:cs="Arial"/>
                <w:sz w:val="19"/>
                <w:szCs w:val="19"/>
              </w:rPr>
              <w:t xml:space="preserve">          </w:t>
            </w:r>
            <w:r>
              <w:rPr>
                <w:rFonts w:eastAsia="Arial" w:cs="Arial"/>
                <w:b/>
                <w:bCs/>
                <w:color w:val="C00000"/>
                <w:sz w:val="19"/>
                <w:szCs w:val="19"/>
              </w:rPr>
              <w:t>☐  EXCEPTION</w:t>
            </w:r>
            <w:r>
              <w:rPr>
                <w:rFonts w:eastAsia="Arial" w:cs="Arial"/>
                <w:sz w:val="19"/>
                <w:szCs w:val="19"/>
              </w:rPr>
              <w:t xml:space="preserve">          </w:t>
            </w:r>
            <w:r>
              <w:rPr>
                <w:rFonts w:eastAsia="Arial" w:cs="Arial"/>
                <w:b/>
                <w:bCs/>
                <w:color w:val="666666"/>
                <w:sz w:val="19"/>
                <w:szCs w:val="19"/>
              </w:rPr>
              <w:t>☐  N/A</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Notes / Issues</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bl>
    <w:p>
      <w:pPr>
        <w:pStyle w:val="Normal"/>
        <w:spacing w:before="160" w:after="200"/>
        <w:rPr/>
      </w:pPr>
      <w:r>
        <w:rPr/>
      </w:r>
    </w:p>
    <w:p>
      <w:pPr>
        <w:pStyle w:val="Heading2"/>
        <w:spacing w:before="200" w:after="60"/>
        <w:rPr/>
      </w:pPr>
      <w:bookmarkStart w:id="22" w:name="__RefHeading___Toc4515_3284268967"/>
      <w:bookmarkEnd w:id="22"/>
      <w:r>
        <w:rPr>
          <w:rFonts w:eastAsia="Arial" w:cs="Arial" w:ascii="Arial" w:hAnsi="Arial"/>
          <w:b/>
          <w:bCs/>
          <w:color w:val="2E75B6"/>
          <w:sz w:val="22"/>
          <w:szCs w:val="22"/>
        </w:rPr>
        <w:t xml:space="preserve">11.2  </w:t>
      </w:r>
      <w:r>
        <w:rPr>
          <w:rFonts w:eastAsia="Arial" w:cs="Arial" w:ascii="Arial" w:hAnsi="Arial"/>
          <w:b/>
          <w:bCs/>
          <w:color w:val="1A3A5C"/>
          <w:sz w:val="22"/>
          <w:szCs w:val="22"/>
        </w:rPr>
        <w:t>Turnover Key (SN# 7858201, LPAR 002)</w:t>
      </w:r>
    </w:p>
    <w:p>
      <w:pPr>
        <w:pStyle w:val="Normal"/>
        <w:pBdr>
          <w:bottom w:val="single" w:sz="8" w:space="1" w:color="2E75B6"/>
        </w:pBdr>
        <w:spacing w:before="0" w:after="60"/>
        <w:rPr/>
      </w:pPr>
      <w:r>
        <w:rPr/>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Verify the Turnover IFS key path (this key is in IFS/IASP and replicates automatically): /home/unicom/licenses/* TN4.</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Rename the Turnover license files so DEVAC picks up the correct license file: rename current License file to LicenseC2025, then rename LicenseT2025 to License.</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3</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Verify the Turnover license shows as valid (LPAR 002):</w:t>
            </w:r>
          </w:p>
          <w:p>
            <w:pPr>
              <w:pStyle w:val="Normal"/>
              <w:shd w:val="clear" w:fill="1E1E2E"/>
              <w:spacing w:before="40" w:after="0"/>
              <w:rPr/>
            </w:pPr>
            <w:r>
              <w:rPr>
                <w:rFonts w:eastAsia="Courier New" w:cs="Courier New" w:ascii="Courier New" w:hAnsi="Courier New"/>
                <w:color w:val="A8D8EA"/>
                <w:sz w:val="17"/>
                <w:szCs w:val="17"/>
              </w:rPr>
              <w:t>TWRKLIC</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4</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Start the TSERVER subsystem if not already running — required for Turnover operations:</w:t>
            </w:r>
          </w:p>
          <w:p>
            <w:pPr>
              <w:pStyle w:val="Normal"/>
              <w:shd w:val="clear" w:fill="1E1E2E"/>
              <w:spacing w:before="40" w:after="0"/>
              <w:rPr/>
            </w:pPr>
            <w:r>
              <w:rPr>
                <w:rFonts w:eastAsia="Courier New" w:cs="Courier New" w:ascii="Courier New" w:hAnsi="Courier New"/>
                <w:color w:val="A8D8EA"/>
                <w:sz w:val="17"/>
                <w:szCs w:val="17"/>
              </w:rPr>
              <w:t>STRSBS AMSCONFIG/TSERVER</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5</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Logon as MLENGBR2. Update the Turnover serial number to local (Option 11 &gt; Option 1 &gt; 2=Change DEVA &gt; change Serial Number to *LOCAL). Serial: 400-42A-7858201.</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bl>
    <w:p>
      <w:pPr>
        <w:pStyle w:val="Normal"/>
        <w:spacing w:before="160" w:after="0"/>
        <w:rPr/>
      </w:pPr>
      <w:r>
        <w:rPr/>
      </w:r>
    </w:p>
    <w:tbl>
      <w:tblPr>
        <w:tblW w:w="9360" w:type="dxa"/>
        <w:jc w:val="left"/>
        <w:tblInd w:w="0" w:type="dxa"/>
        <w:tblLayout w:type="fixed"/>
        <w:tblCellMar>
          <w:top w:w="100" w:type="dxa"/>
          <w:left w:w="160" w:type="dxa"/>
          <w:bottom w:w="100" w:type="dxa"/>
          <w:right w:w="160" w:type="dxa"/>
        </w:tblCellMar>
      </w:tblPr>
      <w:tblGrid>
        <w:gridCol w:w="1560"/>
        <w:gridCol w:w="7799"/>
      </w:tblGrid>
      <w:tr>
        <w:trPr>
          <w:tblHeader w:val="true"/>
          <w:cantSplit w:val="true"/>
        </w:trPr>
        <w:tc>
          <w:tcPr>
            <w:tcW w:w="9359" w:type="dxa"/>
            <w:gridSpan w:val="2"/>
            <w:tcBorders>
              <w:top w:val="single" w:sz="4" w:space="0" w:color="1A3A5C"/>
              <w:left w:val="single" w:sz="4" w:space="0" w:color="1A3A5C"/>
              <w:bottom w:val="single" w:sz="4" w:space="0" w:color="1A3A5C"/>
              <w:right w:val="single" w:sz="4" w:space="0" w:color="1A3A5C"/>
            </w:tcBorders>
            <w:shd w:fill="1F4E79" w:val="clear"/>
          </w:tcPr>
          <w:p>
            <w:pPr>
              <w:pStyle w:val="Normal"/>
              <w:rPr/>
            </w:pPr>
            <w:r>
              <w:rPr>
                <w:rFonts w:eastAsia="Arial" w:cs="Arial"/>
                <w:b/>
                <w:bCs/>
                <w:color w:val="D6E4F0"/>
                <w:sz w:val="19"/>
                <w:szCs w:val="19"/>
              </w:rPr>
              <w:t xml:space="preserve">EVIDENCE CAPTURE  —  </w:t>
            </w:r>
            <w:r>
              <w:rPr>
                <w:rFonts w:eastAsia="Arial" w:cs="Arial"/>
                <w:b/>
                <w:bCs/>
                <w:color w:val="FFFFFF"/>
                <w:sz w:val="19"/>
                <w:szCs w:val="19"/>
              </w:rPr>
              <w:t>11.2 — Turnover Key Applied &amp; License Verified Valid</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Completed By</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Date / Time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System Output / Reference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Result</w:t>
            </w:r>
          </w:p>
        </w:tc>
        <w:tc>
          <w:tcPr>
            <w:tcW w:w="7799" w:type="dxa"/>
            <w:tcBorders>
              <w:top w:val="single" w:sz="4" w:space="0" w:color="1F4E79"/>
              <w:left w:val="single" w:sz="4" w:space="0" w:color="1F4E79"/>
              <w:bottom w:val="single" w:sz="4" w:space="0" w:color="1F4E79"/>
              <w:right w:val="single" w:sz="4" w:space="0" w:color="1F4E79"/>
            </w:tcBorders>
            <w:shd w:fill="E2EFDA" w:val="clear"/>
            <w:tcMar>
              <w:top w:w="80" w:type="dxa"/>
              <w:left w:w="140" w:type="dxa"/>
              <w:bottom w:w="80" w:type="dxa"/>
              <w:right w:w="140" w:type="dxa"/>
            </w:tcMar>
          </w:tcPr>
          <w:p>
            <w:pPr>
              <w:pStyle w:val="Normal"/>
              <w:rPr/>
            </w:pPr>
            <w:r>
              <w:rPr>
                <w:rFonts w:eastAsia="Arial" w:cs="Arial"/>
                <w:b/>
                <w:bCs/>
                <w:color w:val="375623"/>
                <w:sz w:val="19"/>
                <w:szCs w:val="19"/>
              </w:rPr>
              <w:t xml:space="preserve">☐  </w:t>
            </w:r>
            <w:r>
              <w:rPr>
                <w:rFonts w:eastAsia="Arial" w:cs="Arial"/>
                <w:b/>
                <w:bCs/>
                <w:color w:val="375623"/>
                <w:sz w:val="19"/>
                <w:szCs w:val="19"/>
              </w:rPr>
              <w:t>VERIFIED</w:t>
            </w:r>
            <w:r>
              <w:rPr>
                <w:rFonts w:eastAsia="Arial" w:cs="Arial"/>
                <w:sz w:val="19"/>
                <w:szCs w:val="19"/>
              </w:rPr>
              <w:t xml:space="preserve">          </w:t>
            </w:r>
            <w:r>
              <w:rPr>
                <w:rFonts w:eastAsia="Arial" w:cs="Arial"/>
                <w:b/>
                <w:bCs/>
                <w:color w:val="C00000"/>
                <w:sz w:val="19"/>
                <w:szCs w:val="19"/>
              </w:rPr>
              <w:t>☐  EXCEPTION</w:t>
            </w:r>
            <w:r>
              <w:rPr>
                <w:rFonts w:eastAsia="Arial" w:cs="Arial"/>
                <w:sz w:val="19"/>
                <w:szCs w:val="19"/>
              </w:rPr>
              <w:t xml:space="preserve">          </w:t>
            </w:r>
            <w:r>
              <w:rPr>
                <w:rFonts w:eastAsia="Arial" w:cs="Arial"/>
                <w:b/>
                <w:bCs/>
                <w:color w:val="666666"/>
                <w:sz w:val="19"/>
                <w:szCs w:val="19"/>
              </w:rPr>
              <w:t>☐  N/A</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Notes / Issues</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bl>
    <w:p>
      <w:pPr>
        <w:pStyle w:val="Normal"/>
        <w:spacing w:before="160" w:after="200"/>
        <w:rPr/>
      </w:pPr>
      <w:r>
        <w:rPr/>
      </w:r>
    </w:p>
    <w:p>
      <w:pPr>
        <w:pStyle w:val="Heading2"/>
        <w:spacing w:before="200" w:after="60"/>
        <w:rPr/>
      </w:pPr>
      <w:bookmarkStart w:id="23" w:name="__RefHeading___Toc4517_3284268967"/>
      <w:bookmarkEnd w:id="23"/>
      <w:r>
        <w:rPr>
          <w:rFonts w:eastAsia="Arial" w:cs="Arial" w:ascii="Arial" w:hAnsi="Arial"/>
          <w:b/>
          <w:bCs/>
          <w:color w:val="2E75B6"/>
          <w:sz w:val="22"/>
          <w:szCs w:val="22"/>
        </w:rPr>
        <w:t xml:space="preserve">11.3  </w:t>
      </w:r>
      <w:r>
        <w:rPr>
          <w:rFonts w:eastAsia="Arial" w:cs="Arial" w:ascii="Arial" w:hAnsi="Arial"/>
          <w:b/>
          <w:bCs/>
          <w:color w:val="1A3A5C"/>
          <w:sz w:val="22"/>
          <w:szCs w:val="22"/>
        </w:rPr>
        <w:t>DSI Key (90-Day, by Serial Number)</w:t>
      </w:r>
    </w:p>
    <w:p>
      <w:pPr>
        <w:pStyle w:val="Normal"/>
        <w:pBdr>
          <w:bottom w:val="single" w:sz="8" w:space="1" w:color="2E75B6"/>
        </w:pBdr>
        <w:spacing w:before="0" w:after="60"/>
        <w:rPr/>
      </w:pPr>
      <w:r>
        <w:rPr/>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Logon to DEVAC to verify the DSI key. Capture screenshots for the permanent key request. (The key is by serial number, used for SVC_DCLINK interface 13 — the key is not required for DSI to run.)</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Delete the existing DSI protection data area:</w:t>
            </w:r>
          </w:p>
          <w:p>
            <w:pPr>
              <w:pStyle w:val="Normal"/>
              <w:shd w:val="clear" w:fill="1E1E2E"/>
              <w:spacing w:before="40" w:after="0"/>
              <w:rPr/>
            </w:pPr>
            <w:r>
              <w:rPr>
                <w:rFonts w:eastAsia="Courier New" w:cs="Courier New" w:ascii="Courier New" w:hAnsi="Courier New"/>
                <w:color w:val="A8D8EA"/>
                <w:sz w:val="17"/>
                <w:szCs w:val="17"/>
              </w:rPr>
              <w:t>DLTOBJ OBJ(DCL511DTA/DSIPROTECT) OBJTYPE(*DTAARA)</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3</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Create the new DSI protection data area with the Equinix key (no spaces in the hex value):</w:t>
            </w:r>
          </w:p>
          <w:p>
            <w:pPr>
              <w:pStyle w:val="Normal"/>
              <w:shd w:val="clear" w:fill="1E1E2E"/>
              <w:spacing w:before="40" w:after="20"/>
              <w:rPr/>
            </w:pPr>
            <w:r>
              <w:rPr>
                <w:rFonts w:eastAsia="Courier New" w:cs="Courier New" w:ascii="Courier New" w:hAnsi="Courier New"/>
                <w:color w:val="A8D8EA"/>
                <w:sz w:val="17"/>
                <w:szCs w:val="17"/>
              </w:rPr>
              <w:t>CRTDTAARA DTAARA(DCL511DTA/DSIPROTECT) TYPE(*CHAR) LEN(24)</w:t>
            </w:r>
          </w:p>
          <w:p>
            <w:pPr>
              <w:pStyle w:val="Normal"/>
              <w:shd w:val="clear" w:fill="1E1E2E"/>
              <w:spacing w:before="40" w:after="0"/>
              <w:rPr/>
            </w:pPr>
            <w:r>
              <w:rPr>
                <w:rFonts w:eastAsia="Courier New" w:cs="Courier New" w:ascii="Courier New" w:hAnsi="Courier New"/>
                <w:color w:val="A8D8EA"/>
                <w:sz w:val="17"/>
                <w:szCs w:val="17"/>
              </w:rPr>
              <w:t>VALUE(X'C1E935EDACCF9B5D14DBE418D19A7E5CC4DDD2CC383A813A')</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bl>
    <w:p>
      <w:pPr>
        <w:pStyle w:val="Normal"/>
        <w:spacing w:before="160" w:after="0"/>
        <w:rPr/>
      </w:pPr>
      <w:r>
        <w:rPr/>
      </w:r>
    </w:p>
    <w:tbl>
      <w:tblPr>
        <w:tblW w:w="9360" w:type="dxa"/>
        <w:jc w:val="left"/>
        <w:tblInd w:w="0" w:type="dxa"/>
        <w:tblLayout w:type="fixed"/>
        <w:tblCellMar>
          <w:top w:w="100" w:type="dxa"/>
          <w:left w:w="160" w:type="dxa"/>
          <w:bottom w:w="100" w:type="dxa"/>
          <w:right w:w="160" w:type="dxa"/>
        </w:tblCellMar>
      </w:tblPr>
      <w:tblGrid>
        <w:gridCol w:w="1560"/>
        <w:gridCol w:w="7799"/>
      </w:tblGrid>
      <w:tr>
        <w:trPr>
          <w:tblHeader w:val="true"/>
          <w:cantSplit w:val="true"/>
        </w:trPr>
        <w:tc>
          <w:tcPr>
            <w:tcW w:w="9359" w:type="dxa"/>
            <w:gridSpan w:val="2"/>
            <w:tcBorders>
              <w:top w:val="single" w:sz="4" w:space="0" w:color="1A3A5C"/>
              <w:left w:val="single" w:sz="4" w:space="0" w:color="1A3A5C"/>
              <w:bottom w:val="single" w:sz="4" w:space="0" w:color="1A3A5C"/>
              <w:right w:val="single" w:sz="4" w:space="0" w:color="1A3A5C"/>
            </w:tcBorders>
            <w:shd w:fill="1F4E79" w:val="clear"/>
          </w:tcPr>
          <w:p>
            <w:pPr>
              <w:pStyle w:val="Normal"/>
              <w:rPr/>
            </w:pPr>
            <w:r>
              <w:rPr>
                <w:rFonts w:eastAsia="Arial" w:cs="Arial"/>
                <w:b/>
                <w:bCs/>
                <w:color w:val="D6E4F0"/>
                <w:sz w:val="19"/>
                <w:szCs w:val="19"/>
              </w:rPr>
              <w:t xml:space="preserve">EVIDENCE CAPTURE  —  </w:t>
            </w:r>
            <w:r>
              <w:rPr>
                <w:rFonts w:eastAsia="Arial" w:cs="Arial"/>
                <w:b/>
                <w:bCs/>
                <w:color w:val="FFFFFF"/>
                <w:sz w:val="19"/>
                <w:szCs w:val="19"/>
              </w:rPr>
              <w:t>11.3 — DSI Protection Data Area Created</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Completed By</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Date / Time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System Output / Reference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Result</w:t>
            </w:r>
          </w:p>
        </w:tc>
        <w:tc>
          <w:tcPr>
            <w:tcW w:w="7799" w:type="dxa"/>
            <w:tcBorders>
              <w:top w:val="single" w:sz="4" w:space="0" w:color="1F4E79"/>
              <w:left w:val="single" w:sz="4" w:space="0" w:color="1F4E79"/>
              <w:bottom w:val="single" w:sz="4" w:space="0" w:color="1F4E79"/>
              <w:right w:val="single" w:sz="4" w:space="0" w:color="1F4E79"/>
            </w:tcBorders>
            <w:shd w:fill="E2EFDA" w:val="clear"/>
            <w:tcMar>
              <w:top w:w="80" w:type="dxa"/>
              <w:left w:w="140" w:type="dxa"/>
              <w:bottom w:w="80" w:type="dxa"/>
              <w:right w:w="140" w:type="dxa"/>
            </w:tcMar>
          </w:tcPr>
          <w:p>
            <w:pPr>
              <w:pStyle w:val="Normal"/>
              <w:rPr/>
            </w:pPr>
            <w:r>
              <w:rPr>
                <w:rFonts w:eastAsia="Arial" w:cs="Arial"/>
                <w:b/>
                <w:bCs/>
                <w:color w:val="375623"/>
                <w:sz w:val="19"/>
                <w:szCs w:val="19"/>
              </w:rPr>
              <w:t xml:space="preserve">☐  </w:t>
            </w:r>
            <w:r>
              <w:rPr>
                <w:rFonts w:eastAsia="Arial" w:cs="Arial"/>
                <w:b/>
                <w:bCs/>
                <w:color w:val="375623"/>
                <w:sz w:val="19"/>
                <w:szCs w:val="19"/>
              </w:rPr>
              <w:t>VERIFIED</w:t>
            </w:r>
            <w:r>
              <w:rPr>
                <w:rFonts w:eastAsia="Arial" w:cs="Arial"/>
                <w:sz w:val="19"/>
                <w:szCs w:val="19"/>
              </w:rPr>
              <w:t xml:space="preserve">          </w:t>
            </w:r>
            <w:r>
              <w:rPr>
                <w:rFonts w:eastAsia="Arial" w:cs="Arial"/>
                <w:b/>
                <w:bCs/>
                <w:color w:val="C00000"/>
                <w:sz w:val="19"/>
                <w:szCs w:val="19"/>
              </w:rPr>
              <w:t>☐  EXCEPTION</w:t>
            </w:r>
            <w:r>
              <w:rPr>
                <w:rFonts w:eastAsia="Arial" w:cs="Arial"/>
                <w:sz w:val="19"/>
                <w:szCs w:val="19"/>
              </w:rPr>
              <w:t xml:space="preserve">          </w:t>
            </w:r>
            <w:r>
              <w:rPr>
                <w:rFonts w:eastAsia="Arial" w:cs="Arial"/>
                <w:b/>
                <w:bCs/>
                <w:color w:val="666666"/>
                <w:sz w:val="19"/>
                <w:szCs w:val="19"/>
              </w:rPr>
              <w:t>☐  N/A</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Notes / Issues</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bl>
    <w:p>
      <w:pPr>
        <w:pStyle w:val="Normal"/>
        <w:rPr/>
      </w:pPr>
      <w:r>
        <w:rPr/>
      </w:r>
      <w:r>
        <w:br w:type="page"/>
      </w:r>
    </w:p>
    <w:p>
      <w:pPr>
        <w:pStyle w:val="Heading2"/>
        <w:spacing w:before="0" w:after="60"/>
        <w:rPr/>
      </w:pPr>
      <w:bookmarkStart w:id="24" w:name="__RefHeading___Toc4519_3284268967"/>
      <w:bookmarkEnd w:id="24"/>
      <w:r>
        <w:rPr>
          <w:rFonts w:eastAsia="Arial" w:cs="Arial" w:ascii="Arial" w:hAnsi="Arial"/>
          <w:b/>
          <w:bCs/>
          <w:color w:val="2E75B6"/>
          <w:sz w:val="22"/>
          <w:szCs w:val="22"/>
        </w:rPr>
        <w:t xml:space="preserve">11.4  </w:t>
      </w:r>
      <w:r>
        <w:rPr>
          <w:rFonts w:eastAsia="Arial" w:cs="Arial" w:ascii="Arial" w:hAnsi="Arial"/>
          <w:b/>
          <w:bCs/>
          <w:color w:val="1A3A5C"/>
          <w:sz w:val="22"/>
          <w:szCs w:val="22"/>
        </w:rPr>
        <w:t>JDE World Keys (A7.3 cum 7, SN# 7858201)</w:t>
      </w:r>
    </w:p>
    <w:p>
      <w:pPr>
        <w:pStyle w:val="Normal"/>
        <w:pBdr>
          <w:bottom w:val="single" w:sz="8" w:space="1" w:color="2E75B6"/>
        </w:pBdr>
        <w:spacing w:before="0" w:after="60"/>
        <w:rPr/>
      </w:pPr>
      <w:r>
        <w:rPr/>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Initiate the JDE key process — verify version A7.3 cum 7:</w:t>
            </w:r>
          </w:p>
          <w:p>
            <w:pPr>
              <w:pStyle w:val="Normal"/>
              <w:shd w:val="clear" w:fill="1E1E2E"/>
              <w:spacing w:before="40" w:after="0"/>
              <w:rPr/>
            </w:pPr>
            <w:r>
              <w:rPr>
                <w:rFonts w:eastAsia="Courier New" w:cs="Courier New" w:ascii="Courier New" w:hAnsi="Courier New"/>
                <w:color w:val="A8D8EA"/>
                <w:sz w:val="17"/>
                <w:szCs w:val="17"/>
              </w:rPr>
              <w:t>DSPJDELVL/97</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Key reference URLs (same key as before, by serial number — will be the same for PRODE):</w:t>
            </w:r>
          </w:p>
          <w:p>
            <w:pPr>
              <w:pStyle w:val="Normal"/>
              <w:shd w:val="clear" w:fill="1E1E2E"/>
              <w:spacing w:before="40" w:after="20"/>
              <w:rPr/>
            </w:pPr>
            <w:r>
              <w:rPr>
                <w:rFonts w:eastAsia="Courier New" w:cs="Courier New" w:ascii="Courier New" w:hAnsi="Courier New"/>
                <w:color w:val="A8D8EA"/>
                <w:sz w:val="17"/>
                <w:szCs w:val="17"/>
              </w:rPr>
              <w:t>https://licensecodes.oracle.com/cgi-bin/keygen.pl</w:t>
            </w:r>
          </w:p>
          <w:p>
            <w:pPr>
              <w:pStyle w:val="Normal"/>
              <w:shd w:val="clear" w:fill="1E1E2E"/>
              <w:spacing w:before="40" w:after="0"/>
              <w:rPr/>
            </w:pPr>
            <w:r>
              <w:rPr>
                <w:rFonts w:eastAsia="Courier New" w:cs="Courier New" w:ascii="Courier New" w:hAnsi="Courier New"/>
                <w:color w:val="A8D8EA"/>
                <w:sz w:val="17"/>
                <w:szCs w:val="17"/>
              </w:rPr>
              <w:t>https://www.oracle.com/support/license-codes/jd-edwards-world.html</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3</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Logon as SYSMGMT and apply the JDE key (SN# 7858201):</w:t>
            </w:r>
          </w:p>
          <w:p>
            <w:pPr>
              <w:pStyle w:val="Normal"/>
              <w:shd w:val="clear" w:fill="1E1E2E"/>
              <w:spacing w:before="40" w:after="0"/>
              <w:rPr/>
            </w:pPr>
            <w:r>
              <w:rPr>
                <w:rFonts w:eastAsia="Courier New" w:cs="Courier New" w:ascii="Courier New" w:hAnsi="Courier New"/>
                <w:color w:val="A8D8EA"/>
                <w:sz w:val="17"/>
                <w:szCs w:val="17"/>
              </w:rPr>
              <w:t>CHGDTAARA DTAARA(JDFOBJA73/QJDF (496 17)) VALUE('060139RPGHDB00701')</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4</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Verify the JDE key was applied. Take a screenshot after DR and compare to the pre-DR screenshot taken in Section 4.1:</w:t>
            </w:r>
          </w:p>
          <w:p>
            <w:pPr>
              <w:pStyle w:val="Normal"/>
              <w:shd w:val="clear" w:fill="1E1E2E"/>
              <w:spacing w:before="40" w:after="0"/>
              <w:rPr/>
            </w:pPr>
            <w:r>
              <w:rPr>
                <w:rFonts w:eastAsia="Courier New" w:cs="Courier New" w:ascii="Courier New" w:hAnsi="Courier New"/>
                <w:color w:val="A8D8EA"/>
                <w:sz w:val="17"/>
                <w:szCs w:val="17"/>
              </w:rPr>
              <w:t>DSPDTAARA JDFOBJA73/QJDF</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5</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Logon as QSECOFR and set the ASP Group — required before accessing IASP-resident JDE objects:</w:t>
            </w:r>
          </w:p>
          <w:p>
            <w:pPr>
              <w:pStyle w:val="Normal"/>
              <w:shd w:val="clear" w:fill="1E1E2E"/>
              <w:spacing w:before="40" w:after="0"/>
              <w:rPr/>
            </w:pPr>
            <w:r>
              <w:rPr>
                <w:rFonts w:eastAsia="Courier New" w:cs="Courier New" w:ascii="Courier New" w:hAnsi="Courier New"/>
                <w:color w:val="A8D8EA"/>
                <w:sz w:val="17"/>
                <w:szCs w:val="17"/>
              </w:rPr>
              <w:t>SETASPGRP ASPGRP(DAHAIASP)</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6</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Check locks on each JDE index object individually before deletion:</w:t>
            </w:r>
          </w:p>
          <w:p>
            <w:pPr>
              <w:pStyle w:val="Normal"/>
              <w:shd w:val="clear" w:fill="1E1E2E"/>
              <w:spacing w:before="40" w:after="20"/>
              <w:rPr/>
            </w:pPr>
            <w:r>
              <w:rPr>
                <w:rFonts w:eastAsia="Courier New" w:cs="Courier New" w:ascii="Courier New" w:hAnsi="Courier New"/>
                <w:color w:val="A8D8EA"/>
                <w:sz w:val="17"/>
                <w:szCs w:val="17"/>
              </w:rPr>
              <w:t>WRKOBJLCK OBJ(QGPL/JDE_IDX_1) OBJTYPE(*USRIDX)</w:t>
            </w:r>
          </w:p>
          <w:p>
            <w:pPr>
              <w:pStyle w:val="Normal"/>
              <w:shd w:val="clear" w:fill="1E1E2E"/>
              <w:spacing w:before="40" w:after="20"/>
              <w:rPr/>
            </w:pPr>
            <w:r>
              <w:rPr>
                <w:rFonts w:eastAsia="Courier New" w:cs="Courier New" w:ascii="Courier New" w:hAnsi="Courier New"/>
                <w:color w:val="A8D8EA"/>
                <w:sz w:val="17"/>
                <w:szCs w:val="17"/>
              </w:rPr>
              <w:t>WRKOBJLCK OBJ(QGPL/JDE_IDX_2) OBJTYPE(*USRIDX)</w:t>
            </w:r>
          </w:p>
          <w:p>
            <w:pPr>
              <w:pStyle w:val="Normal"/>
              <w:shd w:val="clear" w:fill="1E1E2E"/>
              <w:spacing w:before="40" w:after="20"/>
              <w:rPr/>
            </w:pPr>
            <w:r>
              <w:rPr>
                <w:rFonts w:eastAsia="Courier New" w:cs="Courier New" w:ascii="Courier New" w:hAnsi="Courier New"/>
                <w:color w:val="A8D8EA"/>
                <w:sz w:val="17"/>
                <w:szCs w:val="17"/>
              </w:rPr>
              <w:t>WRKOBJLCK OBJ(QGPL/JDE_IDX_3) OBJTYPE(*USRIDX)</w:t>
            </w:r>
          </w:p>
          <w:p>
            <w:pPr>
              <w:pStyle w:val="Normal"/>
              <w:shd w:val="clear" w:fill="1E1E2E"/>
              <w:spacing w:before="40" w:after="20"/>
              <w:rPr/>
            </w:pPr>
            <w:r>
              <w:rPr>
                <w:rFonts w:eastAsia="Courier New" w:cs="Courier New" w:ascii="Courier New" w:hAnsi="Courier New"/>
                <w:color w:val="A8D8EA"/>
                <w:sz w:val="17"/>
                <w:szCs w:val="17"/>
              </w:rPr>
              <w:t>WRKOBJLCK OBJ(QGPL/JDE_IDX_4) OBJTYPE(*USRIDX)</w:t>
            </w:r>
          </w:p>
          <w:p>
            <w:pPr>
              <w:pStyle w:val="Normal"/>
              <w:shd w:val="clear" w:fill="1E1E2E"/>
              <w:spacing w:before="40" w:after="0"/>
              <w:rPr/>
            </w:pPr>
            <w:r>
              <w:rPr>
                <w:rFonts w:eastAsia="Courier New" w:cs="Courier New" w:ascii="Courier New" w:hAnsi="Courier New"/>
                <w:color w:val="A8D8EA"/>
                <w:sz w:val="17"/>
                <w:szCs w:val="17"/>
              </w:rPr>
              <w:t>WRKOBJ OBJ(QGPL/JDE*) OBJTYPE(*USRIDX)</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7</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Delete JDE index objects IDX_1 through IDX_4 ONLY — do not delete any other JDE* objects.</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8</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Rebuild the JDE indexes by submitting the rebuild job, then verify (rebuilds JDE_IDX_1 through JDE_IDX_4; use CALL QCMD and paste the command):</w:t>
            </w:r>
          </w:p>
          <w:p>
            <w:pPr>
              <w:pStyle w:val="Normal"/>
              <w:shd w:val="clear" w:fill="1E1E2E"/>
              <w:spacing w:before="40" w:after="20"/>
              <w:rPr/>
            </w:pPr>
            <w:r>
              <w:rPr>
                <w:rFonts w:eastAsia="Courier New" w:cs="Courier New" w:ascii="Courier New" w:hAnsi="Courier New"/>
                <w:color w:val="A8D8EA"/>
                <w:sz w:val="17"/>
                <w:szCs w:val="17"/>
              </w:rPr>
              <w:t>SBMJOB CMD(CALL PGM(JDFOBJA73/J98802JQ)) JOBQ(QUSRSYS/QCTL1)</w:t>
            </w:r>
          </w:p>
          <w:p>
            <w:pPr>
              <w:pStyle w:val="Normal"/>
              <w:shd w:val="clear" w:fill="1E1E2E"/>
              <w:spacing w:before="40" w:after="20"/>
              <w:rPr/>
            </w:pPr>
            <w:r>
              <w:rPr>
                <w:rFonts w:eastAsia="Courier New" w:cs="Courier New" w:ascii="Courier New" w:hAnsi="Courier New"/>
                <w:color w:val="A8D8EA"/>
                <w:sz w:val="17"/>
                <w:szCs w:val="17"/>
              </w:rPr>
              <w:t>INLLIBL(QTEMP JDFOBJA73 PRDCOMA73 PRDDATA73 SECUREA73 QGPL) LOG(0 99 *SECLVL)</w:t>
            </w:r>
          </w:p>
          <w:p>
            <w:pPr>
              <w:pStyle w:val="Normal"/>
              <w:shd w:val="clear" w:fill="1E1E2E"/>
              <w:spacing w:before="40" w:after="0"/>
              <w:rPr/>
            </w:pPr>
            <w:r>
              <w:rPr>
                <w:rFonts w:eastAsia="Courier New" w:cs="Courier New" w:ascii="Courier New" w:hAnsi="Courier New"/>
                <w:color w:val="A8D8EA"/>
                <w:sz w:val="17"/>
                <w:szCs w:val="17"/>
              </w:rPr>
              <w:t>WRKOBJ OBJ(QGPL/JDE*) OBJTYPE(*USRIDX)</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bl>
    <w:p>
      <w:pPr>
        <w:pStyle w:val="Normal"/>
        <w:spacing w:before="160" w:after="0"/>
        <w:rPr/>
      </w:pPr>
      <w:r>
        <w:rPr/>
      </w:r>
    </w:p>
    <w:tbl>
      <w:tblPr>
        <w:tblW w:w="9360" w:type="dxa"/>
        <w:jc w:val="left"/>
        <w:tblInd w:w="0" w:type="dxa"/>
        <w:tblLayout w:type="fixed"/>
        <w:tblCellMar>
          <w:top w:w="100" w:type="dxa"/>
          <w:left w:w="160" w:type="dxa"/>
          <w:bottom w:w="100" w:type="dxa"/>
          <w:right w:w="160" w:type="dxa"/>
        </w:tblCellMar>
      </w:tblPr>
      <w:tblGrid>
        <w:gridCol w:w="1560"/>
        <w:gridCol w:w="7799"/>
      </w:tblGrid>
      <w:tr>
        <w:trPr>
          <w:tblHeader w:val="true"/>
          <w:cantSplit w:val="true"/>
        </w:trPr>
        <w:tc>
          <w:tcPr>
            <w:tcW w:w="9359" w:type="dxa"/>
            <w:gridSpan w:val="2"/>
            <w:tcBorders>
              <w:top w:val="single" w:sz="4" w:space="0" w:color="1A3A5C"/>
              <w:left w:val="single" w:sz="4" w:space="0" w:color="1A3A5C"/>
              <w:bottom w:val="single" w:sz="4" w:space="0" w:color="1A3A5C"/>
              <w:right w:val="single" w:sz="4" w:space="0" w:color="1A3A5C"/>
            </w:tcBorders>
            <w:shd w:fill="1F4E79" w:val="clear"/>
          </w:tcPr>
          <w:p>
            <w:pPr>
              <w:pStyle w:val="Normal"/>
              <w:rPr/>
            </w:pPr>
            <w:r>
              <w:rPr>
                <w:rFonts w:eastAsia="Arial" w:cs="Arial"/>
                <w:b/>
                <w:bCs/>
                <w:color w:val="D6E4F0"/>
                <w:sz w:val="19"/>
                <w:szCs w:val="19"/>
              </w:rPr>
              <w:t xml:space="preserve">EVIDENCE CAPTURE  —  </w:t>
            </w:r>
            <w:r>
              <w:rPr>
                <w:rFonts w:eastAsia="Arial" w:cs="Arial"/>
                <w:b/>
                <w:bCs/>
                <w:color w:val="FFFFFF"/>
                <w:sz w:val="19"/>
                <w:szCs w:val="19"/>
              </w:rPr>
              <w:t>11.4 — JDE Key Applied &amp; Indexes Rebuilt</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Completed By</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Date / Time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System Output / Reference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Result</w:t>
            </w:r>
          </w:p>
        </w:tc>
        <w:tc>
          <w:tcPr>
            <w:tcW w:w="7799" w:type="dxa"/>
            <w:tcBorders>
              <w:top w:val="single" w:sz="4" w:space="0" w:color="1F4E79"/>
              <w:left w:val="single" w:sz="4" w:space="0" w:color="1F4E79"/>
              <w:bottom w:val="single" w:sz="4" w:space="0" w:color="1F4E79"/>
              <w:right w:val="single" w:sz="4" w:space="0" w:color="1F4E79"/>
            </w:tcBorders>
            <w:shd w:fill="E2EFDA" w:val="clear"/>
            <w:tcMar>
              <w:top w:w="80" w:type="dxa"/>
              <w:left w:w="140" w:type="dxa"/>
              <w:bottom w:w="80" w:type="dxa"/>
              <w:right w:w="140" w:type="dxa"/>
            </w:tcMar>
          </w:tcPr>
          <w:p>
            <w:pPr>
              <w:pStyle w:val="Normal"/>
              <w:rPr/>
            </w:pPr>
            <w:r>
              <w:rPr>
                <w:rFonts w:eastAsia="Arial" w:cs="Arial"/>
                <w:b/>
                <w:bCs/>
                <w:color w:val="375623"/>
                <w:sz w:val="19"/>
                <w:szCs w:val="19"/>
              </w:rPr>
              <w:t xml:space="preserve">☐  </w:t>
            </w:r>
            <w:r>
              <w:rPr>
                <w:rFonts w:eastAsia="Arial" w:cs="Arial"/>
                <w:b/>
                <w:bCs/>
                <w:color w:val="375623"/>
                <w:sz w:val="19"/>
                <w:szCs w:val="19"/>
              </w:rPr>
              <w:t>VERIFIED</w:t>
            </w:r>
            <w:r>
              <w:rPr>
                <w:rFonts w:eastAsia="Arial" w:cs="Arial"/>
                <w:sz w:val="19"/>
                <w:szCs w:val="19"/>
              </w:rPr>
              <w:t xml:space="preserve">          </w:t>
            </w:r>
            <w:r>
              <w:rPr>
                <w:rFonts w:eastAsia="Arial" w:cs="Arial"/>
                <w:b/>
                <w:bCs/>
                <w:color w:val="C00000"/>
                <w:sz w:val="19"/>
                <w:szCs w:val="19"/>
              </w:rPr>
              <w:t>☐  EXCEPTION</w:t>
            </w:r>
            <w:r>
              <w:rPr>
                <w:rFonts w:eastAsia="Arial" w:cs="Arial"/>
                <w:sz w:val="19"/>
                <w:szCs w:val="19"/>
              </w:rPr>
              <w:t xml:space="preserve">          </w:t>
            </w:r>
            <w:r>
              <w:rPr>
                <w:rFonts w:eastAsia="Arial" w:cs="Arial"/>
                <w:b/>
                <w:bCs/>
                <w:color w:val="666666"/>
                <w:sz w:val="19"/>
                <w:szCs w:val="19"/>
              </w:rPr>
              <w:t>☐  N/A</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Notes / Issues</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bl>
    <w:p>
      <w:pPr>
        <w:pStyle w:val="Normal"/>
        <w:spacing w:before="160" w:after="200"/>
        <w:rPr/>
      </w:pPr>
      <w:r>
        <w:rPr/>
      </w:r>
    </w:p>
    <w:p>
      <w:pPr>
        <w:pStyle w:val="Heading2"/>
        <w:spacing w:before="200" w:after="60"/>
        <w:rPr/>
      </w:pPr>
      <w:bookmarkStart w:id="25" w:name="__RefHeading___Toc4521_3284268967"/>
      <w:bookmarkEnd w:id="25"/>
      <w:r>
        <w:rPr>
          <w:rFonts w:eastAsia="Arial" w:cs="Arial" w:ascii="Arial" w:hAnsi="Arial"/>
          <w:b/>
          <w:bCs/>
          <w:color w:val="2E75B6"/>
          <w:sz w:val="22"/>
          <w:szCs w:val="22"/>
        </w:rPr>
        <w:t xml:space="preserve">11.5  </w:t>
      </w:r>
      <w:r>
        <w:rPr>
          <w:rFonts w:eastAsia="Arial" w:cs="Arial" w:ascii="Arial" w:hAnsi="Arial"/>
          <w:b/>
          <w:bCs/>
          <w:color w:val="1A3A5C"/>
          <w:sz w:val="22"/>
          <w:szCs w:val="22"/>
        </w:rPr>
        <w:t>DXRECOV System Install Key</w:t>
      </w:r>
    </w:p>
    <w:p>
      <w:pPr>
        <w:pStyle w:val="Normal"/>
        <w:pBdr>
          <w:bottom w:val="single" w:sz="8" w:space="1" w:color="2E75B6"/>
        </w:pBdr>
        <w:spacing w:before="0" w:after="60"/>
        <w:rPr/>
      </w:pPr>
      <w:r>
        <w:rPr/>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Signoff the current session and logon as the DXRECOV profile.</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Navigate to the JDE install key menu and apply the System 00 Install Key (take a screenshot before and after applying):</w:t>
            </w:r>
          </w:p>
          <w:p>
            <w:pPr>
              <w:pStyle w:val="Normal"/>
              <w:shd w:val="clear" w:fill="1E1E2E"/>
              <w:spacing w:before="40" w:after="20"/>
              <w:rPr/>
            </w:pPr>
            <w:r>
              <w:rPr>
                <w:rFonts w:eastAsia="Courier New" w:cs="Courier New" w:ascii="Courier New" w:hAnsi="Courier New"/>
                <w:color w:val="A8D8EA"/>
                <w:sz w:val="17"/>
                <w:szCs w:val="17"/>
              </w:rPr>
              <w:t>G90 &gt; Option 5 &gt; F2</w:t>
            </w:r>
          </w:p>
          <w:p>
            <w:pPr>
              <w:pStyle w:val="Normal"/>
              <w:shd w:val="clear" w:fill="1E1E2E"/>
              <w:spacing w:before="40" w:after="20"/>
              <w:rPr/>
            </w:pPr>
            <w:r>
              <w:rPr>
                <w:rFonts w:eastAsia="Courier New" w:cs="Courier New" w:ascii="Courier New" w:hAnsi="Courier New"/>
                <w:color w:val="A8D8EA"/>
                <w:sz w:val="17"/>
                <w:szCs w:val="17"/>
              </w:rPr>
              <w:t>CALL J99LSF#</w:t>
            </w:r>
          </w:p>
          <w:p>
            <w:pPr>
              <w:pStyle w:val="Normal"/>
              <w:shd w:val="clear" w:fill="1E1E2E"/>
              <w:spacing w:before="40" w:after="20"/>
              <w:rPr/>
            </w:pPr>
            <w:r>
              <w:rPr>
                <w:rFonts w:eastAsia="Courier New" w:cs="Courier New" w:ascii="Courier New" w:hAnsi="Courier New"/>
                <w:color w:val="A8D8EA"/>
                <w:sz w:val="17"/>
                <w:szCs w:val="17"/>
              </w:rPr>
              <w:t>I &gt; 00 &gt; Press Enter</w:t>
            </w:r>
          </w:p>
          <w:p>
            <w:pPr>
              <w:pStyle w:val="Normal"/>
              <w:shd w:val="clear" w:fill="1E1E2E"/>
              <w:spacing w:before="40" w:after="20"/>
              <w:rPr/>
            </w:pPr>
            <w:r>
              <w:rPr>
                <w:rFonts w:eastAsia="Courier New" w:cs="Courier New" w:ascii="Courier New" w:hAnsi="Courier New"/>
                <w:color w:val="A8D8EA"/>
                <w:sz w:val="17"/>
                <w:szCs w:val="17"/>
              </w:rPr>
              <w:t>C &gt; 00 &gt; Apply new Install Key Matrix &gt; Press Enter</w:t>
            </w:r>
          </w:p>
          <w:p>
            <w:pPr>
              <w:pStyle w:val="Normal"/>
              <w:shd w:val="clear" w:fill="1E1E2E"/>
              <w:spacing w:before="40" w:after="0"/>
              <w:rPr/>
            </w:pPr>
            <w:r>
              <w:rPr>
                <w:rFonts w:eastAsia="Courier New" w:cs="Courier New" w:ascii="Courier New" w:hAnsi="Courier New"/>
                <w:color w:val="A8D8EA"/>
                <w:sz w:val="17"/>
                <w:szCs w:val="17"/>
              </w:rPr>
              <w:t>Install Key: L123M12345NO27</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3</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Verify via the CSEC menu that the install key is correctly applied:</w:t>
            </w:r>
          </w:p>
          <w:p>
            <w:pPr>
              <w:pStyle w:val="Normal"/>
              <w:shd w:val="clear" w:fill="1E1E2E"/>
              <w:spacing w:before="40" w:after="20"/>
              <w:rPr/>
            </w:pPr>
            <w:r>
              <w:rPr>
                <w:rFonts w:eastAsia="Courier New" w:cs="Courier New" w:ascii="Courier New" w:hAnsi="Courier New"/>
                <w:color w:val="A8D8EA"/>
                <w:sz w:val="17"/>
                <w:szCs w:val="17"/>
              </w:rPr>
              <w:t>CSEC Menu &gt; Option 2</w:t>
            </w:r>
          </w:p>
          <w:p>
            <w:pPr>
              <w:pStyle w:val="Normal"/>
              <w:shd w:val="clear" w:fill="1E1E2E"/>
              <w:spacing w:before="40" w:after="20"/>
              <w:rPr/>
            </w:pPr>
            <w:r>
              <w:rPr>
                <w:rFonts w:eastAsia="Courier New" w:cs="Courier New" w:ascii="Courier New" w:hAnsi="Courier New"/>
                <w:color w:val="A8D8EA"/>
                <w:sz w:val="17"/>
                <w:szCs w:val="17"/>
              </w:rPr>
              <w:t>Alpha Name: A &gt; Press Enter</w:t>
            </w:r>
          </w:p>
          <w:p>
            <w:pPr>
              <w:pStyle w:val="Normal"/>
              <w:shd w:val="clear" w:fill="1E1E2E"/>
              <w:spacing w:before="40" w:after="0"/>
              <w:rPr/>
            </w:pPr>
            <w:r>
              <w:rPr>
                <w:rFonts w:eastAsia="Courier New" w:cs="Courier New" w:ascii="Courier New" w:hAnsi="Courier New"/>
                <w:color w:val="A8D8EA"/>
                <w:sz w:val="17"/>
                <w:szCs w:val="17"/>
              </w:rPr>
              <w:t>Option 2 for Verification &gt; I &gt; Page Down</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4</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Verify the Software Security Code. Take a screenshot for evidence — the first line should change from '3' to blank:</w:t>
            </w:r>
          </w:p>
          <w:p>
            <w:pPr>
              <w:pStyle w:val="Normal"/>
              <w:shd w:val="clear" w:fill="1E1E2E"/>
              <w:spacing w:before="40" w:after="0"/>
              <w:rPr/>
            </w:pPr>
            <w:r>
              <w:rPr>
                <w:rFonts w:eastAsia="Courier New" w:cs="Courier New" w:ascii="Courier New" w:hAnsi="Courier New"/>
                <w:color w:val="A8D8EA"/>
                <w:sz w:val="17"/>
                <w:szCs w:val="17"/>
              </w:rPr>
              <w:t>G94 &gt; 14 &gt; F6</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bl>
    <w:p>
      <w:pPr>
        <w:pStyle w:val="Normal"/>
        <w:spacing w:before="160" w:after="0"/>
        <w:rPr/>
      </w:pPr>
      <w:r>
        <w:rPr/>
      </w:r>
    </w:p>
    <w:tbl>
      <w:tblPr>
        <w:tblW w:w="9360" w:type="dxa"/>
        <w:jc w:val="left"/>
        <w:tblInd w:w="0" w:type="dxa"/>
        <w:tblLayout w:type="fixed"/>
        <w:tblCellMar>
          <w:top w:w="100" w:type="dxa"/>
          <w:left w:w="160" w:type="dxa"/>
          <w:bottom w:w="100" w:type="dxa"/>
          <w:right w:w="160" w:type="dxa"/>
        </w:tblCellMar>
      </w:tblPr>
      <w:tblGrid>
        <w:gridCol w:w="1560"/>
        <w:gridCol w:w="7799"/>
      </w:tblGrid>
      <w:tr>
        <w:trPr>
          <w:tblHeader w:val="true"/>
          <w:cantSplit w:val="true"/>
        </w:trPr>
        <w:tc>
          <w:tcPr>
            <w:tcW w:w="9359" w:type="dxa"/>
            <w:gridSpan w:val="2"/>
            <w:tcBorders>
              <w:top w:val="single" w:sz="4" w:space="0" w:color="1A3A5C"/>
              <w:left w:val="single" w:sz="4" w:space="0" w:color="1A3A5C"/>
              <w:bottom w:val="single" w:sz="4" w:space="0" w:color="1A3A5C"/>
              <w:right w:val="single" w:sz="4" w:space="0" w:color="1A3A5C"/>
            </w:tcBorders>
            <w:shd w:fill="1F4E79" w:val="clear"/>
          </w:tcPr>
          <w:p>
            <w:pPr>
              <w:pStyle w:val="Normal"/>
              <w:rPr/>
            </w:pPr>
            <w:r>
              <w:rPr>
                <w:rFonts w:eastAsia="Arial" w:cs="Arial"/>
                <w:b/>
                <w:bCs/>
                <w:color w:val="D6E4F0"/>
                <w:sz w:val="19"/>
                <w:szCs w:val="19"/>
              </w:rPr>
              <w:t xml:space="preserve">EVIDENCE CAPTURE  —  </w:t>
            </w:r>
            <w:r>
              <w:rPr>
                <w:rFonts w:eastAsia="Arial" w:cs="Arial"/>
                <w:b/>
                <w:bCs/>
                <w:color w:val="FFFFFF"/>
                <w:sz w:val="19"/>
                <w:szCs w:val="19"/>
              </w:rPr>
              <w:t>11.5 — DXRECOV Install Key Applied &amp; Security Code Verified</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Completed By</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Date / Time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System Output / Reference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Result</w:t>
            </w:r>
          </w:p>
        </w:tc>
        <w:tc>
          <w:tcPr>
            <w:tcW w:w="7799" w:type="dxa"/>
            <w:tcBorders>
              <w:top w:val="single" w:sz="4" w:space="0" w:color="1F4E79"/>
              <w:left w:val="single" w:sz="4" w:space="0" w:color="1F4E79"/>
              <w:bottom w:val="single" w:sz="4" w:space="0" w:color="1F4E79"/>
              <w:right w:val="single" w:sz="4" w:space="0" w:color="1F4E79"/>
            </w:tcBorders>
            <w:shd w:fill="E2EFDA" w:val="clear"/>
            <w:tcMar>
              <w:top w:w="80" w:type="dxa"/>
              <w:left w:w="140" w:type="dxa"/>
              <w:bottom w:w="80" w:type="dxa"/>
              <w:right w:w="140" w:type="dxa"/>
            </w:tcMar>
          </w:tcPr>
          <w:p>
            <w:pPr>
              <w:pStyle w:val="Normal"/>
              <w:rPr/>
            </w:pPr>
            <w:r>
              <w:rPr>
                <w:rFonts w:eastAsia="Arial" w:cs="Arial"/>
                <w:b/>
                <w:bCs/>
                <w:color w:val="375623"/>
                <w:sz w:val="19"/>
                <w:szCs w:val="19"/>
              </w:rPr>
              <w:t xml:space="preserve">☐  </w:t>
            </w:r>
            <w:r>
              <w:rPr>
                <w:rFonts w:eastAsia="Arial" w:cs="Arial"/>
                <w:b/>
                <w:bCs/>
                <w:color w:val="375623"/>
                <w:sz w:val="19"/>
                <w:szCs w:val="19"/>
              </w:rPr>
              <w:t>VERIFIED</w:t>
            </w:r>
            <w:r>
              <w:rPr>
                <w:rFonts w:eastAsia="Arial" w:cs="Arial"/>
                <w:sz w:val="19"/>
                <w:szCs w:val="19"/>
              </w:rPr>
              <w:t xml:space="preserve">          </w:t>
            </w:r>
            <w:r>
              <w:rPr>
                <w:rFonts w:eastAsia="Arial" w:cs="Arial"/>
                <w:b/>
                <w:bCs/>
                <w:color w:val="C00000"/>
                <w:sz w:val="19"/>
                <w:szCs w:val="19"/>
              </w:rPr>
              <w:t>☐  EXCEPTION</w:t>
            </w:r>
            <w:r>
              <w:rPr>
                <w:rFonts w:eastAsia="Arial" w:cs="Arial"/>
                <w:sz w:val="19"/>
                <w:szCs w:val="19"/>
              </w:rPr>
              <w:t xml:space="preserve">          </w:t>
            </w:r>
            <w:r>
              <w:rPr>
                <w:rFonts w:eastAsia="Arial" w:cs="Arial"/>
                <w:b/>
                <w:bCs/>
                <w:color w:val="666666"/>
                <w:sz w:val="19"/>
                <w:szCs w:val="19"/>
              </w:rPr>
              <w:t>☐  N/A</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Notes / Issues</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bl>
    <w:p>
      <w:pPr>
        <w:pStyle w:val="Normal"/>
        <w:rPr/>
      </w:pPr>
      <w:r>
        <w:rPr/>
      </w:r>
      <w:r>
        <w:br w:type="page"/>
      </w:r>
    </w:p>
    <w:p>
      <w:pPr>
        <w:pStyle w:val="Heading2"/>
        <w:spacing w:before="0" w:after="60"/>
        <w:rPr/>
      </w:pPr>
      <w:bookmarkStart w:id="26" w:name="__RefHeading___Toc4523_3284268967"/>
      <w:bookmarkEnd w:id="26"/>
      <w:r>
        <w:rPr>
          <w:rFonts w:eastAsia="Arial" w:cs="Arial" w:ascii="Arial" w:hAnsi="Arial"/>
          <w:b/>
          <w:bCs/>
          <w:color w:val="2E75B6"/>
          <w:sz w:val="22"/>
          <w:szCs w:val="22"/>
        </w:rPr>
        <w:t xml:space="preserve">11.6  </w:t>
      </w:r>
      <w:r>
        <w:rPr>
          <w:rFonts w:eastAsia="Arial" w:cs="Arial" w:ascii="Arial" w:hAnsi="Arial"/>
          <w:b/>
          <w:bCs/>
          <w:color w:val="1A3A5C"/>
          <w:sz w:val="22"/>
          <w:szCs w:val="22"/>
        </w:rPr>
        <w:t>Robot Schedule Reset</w:t>
      </w:r>
    </w:p>
    <w:p>
      <w:pPr>
        <w:pStyle w:val="Normal"/>
        <w:pBdr>
          <w:bottom w:val="single" w:sz="8" w:space="1" w:color="2E75B6"/>
        </w:pBdr>
        <w:spacing w:before="0" w:after="60"/>
        <w:rPr/>
      </w:pPr>
      <w:r>
        <w:rPr/>
      </w:r>
    </w:p>
    <w:p>
      <w:pPr>
        <w:pStyle w:val="Normal"/>
        <w:spacing w:before="0" w:after="120"/>
        <w:rPr/>
      </w:pPr>
      <w:r>
        <w:rPr>
          <w:rFonts w:eastAsia="Arial" w:cs="Arial"/>
          <w:i w:val="false"/>
          <w:iCs w:val="false"/>
          <w:color w:val="44546A"/>
          <w:sz w:val="20"/>
          <w:szCs w:val="20"/>
        </w:rPr>
        <w:t>Robot Schedule changes are required due to the different system names recorded in completion history. The system name (DEVA) itself is unchanged, so RSLCHGSYSN is skipped.</w:t>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Bring down the RBTSLEEPER subsystem — must be shut down before resetting the OID:</w:t>
            </w:r>
          </w:p>
          <w:p>
            <w:pPr>
              <w:pStyle w:val="Normal"/>
              <w:shd w:val="clear" w:fill="1E1E2E"/>
              <w:spacing w:before="40" w:after="0"/>
              <w:rPr/>
            </w:pPr>
            <w:r>
              <w:rPr>
                <w:rFonts w:eastAsia="Courier New" w:cs="Courier New" w:ascii="Courier New" w:hAnsi="Courier New"/>
                <w:color w:val="A8D8EA"/>
                <w:sz w:val="17"/>
                <w:szCs w:val="17"/>
              </w:rPr>
              <w:t>RBTSYSLIB/RSLSHUTDWN</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Reset the Robot Schedule OID for the new node (RSLCHGSYSN is skipped — the system name DEVA is the same on both nodes):</w:t>
            </w:r>
          </w:p>
          <w:p>
            <w:pPr>
              <w:pStyle w:val="Normal"/>
              <w:shd w:val="clear" w:fill="1E1E2E"/>
              <w:spacing w:before="40" w:after="0"/>
              <w:rPr/>
            </w:pPr>
            <w:r>
              <w:rPr>
                <w:rFonts w:eastAsia="Courier New" w:cs="Courier New" w:ascii="Courier New" w:hAnsi="Courier New"/>
                <w:color w:val="A8D8EA"/>
                <w:sz w:val="17"/>
                <w:szCs w:val="17"/>
              </w:rPr>
              <w:t>RSLSETOID PRC(RBT)</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3</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Restart the RBTSLEEPER subsystem. The delay setting changes from 3 to blank (no delay in Robot startup minutes):</w:t>
            </w:r>
          </w:p>
          <w:p>
            <w:pPr>
              <w:pStyle w:val="Normal"/>
              <w:shd w:val="clear" w:fill="1E1E2E"/>
              <w:spacing w:before="40" w:after="0"/>
              <w:rPr/>
            </w:pPr>
            <w:r>
              <w:rPr>
                <w:rFonts w:eastAsia="Courier New" w:cs="Courier New" w:ascii="Courier New" w:hAnsi="Courier New"/>
                <w:color w:val="A8D8EA"/>
                <w:sz w:val="17"/>
                <w:szCs w:val="17"/>
              </w:rPr>
              <w:t>STRSBS SBSD(RBTSYSLIB/RBTSLEEPER)</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4</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Verify the FormsPrint license (keys live in ICSPROG/SYSBAS and must be verified manually — can skip if confirmed current):</w:t>
            </w:r>
          </w:p>
          <w:p>
            <w:pPr>
              <w:pStyle w:val="Normal"/>
              <w:shd w:val="clear" w:fill="1E1E2E"/>
              <w:spacing w:before="40" w:after="20"/>
              <w:rPr/>
            </w:pPr>
            <w:r>
              <w:rPr>
                <w:rFonts w:eastAsia="Courier New" w:cs="Courier New" w:ascii="Courier New" w:hAnsi="Courier New"/>
                <w:color w:val="A8D8EA"/>
                <w:sz w:val="17"/>
                <w:szCs w:val="17"/>
              </w:rPr>
              <w:t>F16 &gt; 3 &gt; Verify</w:t>
            </w:r>
          </w:p>
          <w:p>
            <w:pPr>
              <w:pStyle w:val="Normal"/>
              <w:shd w:val="clear" w:fill="1E1E2E"/>
              <w:spacing w:before="40" w:after="20"/>
              <w:rPr/>
            </w:pPr>
            <w:r>
              <w:rPr>
                <w:rFonts w:eastAsia="Courier New" w:cs="Courier New" w:ascii="Courier New" w:hAnsi="Courier New"/>
                <w:color w:val="A8D8EA"/>
                <w:sz w:val="17"/>
                <w:szCs w:val="17"/>
              </w:rPr>
              <w:t>CALL ICSPROG/FMSTCTLA</w:t>
            </w:r>
          </w:p>
          <w:p>
            <w:pPr>
              <w:pStyle w:val="Normal"/>
              <w:shd w:val="clear" w:fill="1E1E2E"/>
              <w:spacing w:before="40" w:after="0"/>
              <w:rPr/>
            </w:pPr>
            <w:r>
              <w:rPr>
                <w:rFonts w:eastAsia="Courier New" w:cs="Courier New" w:ascii="Courier New" w:hAnsi="Courier New"/>
                <w:color w:val="A8D8EA"/>
                <w:sz w:val="17"/>
                <w:szCs w:val="17"/>
              </w:rPr>
              <w:t>CALL ICSPROG/LICENSE</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5</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Verify all expected subsystems are active (see Section 22 for the reference list): WRKACTJOB or WRKSBS.</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6</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Verify all TCP servers and host servers that should be active are active: STRTCPSVR / STRHOSTSVR.</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bl>
    <w:p>
      <w:pPr>
        <w:pStyle w:val="Normal"/>
        <w:spacing w:before="160" w:after="0"/>
        <w:rPr/>
      </w:pPr>
      <w:r>
        <w:rPr/>
      </w:r>
    </w:p>
    <w:tbl>
      <w:tblPr>
        <w:tblW w:w="9360" w:type="dxa"/>
        <w:jc w:val="left"/>
        <w:tblInd w:w="0" w:type="dxa"/>
        <w:tblLayout w:type="fixed"/>
        <w:tblCellMar>
          <w:top w:w="100" w:type="dxa"/>
          <w:left w:w="160" w:type="dxa"/>
          <w:bottom w:w="100" w:type="dxa"/>
          <w:right w:w="160" w:type="dxa"/>
        </w:tblCellMar>
      </w:tblPr>
      <w:tblGrid>
        <w:gridCol w:w="1560"/>
        <w:gridCol w:w="7799"/>
      </w:tblGrid>
      <w:tr>
        <w:trPr>
          <w:tblHeader w:val="true"/>
          <w:cantSplit w:val="true"/>
        </w:trPr>
        <w:tc>
          <w:tcPr>
            <w:tcW w:w="9359" w:type="dxa"/>
            <w:gridSpan w:val="2"/>
            <w:tcBorders>
              <w:top w:val="single" w:sz="4" w:space="0" w:color="1A3A5C"/>
              <w:left w:val="single" w:sz="4" w:space="0" w:color="1A3A5C"/>
              <w:bottom w:val="single" w:sz="4" w:space="0" w:color="1A3A5C"/>
              <w:right w:val="single" w:sz="4" w:space="0" w:color="1A3A5C"/>
            </w:tcBorders>
            <w:shd w:fill="1F4E79" w:val="clear"/>
          </w:tcPr>
          <w:p>
            <w:pPr>
              <w:pStyle w:val="Normal"/>
              <w:rPr/>
            </w:pPr>
            <w:r>
              <w:rPr>
                <w:rFonts w:eastAsia="Arial" w:cs="Arial"/>
                <w:b/>
                <w:bCs/>
                <w:color w:val="D6E4F0"/>
                <w:sz w:val="19"/>
                <w:szCs w:val="19"/>
              </w:rPr>
              <w:t xml:space="preserve">EVIDENCE CAPTURE  —  </w:t>
            </w:r>
            <w:r>
              <w:rPr>
                <w:rFonts w:eastAsia="Arial" w:cs="Arial"/>
                <w:b/>
                <w:bCs/>
                <w:color w:val="FFFFFF"/>
                <w:sz w:val="19"/>
                <w:szCs w:val="19"/>
              </w:rPr>
              <w:t>11.6 — Robot Schedule Reset &amp; Subsystems Verified Active</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Completed By</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Date / Time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System Output / Reference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Result</w:t>
            </w:r>
          </w:p>
        </w:tc>
        <w:tc>
          <w:tcPr>
            <w:tcW w:w="7799" w:type="dxa"/>
            <w:tcBorders>
              <w:top w:val="single" w:sz="4" w:space="0" w:color="1F4E79"/>
              <w:left w:val="single" w:sz="4" w:space="0" w:color="1F4E79"/>
              <w:bottom w:val="single" w:sz="4" w:space="0" w:color="1F4E79"/>
              <w:right w:val="single" w:sz="4" w:space="0" w:color="1F4E79"/>
            </w:tcBorders>
            <w:shd w:fill="E2EFDA" w:val="clear"/>
            <w:tcMar>
              <w:top w:w="80" w:type="dxa"/>
              <w:left w:w="140" w:type="dxa"/>
              <w:bottom w:w="80" w:type="dxa"/>
              <w:right w:w="140" w:type="dxa"/>
            </w:tcMar>
          </w:tcPr>
          <w:p>
            <w:pPr>
              <w:pStyle w:val="Normal"/>
              <w:rPr/>
            </w:pPr>
            <w:r>
              <w:rPr>
                <w:rFonts w:eastAsia="Arial" w:cs="Arial"/>
                <w:b/>
                <w:bCs/>
                <w:color w:val="375623"/>
                <w:sz w:val="19"/>
                <w:szCs w:val="19"/>
              </w:rPr>
              <w:t xml:space="preserve">☐  </w:t>
            </w:r>
            <w:r>
              <w:rPr>
                <w:rFonts w:eastAsia="Arial" w:cs="Arial"/>
                <w:b/>
                <w:bCs/>
                <w:color w:val="375623"/>
                <w:sz w:val="19"/>
                <w:szCs w:val="19"/>
              </w:rPr>
              <w:t>VERIFIED</w:t>
            </w:r>
            <w:r>
              <w:rPr>
                <w:rFonts w:eastAsia="Arial" w:cs="Arial"/>
                <w:sz w:val="19"/>
                <w:szCs w:val="19"/>
              </w:rPr>
              <w:t xml:space="preserve">          </w:t>
            </w:r>
            <w:r>
              <w:rPr>
                <w:rFonts w:eastAsia="Arial" w:cs="Arial"/>
                <w:b/>
                <w:bCs/>
                <w:color w:val="C00000"/>
                <w:sz w:val="19"/>
                <w:szCs w:val="19"/>
              </w:rPr>
              <w:t>☐  EXCEPTION</w:t>
            </w:r>
            <w:r>
              <w:rPr>
                <w:rFonts w:eastAsia="Arial" w:cs="Arial"/>
                <w:sz w:val="19"/>
                <w:szCs w:val="19"/>
              </w:rPr>
              <w:t xml:space="preserve">          </w:t>
            </w:r>
            <w:r>
              <w:rPr>
                <w:rFonts w:eastAsia="Arial" w:cs="Arial"/>
                <w:b/>
                <w:bCs/>
                <w:color w:val="666666"/>
                <w:sz w:val="19"/>
                <w:szCs w:val="19"/>
              </w:rPr>
              <w:t>☐  N/A</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Notes / Issues</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bl>
    <w:p>
      <w:pPr>
        <w:pStyle w:val="Normal"/>
        <w:rPr/>
      </w:pPr>
      <w:r>
        <w:rPr/>
      </w:r>
      <w:r>
        <w:br w:type="page"/>
      </w:r>
    </w:p>
    <w:p>
      <w:pPr>
        <w:pStyle w:val="Heading1"/>
        <w:shd w:val="clear" w:fill="0D2340"/>
        <w:spacing w:before="0" w:after="0"/>
        <w:ind w:left="80"/>
        <w:rPr/>
      </w:pPr>
      <w:bookmarkStart w:id="27" w:name="__RefHeading___Toc4525_3284268967"/>
      <w:bookmarkEnd w:id="27"/>
      <w:r>
        <w:rPr>
          <w:rFonts w:eastAsia="Arial" w:cs="Arial" w:ascii="Arial" w:hAnsi="Arial"/>
          <w:b/>
          <w:bCs/>
          <w:color w:val="2E75B6"/>
          <w:sz w:val="22"/>
          <w:szCs w:val="22"/>
        </w:rPr>
        <w:t>12</w:t>
      </w:r>
      <w:r>
        <w:rPr>
          <w:rFonts w:eastAsia="Arial" w:cs="Arial" w:ascii="Arial" w:hAnsi="Arial"/>
          <w:sz w:val="22"/>
          <w:szCs w:val="22"/>
        </w:rPr>
        <w:t xml:space="preserve">   </w:t>
      </w:r>
      <w:r>
        <w:rPr>
          <w:rFonts w:eastAsia="Arial" w:cs="Arial" w:ascii="Arial" w:hAnsi="Arial"/>
          <w:b/>
          <w:bCs/>
          <w:color w:val="FFFFFF"/>
          <w:sz w:val="26"/>
          <w:szCs w:val="26"/>
        </w:rPr>
        <w:t>TCP HOST TABLE UPDATES</w:t>
      </w:r>
    </w:p>
    <w:p>
      <w:pPr>
        <w:pStyle w:val="Normal"/>
        <w:shd w:val="clear" w:fill="1F4E79"/>
        <w:spacing w:before="0" w:after="160"/>
        <w:ind w:left="80"/>
        <w:rPr/>
      </w:pPr>
      <w:r>
        <w:rPr>
          <w:rFonts w:eastAsia="Arial" w:cs="Arial"/>
          <w:i/>
          <w:iCs/>
          <w:color w:val="EBF3FB"/>
          <w:sz w:val="18"/>
          <w:szCs w:val="18"/>
        </w:rPr>
        <w:t>Phase 8 — All Systems: PA, PE, DEVAC, DEVAT, DSST, DSSC</w:t>
      </w:r>
    </w:p>
    <w:p>
      <w:pPr>
        <w:pStyle w:val="Normal"/>
        <w:spacing w:before="0" w:after="120"/>
        <w:rPr/>
      </w:pPr>
      <w:r>
        <w:rPr>
          <w:rFonts w:eastAsia="Arial" w:cs="Arial"/>
          <w:i w:val="false"/>
          <w:iCs w:val="false"/>
          <w:color w:val="44546A"/>
          <w:sz w:val="20"/>
          <w:szCs w:val="20"/>
        </w:rPr>
        <w:t>Each system below requires its TCP host table entries removed and re-added so that DEVA resolves to the new Equinix address. Use F15 to Position To in the host table on each system before making changes.</w:t>
      </w:r>
    </w:p>
    <w:p>
      <w:pPr>
        <w:pStyle w:val="Heading2"/>
        <w:spacing w:before="200" w:after="60"/>
        <w:rPr/>
      </w:pPr>
      <w:bookmarkStart w:id="28" w:name="__RefHeading___Toc4527_3284268967"/>
      <w:bookmarkEnd w:id="28"/>
      <w:r>
        <w:rPr>
          <w:rFonts w:eastAsia="Arial" w:cs="Arial" w:ascii="Arial" w:hAnsi="Arial"/>
          <w:b/>
          <w:bCs/>
          <w:color w:val="2E75B6"/>
          <w:sz w:val="22"/>
          <w:szCs w:val="22"/>
        </w:rPr>
        <w:t xml:space="preserve">12.1  </w:t>
      </w:r>
      <w:r>
        <w:rPr>
          <w:rFonts w:eastAsia="Arial" w:cs="Arial" w:ascii="Arial" w:hAnsi="Arial"/>
          <w:b/>
          <w:bCs/>
          <w:color w:val="1A3A5C"/>
          <w:sz w:val="22"/>
          <w:szCs w:val="22"/>
        </w:rPr>
        <w:t>PRODA (PA) Host Table</w:t>
      </w:r>
    </w:p>
    <w:p>
      <w:pPr>
        <w:pStyle w:val="Normal"/>
        <w:pBdr>
          <w:bottom w:val="single" w:sz="8" w:space="1" w:color="2E75B6"/>
        </w:pBdr>
        <w:spacing w:before="0" w:after="60"/>
        <w:rPr/>
      </w:pPr>
      <w:r>
        <w:rPr/>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Remove old entries:</w:t>
            </w:r>
          </w:p>
          <w:p>
            <w:pPr>
              <w:pStyle w:val="Normal"/>
              <w:shd w:val="clear" w:fill="1E1E2E"/>
              <w:spacing w:before="40" w:after="20"/>
              <w:rPr/>
            </w:pPr>
            <w:r>
              <w:rPr>
                <w:rFonts w:eastAsia="Courier New" w:cs="Courier New" w:ascii="Courier New" w:hAnsi="Courier New"/>
                <w:color w:val="A8D8EA"/>
                <w:sz w:val="17"/>
                <w:szCs w:val="17"/>
              </w:rPr>
              <w:t>RMVTCPHTE INTNETADR('10.7.1.161')</w:t>
            </w:r>
          </w:p>
          <w:p>
            <w:pPr>
              <w:pStyle w:val="Normal"/>
              <w:shd w:val="clear" w:fill="1E1E2E"/>
              <w:spacing w:before="40" w:after="0"/>
              <w:rPr/>
            </w:pPr>
            <w:r>
              <w:rPr>
                <w:rFonts w:eastAsia="Courier New" w:cs="Courier New" w:ascii="Courier New" w:hAnsi="Courier New"/>
                <w:color w:val="A8D8EA"/>
                <w:sz w:val="17"/>
                <w:szCs w:val="17"/>
              </w:rPr>
              <w:t>RMVTCPHTE INTNETADR('10.7.1.231')</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Add the new DEVAC entry with the full PRODA hostname list:</w:t>
            </w:r>
          </w:p>
          <w:p>
            <w:pPr>
              <w:pStyle w:val="Normal"/>
              <w:shd w:val="clear" w:fill="1E1E2E"/>
              <w:spacing w:before="40" w:after="20"/>
              <w:rPr/>
            </w:pPr>
            <w:r>
              <w:rPr>
                <w:rFonts w:eastAsia="Courier New" w:cs="Courier New" w:ascii="Courier New" w:hAnsi="Courier New"/>
                <w:color w:val="A8D8EA"/>
                <w:sz w:val="17"/>
                <w:szCs w:val="17"/>
              </w:rPr>
              <w:t>ADDTCPHTE INTNETADR('10.7.1.161')</w:t>
            </w:r>
          </w:p>
          <w:p>
            <w:pPr>
              <w:pStyle w:val="Normal"/>
              <w:shd w:val="clear" w:fill="1E1E2E"/>
              <w:spacing w:before="40" w:after="0"/>
              <w:rPr/>
            </w:pPr>
            <w:r>
              <w:rPr>
                <w:rFonts w:eastAsia="Courier New" w:cs="Courier New" w:ascii="Courier New" w:hAnsi="Courier New"/>
                <w:color w:val="A8D8EA"/>
                <w:sz w:val="17"/>
                <w:szCs w:val="17"/>
              </w:rPr>
              <w:t>HOSTNAME((DEVA)(DEVA.APPN.SNA.IBM.COM)(WWDEVA.APPN.SNA.IBM.COM)(MXLDEVA)(VDEVA)(XMXLDEVA))</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3</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Add the BRMS hostname entry:</w:t>
            </w:r>
          </w:p>
          <w:p>
            <w:pPr>
              <w:pStyle w:val="Normal"/>
              <w:shd w:val="clear" w:fill="1E1E2E"/>
              <w:spacing w:before="40" w:after="0"/>
              <w:rPr/>
            </w:pPr>
            <w:r>
              <w:rPr>
                <w:rFonts w:eastAsia="Courier New" w:cs="Courier New" w:ascii="Courier New" w:hAnsi="Courier New"/>
                <w:color w:val="A8D8EA"/>
                <w:sz w:val="17"/>
                <w:szCs w:val="17"/>
              </w:rPr>
              <w:t>ADDTCPHTE INTNETADR('10.7.1.231') HOSTNAME(BRMSDEVA)</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bl>
    <w:p>
      <w:pPr>
        <w:pStyle w:val="Normal"/>
        <w:spacing w:before="160" w:after="200"/>
        <w:rPr/>
      </w:pPr>
      <w:r>
        <w:rPr/>
      </w:r>
    </w:p>
    <w:p>
      <w:pPr>
        <w:pStyle w:val="Heading2"/>
        <w:spacing w:before="200" w:after="60"/>
        <w:rPr/>
      </w:pPr>
      <w:bookmarkStart w:id="29" w:name="__RefHeading___Toc4529_3284268967"/>
      <w:bookmarkEnd w:id="29"/>
      <w:r>
        <w:rPr>
          <w:rFonts w:eastAsia="Arial" w:cs="Arial" w:ascii="Arial" w:hAnsi="Arial"/>
          <w:b/>
          <w:bCs/>
          <w:color w:val="2E75B6"/>
          <w:sz w:val="22"/>
          <w:szCs w:val="22"/>
        </w:rPr>
        <w:t xml:space="preserve">12.2  </w:t>
      </w:r>
      <w:r>
        <w:rPr>
          <w:rFonts w:eastAsia="Arial" w:cs="Arial" w:ascii="Arial" w:hAnsi="Arial"/>
          <w:b/>
          <w:bCs/>
          <w:color w:val="1A3A5C"/>
          <w:sz w:val="22"/>
          <w:szCs w:val="22"/>
        </w:rPr>
        <w:t>PRODE (PE) Host Table</w:t>
      </w:r>
    </w:p>
    <w:p>
      <w:pPr>
        <w:pStyle w:val="Normal"/>
        <w:pBdr>
          <w:bottom w:val="single" w:sz="8" w:space="1" w:color="2E75B6"/>
        </w:pBdr>
        <w:spacing w:before="0" w:after="60"/>
        <w:rPr/>
      </w:pPr>
      <w:r>
        <w:rPr/>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Remove old entries:</w:t>
            </w:r>
          </w:p>
          <w:p>
            <w:pPr>
              <w:pStyle w:val="Normal"/>
              <w:shd w:val="clear" w:fill="1E1E2E"/>
              <w:spacing w:before="40" w:after="20"/>
              <w:rPr/>
            </w:pPr>
            <w:r>
              <w:rPr>
                <w:rFonts w:eastAsia="Courier New" w:cs="Courier New" w:ascii="Courier New" w:hAnsi="Courier New"/>
                <w:color w:val="A8D8EA"/>
                <w:sz w:val="17"/>
                <w:szCs w:val="17"/>
              </w:rPr>
              <w:t>RMVTCPHTE INTNETADR('10.7.1.161')</w:t>
            </w:r>
          </w:p>
          <w:p>
            <w:pPr>
              <w:pStyle w:val="Normal"/>
              <w:shd w:val="clear" w:fill="1E1E2E"/>
              <w:spacing w:before="40" w:after="0"/>
              <w:rPr/>
            </w:pPr>
            <w:r>
              <w:rPr>
                <w:rFonts w:eastAsia="Courier New" w:cs="Courier New" w:ascii="Courier New" w:hAnsi="Courier New"/>
                <w:color w:val="A8D8EA"/>
                <w:sz w:val="17"/>
                <w:szCs w:val="17"/>
              </w:rPr>
              <w:t>RMVTCPHTE INTNETADR('10.7.1.231')</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Add the new DEVAC entry with the full PRODE hostname list:</w:t>
            </w:r>
          </w:p>
          <w:p>
            <w:pPr>
              <w:pStyle w:val="Normal"/>
              <w:shd w:val="clear" w:fill="1E1E2E"/>
              <w:spacing w:before="40" w:after="20"/>
              <w:rPr/>
            </w:pPr>
            <w:r>
              <w:rPr>
                <w:rFonts w:eastAsia="Courier New" w:cs="Courier New" w:ascii="Courier New" w:hAnsi="Courier New"/>
                <w:color w:val="A8D8EA"/>
                <w:sz w:val="17"/>
                <w:szCs w:val="17"/>
              </w:rPr>
              <w:t>ADDTCPHTE INTNETADR('10.7.1.161')</w:t>
            </w:r>
          </w:p>
          <w:p>
            <w:pPr>
              <w:pStyle w:val="Normal"/>
              <w:shd w:val="clear" w:fill="1E1E2E"/>
              <w:spacing w:before="40" w:after="0"/>
              <w:rPr/>
            </w:pPr>
            <w:r>
              <w:rPr>
                <w:rFonts w:eastAsia="Courier New" w:cs="Courier New" w:ascii="Courier New" w:hAnsi="Courier New"/>
                <w:color w:val="A8D8EA"/>
                <w:sz w:val="17"/>
                <w:szCs w:val="17"/>
              </w:rPr>
              <w:t>HOSTNAME((DEVA)(DEVA.APPN.SNA.IBM.COM)(WWDEVA.APPN.SNA.IBM.COM)(MXLDEVA)(VDEVA)(XMXLDEVA))</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3</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Add the BRMS hostname entry:</w:t>
            </w:r>
          </w:p>
          <w:p>
            <w:pPr>
              <w:pStyle w:val="Normal"/>
              <w:shd w:val="clear" w:fill="1E1E2E"/>
              <w:spacing w:before="40" w:after="0"/>
              <w:rPr/>
            </w:pPr>
            <w:r>
              <w:rPr>
                <w:rFonts w:eastAsia="Courier New" w:cs="Courier New" w:ascii="Courier New" w:hAnsi="Courier New"/>
                <w:color w:val="A8D8EA"/>
                <w:sz w:val="17"/>
                <w:szCs w:val="17"/>
              </w:rPr>
              <w:t>ADDTCPHTE INTNETADR('10.7.1.231') HOSTNAME(BRMSDEVA)</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bl>
    <w:p>
      <w:pPr>
        <w:pStyle w:val="Normal"/>
        <w:rPr/>
      </w:pPr>
      <w:r>
        <w:rPr/>
      </w:r>
      <w:r>
        <w:br w:type="page"/>
      </w:r>
    </w:p>
    <w:p>
      <w:pPr>
        <w:pStyle w:val="Heading2"/>
        <w:spacing w:before="0" w:after="60"/>
        <w:rPr/>
      </w:pPr>
      <w:bookmarkStart w:id="30" w:name="__RefHeading___Toc4531_3284268967"/>
      <w:bookmarkEnd w:id="30"/>
      <w:r>
        <w:rPr>
          <w:rFonts w:eastAsia="Arial" w:cs="Arial" w:ascii="Arial" w:hAnsi="Arial"/>
          <w:b/>
          <w:bCs/>
          <w:color w:val="2E75B6"/>
          <w:sz w:val="22"/>
          <w:szCs w:val="22"/>
        </w:rPr>
        <w:t xml:space="preserve">12.3  </w:t>
      </w:r>
      <w:r>
        <w:rPr>
          <w:rFonts w:eastAsia="Arial" w:cs="Arial" w:ascii="Arial" w:hAnsi="Arial"/>
          <w:b/>
          <w:bCs/>
          <w:color w:val="1A3A5C"/>
          <w:sz w:val="22"/>
          <w:szCs w:val="22"/>
        </w:rPr>
        <w:t>DEVAC/Equinix Host Table</w:t>
      </w:r>
    </w:p>
    <w:p>
      <w:pPr>
        <w:pStyle w:val="Normal"/>
        <w:pBdr>
          <w:bottom w:val="single" w:sz="8" w:space="1" w:color="2E75B6"/>
        </w:pBdr>
        <w:spacing w:before="0" w:after="60"/>
        <w:rPr/>
      </w:pPr>
      <w:r>
        <w:rPr/>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Remove old entries:</w:t>
            </w:r>
          </w:p>
          <w:p>
            <w:pPr>
              <w:pStyle w:val="Normal"/>
              <w:shd w:val="clear" w:fill="1E1E2E"/>
              <w:spacing w:before="40" w:after="20"/>
              <w:rPr/>
            </w:pPr>
            <w:r>
              <w:rPr>
                <w:rFonts w:eastAsia="Courier New" w:cs="Courier New" w:ascii="Courier New" w:hAnsi="Courier New"/>
                <w:color w:val="A8D8EA"/>
                <w:sz w:val="17"/>
                <w:szCs w:val="17"/>
              </w:rPr>
              <w:t>RMVTCPHTE INTNETADR('10.7.1.161')</w:t>
            </w:r>
          </w:p>
          <w:p>
            <w:pPr>
              <w:pStyle w:val="Normal"/>
              <w:shd w:val="clear" w:fill="1E1E2E"/>
              <w:spacing w:before="40" w:after="0"/>
              <w:rPr/>
            </w:pPr>
            <w:r>
              <w:rPr>
                <w:rFonts w:eastAsia="Courier New" w:cs="Courier New" w:ascii="Courier New" w:hAnsi="Courier New"/>
                <w:color w:val="A8D8EA"/>
                <w:sz w:val="17"/>
                <w:szCs w:val="17"/>
              </w:rPr>
              <w:t>RMVTCPHTE INTNETADR('10.7.1.231')</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Add the new DEVAC entry:</w:t>
            </w:r>
          </w:p>
          <w:p>
            <w:pPr>
              <w:pStyle w:val="Normal"/>
              <w:shd w:val="clear" w:fill="1E1E2E"/>
              <w:spacing w:before="40" w:after="20"/>
              <w:rPr/>
            </w:pPr>
            <w:r>
              <w:rPr>
                <w:rFonts w:eastAsia="Courier New" w:cs="Courier New" w:ascii="Courier New" w:hAnsi="Courier New"/>
                <w:color w:val="A8D8EA"/>
                <w:sz w:val="17"/>
                <w:szCs w:val="17"/>
              </w:rPr>
              <w:t>ADDTCPHTE INTNETADR('10.7.1.161')</w:t>
            </w:r>
          </w:p>
          <w:p>
            <w:pPr>
              <w:pStyle w:val="Normal"/>
              <w:shd w:val="clear" w:fill="1E1E2E"/>
              <w:spacing w:before="40" w:after="0"/>
              <w:rPr/>
            </w:pPr>
            <w:r>
              <w:rPr>
                <w:rFonts w:eastAsia="Courier New" w:cs="Courier New" w:ascii="Courier New" w:hAnsi="Courier New"/>
                <w:color w:val="A8D8EA"/>
                <w:sz w:val="17"/>
                <w:szCs w:val="17"/>
              </w:rPr>
              <w:t>HOSTNAME((DEVA)(DEVA.APPN.SNA.IBM.COM)(MXLDEVA))</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3</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Add the BRMS hostname entry:</w:t>
            </w:r>
          </w:p>
          <w:p>
            <w:pPr>
              <w:pStyle w:val="Normal"/>
              <w:shd w:val="clear" w:fill="1E1E2E"/>
              <w:spacing w:before="40" w:after="0"/>
              <w:rPr/>
            </w:pPr>
            <w:r>
              <w:rPr>
                <w:rFonts w:eastAsia="Courier New" w:cs="Courier New" w:ascii="Courier New" w:hAnsi="Courier New"/>
                <w:color w:val="A8D8EA"/>
                <w:sz w:val="17"/>
                <w:szCs w:val="17"/>
              </w:rPr>
              <w:t>ADDTCPHTE INTNETADR('10.7.1.231') HOSTNAME(BRMSDEVA)</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bl>
    <w:p>
      <w:pPr>
        <w:pStyle w:val="Normal"/>
        <w:spacing w:before="160" w:after="200"/>
        <w:rPr/>
      </w:pPr>
      <w:r>
        <w:rPr/>
      </w:r>
    </w:p>
    <w:p>
      <w:pPr>
        <w:pStyle w:val="Heading2"/>
        <w:spacing w:before="200" w:after="60"/>
        <w:rPr/>
      </w:pPr>
      <w:bookmarkStart w:id="31" w:name="__RefHeading___Toc4533_3284268967"/>
      <w:bookmarkEnd w:id="31"/>
      <w:r>
        <w:rPr>
          <w:rFonts w:eastAsia="Arial" w:cs="Arial" w:ascii="Arial" w:hAnsi="Arial"/>
          <w:b/>
          <w:bCs/>
          <w:color w:val="2E75B6"/>
          <w:sz w:val="22"/>
          <w:szCs w:val="22"/>
        </w:rPr>
        <w:t xml:space="preserve">12.4  </w:t>
      </w:r>
      <w:r>
        <w:rPr>
          <w:rFonts w:eastAsia="Arial" w:cs="Arial" w:ascii="Arial" w:hAnsi="Arial"/>
          <w:b/>
          <w:bCs/>
          <w:color w:val="1A3A5C"/>
          <w:sz w:val="22"/>
          <w:szCs w:val="22"/>
        </w:rPr>
        <w:t>DEVAT/Temple Host Table</w:t>
      </w:r>
    </w:p>
    <w:p>
      <w:pPr>
        <w:pStyle w:val="Normal"/>
        <w:pBdr>
          <w:bottom w:val="single" w:sz="8" w:space="1" w:color="2E75B6"/>
        </w:pBdr>
        <w:spacing w:before="0" w:after="60"/>
        <w:rPr/>
      </w:pPr>
      <w:r>
        <w:rPr/>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Remove old entries:</w:t>
            </w:r>
          </w:p>
          <w:p>
            <w:pPr>
              <w:pStyle w:val="Normal"/>
              <w:shd w:val="clear" w:fill="1E1E2E"/>
              <w:spacing w:before="40" w:after="20"/>
              <w:rPr/>
            </w:pPr>
            <w:r>
              <w:rPr>
                <w:rFonts w:eastAsia="Courier New" w:cs="Courier New" w:ascii="Courier New" w:hAnsi="Courier New"/>
                <w:color w:val="A8D8EA"/>
                <w:sz w:val="17"/>
                <w:szCs w:val="17"/>
              </w:rPr>
              <w:t>RMVTCPHTE INTNETADR('10.7.1.161')</w:t>
            </w:r>
          </w:p>
          <w:p>
            <w:pPr>
              <w:pStyle w:val="Normal"/>
              <w:shd w:val="clear" w:fill="1E1E2E"/>
              <w:spacing w:before="40" w:after="0"/>
              <w:rPr/>
            </w:pPr>
            <w:r>
              <w:rPr>
                <w:rFonts w:eastAsia="Courier New" w:cs="Courier New" w:ascii="Courier New" w:hAnsi="Courier New"/>
                <w:color w:val="A8D8EA"/>
                <w:sz w:val="17"/>
                <w:szCs w:val="17"/>
              </w:rPr>
              <w:t>RMVTCPHTE INTNETADR('10.7.1.231')</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Add the new DEVAC entry:</w:t>
            </w:r>
          </w:p>
          <w:p>
            <w:pPr>
              <w:pStyle w:val="Normal"/>
              <w:shd w:val="clear" w:fill="1E1E2E"/>
              <w:spacing w:before="40" w:after="20"/>
              <w:rPr/>
            </w:pPr>
            <w:r>
              <w:rPr>
                <w:rFonts w:eastAsia="Courier New" w:cs="Courier New" w:ascii="Courier New" w:hAnsi="Courier New"/>
                <w:color w:val="A8D8EA"/>
                <w:sz w:val="17"/>
                <w:szCs w:val="17"/>
              </w:rPr>
              <w:t>ADDTCPHTE INTNETADR('10.7.1.161')</w:t>
            </w:r>
          </w:p>
          <w:p>
            <w:pPr>
              <w:pStyle w:val="Normal"/>
              <w:shd w:val="clear" w:fill="1E1E2E"/>
              <w:spacing w:before="40" w:after="0"/>
              <w:rPr/>
            </w:pPr>
            <w:r>
              <w:rPr>
                <w:rFonts w:eastAsia="Courier New" w:cs="Courier New" w:ascii="Courier New" w:hAnsi="Courier New"/>
                <w:color w:val="A8D8EA"/>
                <w:sz w:val="17"/>
                <w:szCs w:val="17"/>
              </w:rPr>
              <w:t>HOSTNAME((DEVA)(DEVA.APPN.SNA.IBM.COM)(MXLDEVA))</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3</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Add the BRMS hostname entry:</w:t>
            </w:r>
          </w:p>
          <w:p>
            <w:pPr>
              <w:pStyle w:val="Normal"/>
              <w:shd w:val="clear" w:fill="1E1E2E"/>
              <w:spacing w:before="40" w:after="0"/>
              <w:rPr/>
            </w:pPr>
            <w:r>
              <w:rPr>
                <w:rFonts w:eastAsia="Courier New" w:cs="Courier New" w:ascii="Courier New" w:hAnsi="Courier New"/>
                <w:color w:val="A8D8EA"/>
                <w:sz w:val="17"/>
                <w:szCs w:val="17"/>
              </w:rPr>
              <w:t>ADDTCPHTE INTNETADR('10.7.1.231') HOSTNAME(BRMSDEVA)</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bl>
    <w:p>
      <w:pPr>
        <w:pStyle w:val="Normal"/>
        <w:rPr/>
      </w:pPr>
      <w:r>
        <w:rPr/>
      </w:r>
      <w:r>
        <w:br w:type="page"/>
      </w:r>
    </w:p>
    <w:p>
      <w:pPr>
        <w:pStyle w:val="Heading2"/>
        <w:spacing w:before="0" w:after="60"/>
        <w:rPr/>
      </w:pPr>
      <w:bookmarkStart w:id="32" w:name="__RefHeading___Toc4535_3284268967"/>
      <w:bookmarkEnd w:id="32"/>
      <w:r>
        <w:rPr>
          <w:rFonts w:eastAsia="Arial" w:cs="Arial" w:ascii="Arial" w:hAnsi="Arial"/>
          <w:b/>
          <w:bCs/>
          <w:color w:val="2E75B6"/>
          <w:sz w:val="22"/>
          <w:szCs w:val="22"/>
        </w:rPr>
        <w:t xml:space="preserve">12.5  </w:t>
      </w:r>
      <w:r>
        <w:rPr>
          <w:rFonts w:eastAsia="Arial" w:cs="Arial" w:ascii="Arial" w:hAnsi="Arial"/>
          <w:b/>
          <w:bCs/>
          <w:color w:val="1A3A5C"/>
          <w:sz w:val="22"/>
          <w:szCs w:val="22"/>
        </w:rPr>
        <w:t>PRODDSS (DSST) Host Table</w:t>
      </w:r>
    </w:p>
    <w:p>
      <w:pPr>
        <w:pStyle w:val="Normal"/>
        <w:pBdr>
          <w:bottom w:val="single" w:sz="8" w:space="1" w:color="2E75B6"/>
        </w:pBdr>
        <w:spacing w:before="0" w:after="60"/>
        <w:rPr/>
      </w:pPr>
      <w:r>
        <w:rPr/>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Remove old entries:</w:t>
            </w:r>
          </w:p>
          <w:p>
            <w:pPr>
              <w:pStyle w:val="Normal"/>
              <w:shd w:val="clear" w:fill="1E1E2E"/>
              <w:spacing w:before="40" w:after="20"/>
              <w:rPr/>
            </w:pPr>
            <w:r>
              <w:rPr>
                <w:rFonts w:eastAsia="Courier New" w:cs="Courier New" w:ascii="Courier New" w:hAnsi="Courier New"/>
                <w:color w:val="A8D8EA"/>
                <w:sz w:val="17"/>
                <w:szCs w:val="17"/>
              </w:rPr>
              <w:t>RMVTCPHTE INTNETADR('10.7.1.161')</w:t>
            </w:r>
          </w:p>
          <w:p>
            <w:pPr>
              <w:pStyle w:val="Normal"/>
              <w:shd w:val="clear" w:fill="1E1E2E"/>
              <w:spacing w:before="40" w:after="0"/>
              <w:rPr/>
            </w:pPr>
            <w:r>
              <w:rPr>
                <w:rFonts w:eastAsia="Courier New" w:cs="Courier New" w:ascii="Courier New" w:hAnsi="Courier New"/>
                <w:color w:val="A8D8EA"/>
                <w:sz w:val="17"/>
                <w:szCs w:val="17"/>
              </w:rPr>
              <w:t>RMVTCPHTE INTNETADR('10.7.1.231')</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Add the new DEVAC entry, including the DEVAL hostname used for DSS systems:</w:t>
            </w:r>
          </w:p>
          <w:p>
            <w:pPr>
              <w:pStyle w:val="Normal"/>
              <w:shd w:val="clear" w:fill="1E1E2E"/>
              <w:spacing w:before="40" w:after="20"/>
              <w:rPr/>
            </w:pPr>
            <w:r>
              <w:rPr>
                <w:rFonts w:eastAsia="Courier New" w:cs="Courier New" w:ascii="Courier New" w:hAnsi="Courier New"/>
                <w:color w:val="A8D8EA"/>
                <w:sz w:val="17"/>
                <w:szCs w:val="17"/>
              </w:rPr>
              <w:t>ADDTCPHTE INTNETADR('10.7.1.161')</w:t>
            </w:r>
          </w:p>
          <w:p>
            <w:pPr>
              <w:pStyle w:val="Normal"/>
              <w:shd w:val="clear" w:fill="1E1E2E"/>
              <w:spacing w:before="40" w:after="0"/>
              <w:rPr/>
            </w:pPr>
            <w:r>
              <w:rPr>
                <w:rFonts w:eastAsia="Courier New" w:cs="Courier New" w:ascii="Courier New" w:hAnsi="Courier New"/>
                <w:color w:val="A8D8EA"/>
                <w:sz w:val="17"/>
                <w:szCs w:val="17"/>
              </w:rPr>
              <w:t>HOSTNAME((DEVA)(DEVA.APPN.SNA.IBM.COM)(WWDEVA.APPN.SNA.IBM.COM)(DEVAL))</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3</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Add the BRMS hostname entry:</w:t>
            </w:r>
          </w:p>
          <w:p>
            <w:pPr>
              <w:pStyle w:val="Normal"/>
              <w:shd w:val="clear" w:fill="1E1E2E"/>
              <w:spacing w:before="40" w:after="0"/>
              <w:rPr/>
            </w:pPr>
            <w:r>
              <w:rPr>
                <w:rFonts w:eastAsia="Courier New" w:cs="Courier New" w:ascii="Courier New" w:hAnsi="Courier New"/>
                <w:color w:val="A8D8EA"/>
                <w:sz w:val="17"/>
                <w:szCs w:val="17"/>
              </w:rPr>
              <w:t>ADDTCPHTE INTNETADR('10.7.1.231') HOSTNAME(BRMSDEVA)</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bl>
    <w:p>
      <w:pPr>
        <w:pStyle w:val="Normal"/>
        <w:spacing w:before="160" w:after="200"/>
        <w:rPr/>
      </w:pPr>
      <w:r>
        <w:rPr/>
      </w:r>
    </w:p>
    <w:p>
      <w:pPr>
        <w:pStyle w:val="Heading2"/>
        <w:spacing w:before="200" w:after="60"/>
        <w:rPr/>
      </w:pPr>
      <w:bookmarkStart w:id="33" w:name="__RefHeading___Toc4537_3284268967"/>
      <w:bookmarkEnd w:id="33"/>
      <w:r>
        <w:rPr>
          <w:rFonts w:eastAsia="Arial" w:cs="Arial" w:ascii="Arial" w:hAnsi="Arial"/>
          <w:b/>
          <w:bCs/>
          <w:color w:val="2E75B6"/>
          <w:sz w:val="22"/>
          <w:szCs w:val="22"/>
        </w:rPr>
        <w:t xml:space="preserve">12.6  </w:t>
      </w:r>
      <w:r>
        <w:rPr>
          <w:rFonts w:eastAsia="Arial" w:cs="Arial" w:ascii="Arial" w:hAnsi="Arial"/>
          <w:b/>
          <w:bCs/>
          <w:color w:val="1A3A5C"/>
          <w:sz w:val="22"/>
          <w:szCs w:val="22"/>
        </w:rPr>
        <w:t>PRODDSSC (DSSC) Host Table</w:t>
      </w:r>
    </w:p>
    <w:p>
      <w:pPr>
        <w:pStyle w:val="Normal"/>
        <w:pBdr>
          <w:bottom w:val="single" w:sz="8" w:space="1" w:color="2E75B6"/>
        </w:pBdr>
        <w:spacing w:before="0" w:after="60"/>
        <w:rPr/>
      </w:pPr>
      <w:r>
        <w:rPr/>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Remove old entries:</w:t>
            </w:r>
          </w:p>
          <w:p>
            <w:pPr>
              <w:pStyle w:val="Normal"/>
              <w:shd w:val="clear" w:fill="1E1E2E"/>
              <w:spacing w:before="40" w:after="20"/>
              <w:rPr/>
            </w:pPr>
            <w:r>
              <w:rPr>
                <w:rFonts w:eastAsia="Courier New" w:cs="Courier New" w:ascii="Courier New" w:hAnsi="Courier New"/>
                <w:color w:val="A8D8EA"/>
                <w:sz w:val="17"/>
                <w:szCs w:val="17"/>
              </w:rPr>
              <w:t>RMVTCPHTE INTNETADR('10.7.1.161')</w:t>
            </w:r>
          </w:p>
          <w:p>
            <w:pPr>
              <w:pStyle w:val="Normal"/>
              <w:shd w:val="clear" w:fill="1E1E2E"/>
              <w:spacing w:before="40" w:after="0"/>
              <w:rPr/>
            </w:pPr>
            <w:r>
              <w:rPr>
                <w:rFonts w:eastAsia="Courier New" w:cs="Courier New" w:ascii="Courier New" w:hAnsi="Courier New"/>
                <w:color w:val="A8D8EA"/>
                <w:sz w:val="17"/>
                <w:szCs w:val="17"/>
              </w:rPr>
              <w:t>RMVTCPHTE INTNETADR('10.7.1.231')</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Add the new DEVAC entry, including the DEVAL hostname used for DSS systems:</w:t>
            </w:r>
          </w:p>
          <w:p>
            <w:pPr>
              <w:pStyle w:val="Normal"/>
              <w:shd w:val="clear" w:fill="1E1E2E"/>
              <w:spacing w:before="40" w:after="20"/>
              <w:rPr/>
            </w:pPr>
            <w:r>
              <w:rPr>
                <w:rFonts w:eastAsia="Courier New" w:cs="Courier New" w:ascii="Courier New" w:hAnsi="Courier New"/>
                <w:color w:val="A8D8EA"/>
                <w:sz w:val="17"/>
                <w:szCs w:val="17"/>
              </w:rPr>
              <w:t>ADDTCPHTE INTNETADR('10.7.1.161')</w:t>
            </w:r>
          </w:p>
          <w:p>
            <w:pPr>
              <w:pStyle w:val="Normal"/>
              <w:shd w:val="clear" w:fill="1E1E2E"/>
              <w:spacing w:before="40" w:after="0"/>
              <w:rPr/>
            </w:pPr>
            <w:r>
              <w:rPr>
                <w:rFonts w:eastAsia="Courier New" w:cs="Courier New" w:ascii="Courier New" w:hAnsi="Courier New"/>
                <w:color w:val="A8D8EA"/>
                <w:sz w:val="17"/>
                <w:szCs w:val="17"/>
              </w:rPr>
              <w:t>HOSTNAME((DEVA)(DEVA.APPN.SNA.IBM.COM)(WWDEVA.APPN.SNA.IBM.COM)(DEVAL))</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3</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Add the BRMS hostname entry:</w:t>
            </w:r>
          </w:p>
          <w:p>
            <w:pPr>
              <w:pStyle w:val="Normal"/>
              <w:shd w:val="clear" w:fill="1E1E2E"/>
              <w:spacing w:before="40" w:after="0"/>
              <w:rPr/>
            </w:pPr>
            <w:r>
              <w:rPr>
                <w:rFonts w:eastAsia="Courier New" w:cs="Courier New" w:ascii="Courier New" w:hAnsi="Courier New"/>
                <w:color w:val="A8D8EA"/>
                <w:sz w:val="17"/>
                <w:szCs w:val="17"/>
              </w:rPr>
              <w:t>ADDTCPHTE INTNETADR('10.7.1.231') HOSTNAME(BRMSDEVA)</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bl>
    <w:p>
      <w:pPr>
        <w:pStyle w:val="Normal"/>
        <w:rPr/>
      </w:pPr>
      <w:r>
        <w:rPr/>
      </w:r>
      <w:r>
        <w:br w:type="page"/>
      </w:r>
    </w:p>
    <w:p>
      <w:pPr>
        <w:pStyle w:val="Heading1"/>
        <w:shd w:val="clear" w:fill="0D2340"/>
        <w:spacing w:before="0" w:after="0"/>
        <w:ind w:left="80"/>
        <w:rPr/>
      </w:pPr>
      <w:bookmarkStart w:id="34" w:name="__RefHeading___Toc4539_3284268967"/>
      <w:bookmarkEnd w:id="34"/>
      <w:r>
        <w:rPr>
          <w:rFonts w:eastAsia="Arial" w:cs="Arial" w:ascii="Arial" w:hAnsi="Arial"/>
          <w:b/>
          <w:bCs/>
          <w:color w:val="2E75B6"/>
          <w:sz w:val="22"/>
          <w:szCs w:val="22"/>
        </w:rPr>
        <w:t>13</w:t>
      </w:r>
      <w:r>
        <w:rPr>
          <w:rFonts w:eastAsia="Arial" w:cs="Arial" w:ascii="Arial" w:hAnsi="Arial"/>
          <w:sz w:val="22"/>
          <w:szCs w:val="22"/>
        </w:rPr>
        <w:t xml:space="preserve">   </w:t>
      </w:r>
      <w:r>
        <w:rPr>
          <w:rFonts w:eastAsia="Arial" w:cs="Arial" w:ascii="Arial" w:hAnsi="Arial"/>
          <w:b/>
          <w:bCs/>
          <w:color w:val="FFFFFF"/>
          <w:sz w:val="26"/>
          <w:szCs w:val="26"/>
        </w:rPr>
        <w:t>APPLY FASTFAX KEY &amp; VALIDATE</w:t>
      </w:r>
    </w:p>
    <w:p>
      <w:pPr>
        <w:pStyle w:val="Normal"/>
        <w:shd w:val="clear" w:fill="1F4E79"/>
        <w:spacing w:before="0" w:after="160"/>
        <w:ind w:left="80"/>
        <w:rPr/>
      </w:pPr>
      <w:r>
        <w:rPr>
          <w:rFonts w:eastAsia="Arial" w:cs="Arial"/>
          <w:i/>
          <w:iCs/>
          <w:color w:val="EBF3FB"/>
          <w:sz w:val="18"/>
          <w:szCs w:val="18"/>
        </w:rPr>
        <w:t>Phase 9 — Same Environment Number &amp; DNS as DEVAT</w:t>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End the TCP NetServer — required before the FastFax update (the IBM i NetServer and ODBC should remain ACTIVE; only NETSVR ends):</w:t>
            </w:r>
          </w:p>
          <w:p>
            <w:pPr>
              <w:pStyle w:val="Normal"/>
              <w:shd w:val="clear" w:fill="1E1E2E"/>
              <w:spacing w:before="40" w:after="0"/>
              <w:rPr/>
            </w:pPr>
            <w:r>
              <w:rPr>
                <w:rFonts w:eastAsia="Courier New" w:cs="Courier New" w:ascii="Courier New" w:hAnsi="Courier New"/>
                <w:color w:val="A8D8EA"/>
                <w:sz w:val="17"/>
                <w:szCs w:val="17"/>
              </w:rPr>
              <w:t>ENDTCPSVR *NETSVR</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Verify the FastFax subsystem is down before applying the key: the FASTFAXLC/FASTFAXL subsystem must be ended.</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3</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Set the current library:</w:t>
            </w:r>
          </w:p>
          <w:p>
            <w:pPr>
              <w:pStyle w:val="Normal"/>
              <w:shd w:val="clear" w:fill="1E1E2E"/>
              <w:spacing w:before="40" w:after="0"/>
              <w:rPr/>
            </w:pPr>
            <w:r>
              <w:rPr>
                <w:rFonts w:eastAsia="Courier New" w:cs="Courier New" w:ascii="Courier New" w:hAnsi="Courier New"/>
                <w:color w:val="A8D8EA"/>
                <w:sz w:val="17"/>
                <w:szCs w:val="17"/>
              </w:rPr>
              <w:t>CHGCURLIB FASTFAXL</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4</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Display the current FastFax PTF data area for reference (LPAR 2 — capture the current value):</w:t>
            </w:r>
          </w:p>
          <w:p>
            <w:pPr>
              <w:pStyle w:val="Normal"/>
              <w:shd w:val="clear" w:fill="1E1E2E"/>
              <w:spacing w:before="40" w:after="0"/>
              <w:rPr/>
            </w:pPr>
            <w:r>
              <w:rPr>
                <w:rFonts w:eastAsia="Courier New" w:cs="Courier New" w:ascii="Courier New" w:hAnsi="Courier New"/>
                <w:color w:val="A8D8EA"/>
                <w:sz w:val="17"/>
                <w:szCs w:val="17"/>
              </w:rPr>
              <w:t>DSPDTAARA FASTFAXL/DTAPTF</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5</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Start SQL and insert the FastFax license row (IBM i #7858201, partition 2). If the key doesn't apply, increment 900000098 → 900000099 → 900000100, etc. until accepted:</w:t>
            </w:r>
          </w:p>
          <w:p>
            <w:pPr>
              <w:pStyle w:val="Normal"/>
              <w:shd w:val="clear" w:fill="1E1E2E"/>
              <w:spacing w:before="40" w:after="20"/>
              <w:rPr/>
            </w:pPr>
            <w:r>
              <w:rPr>
                <w:rFonts w:eastAsia="Courier New" w:cs="Courier New" w:ascii="Courier New" w:hAnsi="Courier New"/>
                <w:color w:val="A8D8EA"/>
                <w:sz w:val="17"/>
                <w:szCs w:val="17"/>
              </w:rPr>
              <w:t>STRSQL</w:t>
            </w:r>
          </w:p>
          <w:p>
            <w:pPr>
              <w:pStyle w:val="Normal"/>
              <w:shd w:val="clear" w:fill="1E1E2E"/>
              <w:spacing w:before="40" w:after="20"/>
              <w:rPr/>
            </w:pPr>
            <w:r>
              <w:rPr>
                <w:rFonts w:eastAsia="Courier New" w:cs="Courier New" w:ascii="Courier New" w:hAnsi="Courier New"/>
                <w:color w:val="A8D8EA"/>
                <w:sz w:val="17"/>
                <w:szCs w:val="17"/>
              </w:rPr>
              <w:t>INSERT INTO FASTFAXL/FFXLDV (FDVPID,FDVPNB,FDVTP1,FDVTP2,FDVSEQ,FDVFNM,FDVFVL,FDVFF1,FDVFF2,FDVFF3)</w:t>
            </w:r>
          </w:p>
          <w:p>
            <w:pPr>
              <w:pStyle w:val="Normal"/>
              <w:shd w:val="clear" w:fill="1E1E2E"/>
              <w:spacing w:before="40" w:after="20"/>
              <w:rPr/>
            </w:pPr>
            <w:r>
              <w:rPr>
                <w:rFonts w:eastAsia="Courier New" w:cs="Courier New" w:ascii="Courier New" w:hAnsi="Courier New"/>
                <w:color w:val="A8D8EA"/>
                <w:sz w:val="17"/>
                <w:szCs w:val="17"/>
              </w:rPr>
              <w:t>VALUES (0,0,900000001,900000098,1,'I2_8201.QSP',</w:t>
            </w:r>
          </w:p>
          <w:p>
            <w:pPr>
              <w:pStyle w:val="Normal"/>
              <w:shd w:val="clear" w:fill="1E1E2E"/>
              <w:spacing w:before="40" w:after="0"/>
              <w:rPr/>
            </w:pPr>
            <w:r>
              <w:rPr>
                <w:rFonts w:eastAsia="Courier New" w:cs="Courier New" w:ascii="Courier New" w:hAnsi="Courier New"/>
                <w:color w:val="A8D8EA"/>
                <w:sz w:val="17"/>
                <w:szCs w:val="17"/>
              </w:rPr>
              <w:t>'011ed171f8f2f0f1d0c4d8d337579715b39f0737579715131f0737509417','','','')</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6</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Update the FastFax NetServer name. This is critical — the subsystem will NOT stay up if the NetServer name is wrong:</w:t>
            </w:r>
          </w:p>
          <w:p>
            <w:pPr>
              <w:pStyle w:val="Normal"/>
              <w:shd w:val="clear" w:fill="1E1E2E"/>
              <w:spacing w:before="40" w:after="0"/>
              <w:rPr/>
            </w:pPr>
            <w:r>
              <w:rPr>
                <w:rFonts w:eastAsia="Courier New" w:cs="Courier New" w:ascii="Courier New" w:hAnsi="Courier New"/>
                <w:color w:val="A8D8EA"/>
                <w:sz w:val="17"/>
                <w:szCs w:val="17"/>
              </w:rPr>
              <w:t>UPDATE FASTFAXL/FFXLDE SET FLEASN='DEVAN' WHERE FLEEID = 1</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7</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Start the TCP NetServer:</w:t>
            </w:r>
          </w:p>
          <w:p>
            <w:pPr>
              <w:pStyle w:val="Normal"/>
              <w:shd w:val="clear" w:fill="1E1E2E"/>
              <w:spacing w:before="40" w:after="0"/>
              <w:rPr/>
            </w:pPr>
            <w:r>
              <w:rPr>
                <w:rFonts w:eastAsia="Courier New" w:cs="Courier New" w:ascii="Courier New" w:hAnsi="Courier New"/>
                <w:color w:val="A8D8EA"/>
                <w:sz w:val="17"/>
                <w:szCs w:val="17"/>
              </w:rPr>
              <w:t>STRTCPSVR *NETSVR</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8</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Verify the NetServer name in FastFax (FFXTOOLS option 87). The name must be ALL UPPERCASE with no spaces or typos.</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9</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Verify the FastFax security code:</w:t>
            </w:r>
          </w:p>
          <w:p>
            <w:pPr>
              <w:pStyle w:val="Normal"/>
              <w:shd w:val="clear" w:fill="1E1E2E"/>
              <w:spacing w:before="40" w:after="0"/>
              <w:rPr/>
            </w:pPr>
            <w:r>
              <w:rPr>
                <w:rFonts w:eastAsia="Courier New" w:cs="Courier New" w:ascii="Courier New" w:hAnsi="Courier New"/>
                <w:color w:val="A8D8EA"/>
                <w:sz w:val="17"/>
                <w:szCs w:val="17"/>
              </w:rPr>
              <w:t>FASTFAXL/FFXSECURE</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10</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If the security code is valid, start FastFax:</w:t>
            </w:r>
          </w:p>
          <w:p>
            <w:pPr>
              <w:pStyle w:val="Normal"/>
              <w:shd w:val="clear" w:fill="1E1E2E"/>
              <w:spacing w:before="40" w:after="0"/>
              <w:rPr/>
            </w:pPr>
            <w:r>
              <w:rPr>
                <w:rFonts w:eastAsia="Courier New" w:cs="Courier New" w:ascii="Courier New" w:hAnsi="Courier New"/>
                <w:color w:val="A8D8EA"/>
                <w:sz w:val="17"/>
                <w:szCs w:val="17"/>
              </w:rPr>
              <w:t>STRFFX</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Verify FastFax is active (should show Active status): WRKFAXJOB, then press F9=Status on the Outbound Message screen.</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bl>
    <w:p>
      <w:pPr>
        <w:pStyle w:val="Normal"/>
        <w:spacing w:before="160" w:after="0"/>
        <w:rPr/>
      </w:pPr>
      <w:r>
        <w:rPr/>
      </w:r>
    </w:p>
    <w:tbl>
      <w:tblPr>
        <w:tblW w:w="9360" w:type="dxa"/>
        <w:jc w:val="left"/>
        <w:tblInd w:w="0" w:type="dxa"/>
        <w:tblLayout w:type="fixed"/>
        <w:tblCellMar>
          <w:top w:w="100" w:type="dxa"/>
          <w:left w:w="160" w:type="dxa"/>
          <w:bottom w:w="100" w:type="dxa"/>
          <w:right w:w="160" w:type="dxa"/>
        </w:tblCellMar>
      </w:tblPr>
      <w:tblGrid>
        <w:gridCol w:w="1560"/>
        <w:gridCol w:w="7799"/>
      </w:tblGrid>
      <w:tr>
        <w:trPr>
          <w:tblHeader w:val="true"/>
          <w:cantSplit w:val="true"/>
        </w:trPr>
        <w:tc>
          <w:tcPr>
            <w:tcW w:w="9359" w:type="dxa"/>
            <w:gridSpan w:val="2"/>
            <w:tcBorders>
              <w:top w:val="single" w:sz="4" w:space="0" w:color="1A3A5C"/>
              <w:left w:val="single" w:sz="4" w:space="0" w:color="1A3A5C"/>
              <w:bottom w:val="single" w:sz="4" w:space="0" w:color="1A3A5C"/>
              <w:right w:val="single" w:sz="4" w:space="0" w:color="1A3A5C"/>
            </w:tcBorders>
            <w:shd w:fill="1F4E79" w:val="clear"/>
          </w:tcPr>
          <w:p>
            <w:pPr>
              <w:pStyle w:val="Normal"/>
              <w:rPr/>
            </w:pPr>
            <w:r>
              <w:rPr>
                <w:rFonts w:eastAsia="Arial" w:cs="Arial"/>
                <w:b/>
                <w:bCs/>
                <w:color w:val="D6E4F0"/>
                <w:sz w:val="19"/>
                <w:szCs w:val="19"/>
              </w:rPr>
              <w:t xml:space="preserve">EVIDENCE CAPTURE  —  </w:t>
            </w:r>
            <w:r>
              <w:rPr>
                <w:rFonts w:eastAsia="Arial" w:cs="Arial"/>
                <w:b/>
                <w:bCs/>
                <w:color w:val="FFFFFF"/>
                <w:sz w:val="19"/>
                <w:szCs w:val="19"/>
              </w:rPr>
              <w:t>13 — FastFax Key Applied &amp; Subsystem Active</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Completed By</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Date / Time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System Output / Reference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Result</w:t>
            </w:r>
          </w:p>
        </w:tc>
        <w:tc>
          <w:tcPr>
            <w:tcW w:w="7799" w:type="dxa"/>
            <w:tcBorders>
              <w:top w:val="single" w:sz="4" w:space="0" w:color="1F4E79"/>
              <w:left w:val="single" w:sz="4" w:space="0" w:color="1F4E79"/>
              <w:bottom w:val="single" w:sz="4" w:space="0" w:color="1F4E79"/>
              <w:right w:val="single" w:sz="4" w:space="0" w:color="1F4E79"/>
            </w:tcBorders>
            <w:shd w:fill="E2EFDA" w:val="clear"/>
            <w:tcMar>
              <w:top w:w="80" w:type="dxa"/>
              <w:left w:w="140" w:type="dxa"/>
              <w:bottom w:w="80" w:type="dxa"/>
              <w:right w:w="140" w:type="dxa"/>
            </w:tcMar>
          </w:tcPr>
          <w:p>
            <w:pPr>
              <w:pStyle w:val="Normal"/>
              <w:rPr/>
            </w:pPr>
            <w:r>
              <w:rPr>
                <w:rFonts w:eastAsia="Arial" w:cs="Arial"/>
                <w:b/>
                <w:bCs/>
                <w:color w:val="375623"/>
                <w:sz w:val="19"/>
                <w:szCs w:val="19"/>
              </w:rPr>
              <w:t xml:space="preserve">☐  </w:t>
            </w:r>
            <w:r>
              <w:rPr>
                <w:rFonts w:eastAsia="Arial" w:cs="Arial"/>
                <w:b/>
                <w:bCs/>
                <w:color w:val="375623"/>
                <w:sz w:val="19"/>
                <w:szCs w:val="19"/>
              </w:rPr>
              <w:t>VERIFIED</w:t>
            </w:r>
            <w:r>
              <w:rPr>
                <w:rFonts w:eastAsia="Arial" w:cs="Arial"/>
                <w:sz w:val="19"/>
                <w:szCs w:val="19"/>
              </w:rPr>
              <w:t xml:space="preserve">          </w:t>
            </w:r>
            <w:r>
              <w:rPr>
                <w:rFonts w:eastAsia="Arial" w:cs="Arial"/>
                <w:b/>
                <w:bCs/>
                <w:color w:val="C00000"/>
                <w:sz w:val="19"/>
                <w:szCs w:val="19"/>
              </w:rPr>
              <w:t>☐  EXCEPTION</w:t>
            </w:r>
            <w:r>
              <w:rPr>
                <w:rFonts w:eastAsia="Arial" w:cs="Arial"/>
                <w:sz w:val="19"/>
                <w:szCs w:val="19"/>
              </w:rPr>
              <w:t xml:space="preserve">          </w:t>
            </w:r>
            <w:r>
              <w:rPr>
                <w:rFonts w:eastAsia="Arial" w:cs="Arial"/>
                <w:b/>
                <w:bCs/>
                <w:color w:val="666666"/>
                <w:sz w:val="19"/>
                <w:szCs w:val="19"/>
              </w:rPr>
              <w:t>☐  N/A</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Notes / Issues</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bl>
    <w:p>
      <w:pPr>
        <w:pStyle w:val="Normal"/>
        <w:rPr/>
      </w:pPr>
      <w:r>
        <w:rPr/>
      </w:r>
      <w:r>
        <w:br w:type="page"/>
      </w:r>
    </w:p>
    <w:p>
      <w:pPr>
        <w:pStyle w:val="Heading1"/>
        <w:shd w:val="clear" w:fill="0D2340"/>
        <w:spacing w:before="0" w:after="0"/>
        <w:ind w:left="80"/>
        <w:rPr/>
      </w:pPr>
      <w:bookmarkStart w:id="35" w:name="__RefHeading___Toc4541_3284268967"/>
      <w:bookmarkEnd w:id="35"/>
      <w:r>
        <w:rPr>
          <w:rFonts w:eastAsia="Arial" w:cs="Arial" w:ascii="Arial" w:hAnsi="Arial"/>
          <w:b/>
          <w:bCs/>
          <w:color w:val="2E75B6"/>
          <w:sz w:val="22"/>
          <w:szCs w:val="22"/>
        </w:rPr>
        <w:t>14</w:t>
      </w:r>
      <w:r>
        <w:rPr>
          <w:rFonts w:eastAsia="Arial" w:cs="Arial" w:ascii="Arial" w:hAnsi="Arial"/>
          <w:sz w:val="22"/>
          <w:szCs w:val="22"/>
        </w:rPr>
        <w:t xml:space="preserve">   </w:t>
      </w:r>
      <w:r>
        <w:rPr>
          <w:rFonts w:eastAsia="Arial" w:cs="Arial" w:ascii="Arial" w:hAnsi="Arial"/>
          <w:b/>
          <w:bCs/>
          <w:color w:val="FFFFFF"/>
          <w:sz w:val="26"/>
          <w:szCs w:val="26"/>
        </w:rPr>
        <w:t>HANDOVER TO TESTERS &amp; START LEVEL 3</w:t>
      </w:r>
    </w:p>
    <w:p>
      <w:pPr>
        <w:pStyle w:val="Normal"/>
        <w:shd w:val="clear" w:fill="1F4E79"/>
        <w:spacing w:before="0" w:after="160"/>
        <w:ind w:left="80"/>
        <w:rPr/>
      </w:pPr>
      <w:r>
        <w:rPr>
          <w:rFonts w:eastAsia="Arial" w:cs="Arial"/>
          <w:i/>
          <w:iCs/>
          <w:color w:val="EBF3FB"/>
          <w:sz w:val="18"/>
          <w:szCs w:val="18"/>
        </w:rPr>
        <w:t>Phase 11 — DEVAC/Equinix</w:t>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Turn over DEVAC/Equinix to the DR Test Team for validation testing. Testers perform application-level smoke tests to confirm the DR environment is functional.</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Once testing is approved by the test team, start Level 3 on DEVAC/Equinix (Option 13). No production users will be logging on during DR. Wait until IPL_PRCS completes:</w:t>
            </w:r>
          </w:p>
          <w:p>
            <w:pPr>
              <w:pStyle w:val="Normal"/>
              <w:shd w:val="clear" w:fill="1E1E2E"/>
              <w:spacing w:before="40" w:after="0"/>
              <w:rPr/>
            </w:pPr>
            <w:r>
              <w:rPr>
                <w:rFonts w:eastAsia="Courier New" w:cs="Courier New" w:ascii="Courier New" w:hAnsi="Courier New"/>
                <w:color w:val="A8D8EA"/>
                <w:sz w:val="17"/>
                <w:szCs w:val="17"/>
              </w:rPr>
              <w:t>WRKACTJOB SBS(QCTL)</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bl>
    <w:p>
      <w:pPr>
        <w:pStyle w:val="Normal"/>
        <w:spacing w:before="160" w:after="0"/>
        <w:rPr/>
      </w:pPr>
      <w:r>
        <w:rPr/>
      </w:r>
    </w:p>
    <w:tbl>
      <w:tblPr>
        <w:tblW w:w="9360" w:type="dxa"/>
        <w:jc w:val="left"/>
        <w:tblInd w:w="0" w:type="dxa"/>
        <w:tblLayout w:type="fixed"/>
        <w:tblCellMar>
          <w:top w:w="100" w:type="dxa"/>
          <w:left w:w="160" w:type="dxa"/>
          <w:bottom w:w="100" w:type="dxa"/>
          <w:right w:w="160" w:type="dxa"/>
        </w:tblCellMar>
      </w:tblPr>
      <w:tblGrid>
        <w:gridCol w:w="1560"/>
        <w:gridCol w:w="7799"/>
      </w:tblGrid>
      <w:tr>
        <w:trPr>
          <w:tblHeader w:val="true"/>
          <w:cantSplit w:val="true"/>
        </w:trPr>
        <w:tc>
          <w:tcPr>
            <w:tcW w:w="9359" w:type="dxa"/>
            <w:gridSpan w:val="2"/>
            <w:tcBorders>
              <w:top w:val="single" w:sz="4" w:space="0" w:color="1A3A5C"/>
              <w:left w:val="single" w:sz="4" w:space="0" w:color="1A3A5C"/>
              <w:bottom w:val="single" w:sz="4" w:space="0" w:color="1A3A5C"/>
              <w:right w:val="single" w:sz="4" w:space="0" w:color="1A3A5C"/>
            </w:tcBorders>
            <w:shd w:fill="1F4E79" w:val="clear"/>
          </w:tcPr>
          <w:p>
            <w:pPr>
              <w:pStyle w:val="Normal"/>
              <w:rPr/>
            </w:pPr>
            <w:r>
              <w:rPr>
                <w:rFonts w:eastAsia="Arial" w:cs="Arial"/>
                <w:b/>
                <w:bCs/>
                <w:color w:val="D6E4F0"/>
                <w:sz w:val="19"/>
                <w:szCs w:val="19"/>
              </w:rPr>
              <w:t xml:space="preserve">EVIDENCE CAPTURE  —  </w:t>
            </w:r>
            <w:r>
              <w:rPr>
                <w:rFonts w:eastAsia="Arial" w:cs="Arial"/>
                <w:b/>
                <w:bCs/>
                <w:color w:val="FFFFFF"/>
                <w:sz w:val="19"/>
                <w:szCs w:val="19"/>
              </w:rPr>
              <w:t>14 — Testing Approved &amp; Level 3 Started on DEVAC</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Completed By</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Date / Time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System Output / Reference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Result</w:t>
            </w:r>
          </w:p>
        </w:tc>
        <w:tc>
          <w:tcPr>
            <w:tcW w:w="7799" w:type="dxa"/>
            <w:tcBorders>
              <w:top w:val="single" w:sz="4" w:space="0" w:color="1F4E79"/>
              <w:left w:val="single" w:sz="4" w:space="0" w:color="1F4E79"/>
              <w:bottom w:val="single" w:sz="4" w:space="0" w:color="1F4E79"/>
              <w:right w:val="single" w:sz="4" w:space="0" w:color="1F4E79"/>
            </w:tcBorders>
            <w:shd w:fill="E2EFDA" w:val="clear"/>
            <w:tcMar>
              <w:top w:w="80" w:type="dxa"/>
              <w:left w:w="140" w:type="dxa"/>
              <w:bottom w:w="80" w:type="dxa"/>
              <w:right w:w="140" w:type="dxa"/>
            </w:tcMar>
          </w:tcPr>
          <w:p>
            <w:pPr>
              <w:pStyle w:val="Normal"/>
              <w:rPr/>
            </w:pPr>
            <w:r>
              <w:rPr>
                <w:rFonts w:eastAsia="Arial" w:cs="Arial"/>
                <w:b/>
                <w:bCs/>
                <w:color w:val="375623"/>
                <w:sz w:val="19"/>
                <w:szCs w:val="19"/>
              </w:rPr>
              <w:t xml:space="preserve">☐  </w:t>
            </w:r>
            <w:r>
              <w:rPr>
                <w:rFonts w:eastAsia="Arial" w:cs="Arial"/>
                <w:b/>
                <w:bCs/>
                <w:color w:val="375623"/>
                <w:sz w:val="19"/>
                <w:szCs w:val="19"/>
              </w:rPr>
              <w:t>VERIFIED</w:t>
            </w:r>
            <w:r>
              <w:rPr>
                <w:rFonts w:eastAsia="Arial" w:cs="Arial"/>
                <w:sz w:val="19"/>
                <w:szCs w:val="19"/>
              </w:rPr>
              <w:t xml:space="preserve">          </w:t>
            </w:r>
            <w:r>
              <w:rPr>
                <w:rFonts w:eastAsia="Arial" w:cs="Arial"/>
                <w:b/>
                <w:bCs/>
                <w:color w:val="C00000"/>
                <w:sz w:val="19"/>
                <w:szCs w:val="19"/>
              </w:rPr>
              <w:t>☐  EXCEPTION</w:t>
            </w:r>
            <w:r>
              <w:rPr>
                <w:rFonts w:eastAsia="Arial" w:cs="Arial"/>
                <w:sz w:val="19"/>
                <w:szCs w:val="19"/>
              </w:rPr>
              <w:t xml:space="preserve">          </w:t>
            </w:r>
            <w:r>
              <w:rPr>
                <w:rFonts w:eastAsia="Arial" w:cs="Arial"/>
                <w:b/>
                <w:bCs/>
                <w:color w:val="666666"/>
                <w:sz w:val="19"/>
                <w:szCs w:val="19"/>
              </w:rPr>
              <w:t>☐  N/A</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Notes / Issues</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bl>
    <w:p>
      <w:pPr>
        <w:pStyle w:val="Normal"/>
        <w:rPr/>
      </w:pPr>
      <w:r>
        <w:rPr/>
      </w:r>
      <w:r>
        <w:br w:type="page"/>
      </w:r>
    </w:p>
    <w:p>
      <w:pPr>
        <w:pStyle w:val="Heading1"/>
        <w:shd w:val="clear" w:fill="0D2340"/>
        <w:spacing w:before="0" w:after="0"/>
        <w:ind w:left="80"/>
        <w:rPr/>
      </w:pPr>
      <w:bookmarkStart w:id="36" w:name="__RefHeading___Toc4543_3284268967"/>
      <w:bookmarkEnd w:id="36"/>
      <w:r>
        <w:rPr>
          <w:rFonts w:eastAsia="Arial" w:cs="Arial" w:ascii="Arial" w:hAnsi="Arial"/>
          <w:b/>
          <w:bCs/>
          <w:color w:val="2E75B6"/>
          <w:sz w:val="22"/>
          <w:szCs w:val="22"/>
        </w:rPr>
        <w:t>15</w:t>
      </w:r>
      <w:r>
        <w:rPr>
          <w:rFonts w:eastAsia="Arial" w:cs="Arial" w:ascii="Arial" w:hAnsi="Arial"/>
          <w:sz w:val="22"/>
          <w:szCs w:val="22"/>
        </w:rPr>
        <w:t xml:space="preserve">   </w:t>
      </w:r>
      <w:r>
        <w:rPr>
          <w:rFonts w:eastAsia="Arial" w:cs="Arial" w:ascii="Arial" w:hAnsi="Arial"/>
          <w:b/>
          <w:bCs/>
          <w:color w:val="FFFFFF"/>
          <w:sz w:val="26"/>
          <w:szCs w:val="26"/>
        </w:rPr>
        <w:t>POST-DR JOBS &amp; FINAL CLEANUP</w:t>
      </w:r>
    </w:p>
    <w:p>
      <w:pPr>
        <w:pStyle w:val="Normal"/>
        <w:shd w:val="clear" w:fill="1F4E79"/>
        <w:spacing w:before="0" w:after="160"/>
        <w:ind w:left="80"/>
        <w:rPr/>
      </w:pPr>
      <w:r>
        <w:rPr>
          <w:rFonts w:eastAsia="Arial" w:cs="Arial"/>
          <w:i/>
          <w:iCs/>
          <w:color w:val="EBF3FB"/>
          <w:sz w:val="18"/>
          <w:szCs w:val="18"/>
        </w:rPr>
        <w:t>Phase 12 — DEVAC/Equinix</w:t>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Start stats to Splunk — only if ETS51000 shows 'T'erminated: perform a 'DO' on ETS51000.</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Review Robot Schedule missed jobs from the DR window timeframe. Determine which jobs need a manual re-run.</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3</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Restart DSI monitoring: perform a 'DO' on OPS90100.</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4</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Verify the system performance monitor is running — performance data collection must be active.</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5</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Run terminated jobs from the DR window: perform a 'DO' on ETS50020.</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6</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Disable elevated profiles — a post-DR security requirement: perform a 'DO' on ETS50001 (disables APPADMIN &amp; SYSMGMT).</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7</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Reset the Robot Network Host Node for the GUI monitor: perform a 'DO' on Robot job ETS40080.</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bl>
    <w:p>
      <w:pPr>
        <w:pStyle w:val="Normal"/>
        <w:spacing w:before="160" w:after="0"/>
        <w:rPr/>
      </w:pPr>
      <w:r>
        <w:rPr/>
      </w:r>
    </w:p>
    <w:tbl>
      <w:tblPr>
        <w:tblW w:w="9360" w:type="dxa"/>
        <w:jc w:val="left"/>
        <w:tblInd w:w="0" w:type="dxa"/>
        <w:tblLayout w:type="fixed"/>
        <w:tblCellMar>
          <w:top w:w="100" w:type="dxa"/>
          <w:left w:w="160" w:type="dxa"/>
          <w:bottom w:w="100" w:type="dxa"/>
          <w:right w:w="160" w:type="dxa"/>
        </w:tblCellMar>
      </w:tblPr>
      <w:tblGrid>
        <w:gridCol w:w="1560"/>
        <w:gridCol w:w="7799"/>
      </w:tblGrid>
      <w:tr>
        <w:trPr>
          <w:tblHeader w:val="true"/>
          <w:cantSplit w:val="true"/>
        </w:trPr>
        <w:tc>
          <w:tcPr>
            <w:tcW w:w="9359" w:type="dxa"/>
            <w:gridSpan w:val="2"/>
            <w:tcBorders>
              <w:top w:val="single" w:sz="4" w:space="0" w:color="1A3A5C"/>
              <w:left w:val="single" w:sz="4" w:space="0" w:color="1A3A5C"/>
              <w:bottom w:val="single" w:sz="4" w:space="0" w:color="1A3A5C"/>
              <w:right w:val="single" w:sz="4" w:space="0" w:color="1A3A5C"/>
            </w:tcBorders>
            <w:shd w:fill="1F4E79" w:val="clear"/>
          </w:tcPr>
          <w:p>
            <w:pPr>
              <w:pStyle w:val="Normal"/>
              <w:rPr/>
            </w:pPr>
            <w:r>
              <w:rPr>
                <w:rFonts w:eastAsia="Arial" w:cs="Arial"/>
                <w:b/>
                <w:bCs/>
                <w:color w:val="D6E4F0"/>
                <w:sz w:val="19"/>
                <w:szCs w:val="19"/>
              </w:rPr>
              <w:t xml:space="preserve">EVIDENCE CAPTURE  —  </w:t>
            </w:r>
            <w:r>
              <w:rPr>
                <w:rFonts w:eastAsia="Arial" w:cs="Arial"/>
                <w:b/>
                <w:bCs/>
                <w:color w:val="FFFFFF"/>
                <w:sz w:val="19"/>
                <w:szCs w:val="19"/>
              </w:rPr>
              <w:t>15 — Post-DR Jobs Complete</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Completed By</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Date / Time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System Output / Reference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Result</w:t>
            </w:r>
          </w:p>
        </w:tc>
        <w:tc>
          <w:tcPr>
            <w:tcW w:w="7799" w:type="dxa"/>
            <w:tcBorders>
              <w:top w:val="single" w:sz="4" w:space="0" w:color="1F4E79"/>
              <w:left w:val="single" w:sz="4" w:space="0" w:color="1F4E79"/>
              <w:bottom w:val="single" w:sz="4" w:space="0" w:color="1F4E79"/>
              <w:right w:val="single" w:sz="4" w:space="0" w:color="1F4E79"/>
            </w:tcBorders>
            <w:shd w:fill="E2EFDA" w:val="clear"/>
            <w:tcMar>
              <w:top w:w="80" w:type="dxa"/>
              <w:left w:w="140" w:type="dxa"/>
              <w:bottom w:w="80" w:type="dxa"/>
              <w:right w:w="140" w:type="dxa"/>
            </w:tcMar>
          </w:tcPr>
          <w:p>
            <w:pPr>
              <w:pStyle w:val="Normal"/>
              <w:rPr/>
            </w:pPr>
            <w:r>
              <w:rPr>
                <w:rFonts w:eastAsia="Arial" w:cs="Arial"/>
                <w:b/>
                <w:bCs/>
                <w:color w:val="375623"/>
                <w:sz w:val="19"/>
                <w:szCs w:val="19"/>
              </w:rPr>
              <w:t xml:space="preserve">☐  </w:t>
            </w:r>
            <w:r>
              <w:rPr>
                <w:rFonts w:eastAsia="Arial" w:cs="Arial"/>
                <w:b/>
                <w:bCs/>
                <w:color w:val="375623"/>
                <w:sz w:val="19"/>
                <w:szCs w:val="19"/>
              </w:rPr>
              <w:t>VERIFIED</w:t>
            </w:r>
            <w:r>
              <w:rPr>
                <w:rFonts w:eastAsia="Arial" w:cs="Arial"/>
                <w:sz w:val="19"/>
                <w:szCs w:val="19"/>
              </w:rPr>
              <w:t xml:space="preserve">          </w:t>
            </w:r>
            <w:r>
              <w:rPr>
                <w:rFonts w:eastAsia="Arial" w:cs="Arial"/>
                <w:b/>
                <w:bCs/>
                <w:color w:val="C00000"/>
                <w:sz w:val="19"/>
                <w:szCs w:val="19"/>
              </w:rPr>
              <w:t>☐  EXCEPTION</w:t>
            </w:r>
            <w:r>
              <w:rPr>
                <w:rFonts w:eastAsia="Arial" w:cs="Arial"/>
                <w:sz w:val="19"/>
                <w:szCs w:val="19"/>
              </w:rPr>
              <w:t xml:space="preserve">          </w:t>
            </w:r>
            <w:r>
              <w:rPr>
                <w:rFonts w:eastAsia="Arial" w:cs="Arial"/>
                <w:b/>
                <w:bCs/>
                <w:color w:val="666666"/>
                <w:sz w:val="19"/>
                <w:szCs w:val="19"/>
              </w:rPr>
              <w:t>☐  N/A</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Notes / Issues</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bl>
    <w:p>
      <w:pPr>
        <w:pStyle w:val="Normal"/>
        <w:rPr/>
      </w:pPr>
      <w:r>
        <w:rPr/>
      </w:r>
      <w:r>
        <w:br w:type="page"/>
      </w:r>
    </w:p>
    <w:p>
      <w:pPr>
        <w:pStyle w:val="Heading1"/>
        <w:shd w:val="clear" w:fill="0D2340"/>
        <w:spacing w:before="0" w:after="0"/>
        <w:ind w:left="80"/>
        <w:rPr/>
      </w:pPr>
      <w:bookmarkStart w:id="37" w:name="__RefHeading___Toc4545_3284268967"/>
      <w:bookmarkEnd w:id="37"/>
      <w:r>
        <w:rPr>
          <w:rFonts w:eastAsia="Arial" w:cs="Arial" w:ascii="Arial" w:hAnsi="Arial"/>
          <w:b/>
          <w:bCs/>
          <w:color w:val="2E75B6"/>
          <w:sz w:val="22"/>
          <w:szCs w:val="22"/>
        </w:rPr>
        <w:t>16</w:t>
      </w:r>
      <w:r>
        <w:rPr>
          <w:rFonts w:eastAsia="Arial" w:cs="Arial" w:ascii="Arial" w:hAnsi="Arial"/>
          <w:sz w:val="22"/>
          <w:szCs w:val="22"/>
        </w:rPr>
        <w:t xml:space="preserve">   </w:t>
      </w:r>
      <w:r>
        <w:rPr>
          <w:rFonts w:eastAsia="Arial" w:cs="Arial" w:ascii="Arial" w:hAnsi="Arial"/>
          <w:b/>
          <w:bCs/>
          <w:color w:val="FFFFFF"/>
          <w:sz w:val="26"/>
          <w:szCs w:val="26"/>
        </w:rPr>
        <w:t>GOLDENGATE RESTART &amp; APPLICATION SERVICES</w:t>
      </w:r>
    </w:p>
    <w:p>
      <w:pPr>
        <w:pStyle w:val="Normal"/>
        <w:shd w:val="clear" w:fill="1F4E79"/>
        <w:spacing w:before="0" w:after="160"/>
        <w:ind w:left="80"/>
        <w:rPr/>
      </w:pPr>
      <w:r>
        <w:rPr>
          <w:rFonts w:eastAsia="Arial" w:cs="Arial"/>
          <w:i/>
          <w:iCs/>
          <w:color w:val="EBF3FB"/>
          <w:sz w:val="18"/>
          <w:szCs w:val="18"/>
        </w:rPr>
        <w:t>Phase 13 — DEVAC/Equinix</w:t>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Verify QNTC is connected to network shares. If not connected, run ETS90000, then create the required mount points:</w:t>
            </w:r>
          </w:p>
          <w:p>
            <w:pPr>
              <w:pStyle w:val="Normal"/>
              <w:shd w:val="clear" w:fill="1E1E2E"/>
              <w:spacing w:before="40" w:after="20"/>
              <w:rPr/>
            </w:pPr>
            <w:r>
              <w:rPr>
                <w:rFonts w:eastAsia="Courier New" w:cs="Courier New" w:ascii="Courier New" w:hAnsi="Courier New"/>
                <w:color w:val="A8D8EA"/>
                <w:sz w:val="17"/>
                <w:szCs w:val="17"/>
              </w:rPr>
              <w:t>MKDIR DIR('/QNTC/WTDSTDSIAPP01')</w:t>
            </w:r>
          </w:p>
          <w:p>
            <w:pPr>
              <w:pStyle w:val="Normal"/>
              <w:shd w:val="clear" w:fill="1E1E2E"/>
              <w:spacing w:before="40" w:after="20"/>
              <w:rPr/>
            </w:pPr>
            <w:r>
              <w:rPr>
                <w:rFonts w:eastAsia="Courier New" w:cs="Courier New" w:ascii="Courier New" w:hAnsi="Courier New"/>
                <w:color w:val="A8D8EA"/>
                <w:sz w:val="17"/>
                <w:szCs w:val="17"/>
              </w:rPr>
              <w:t>MKDIR DIR('/QNTC/vfiler-onbase01')</w:t>
            </w:r>
          </w:p>
          <w:p>
            <w:pPr>
              <w:pStyle w:val="Normal"/>
              <w:shd w:val="clear" w:fill="1E1E2E"/>
              <w:spacing w:before="40" w:after="0"/>
              <w:rPr/>
            </w:pPr>
            <w:r>
              <w:rPr>
                <w:rFonts w:eastAsia="Courier New" w:cs="Courier New" w:ascii="Courier New" w:hAnsi="Courier New"/>
                <w:color w:val="A8D8EA"/>
                <w:sz w:val="17"/>
                <w:szCs w:val="17"/>
              </w:rPr>
              <w:t>MKDIR DIR('/QNTC/VSERVER-DATA01')</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Start the FormsPrint virtual queues manually — these do not auto-start: INVOICEPDF, INVOICERPRT, FAX.</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3</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Check and restart SMTP if needed (verify under QSYSWRK; start if stopped):</w:t>
            </w:r>
          </w:p>
          <w:p>
            <w:pPr>
              <w:pStyle w:val="Normal"/>
              <w:shd w:val="clear" w:fill="1E1E2E"/>
              <w:spacing w:before="40" w:after="0"/>
              <w:rPr/>
            </w:pPr>
            <w:r>
              <w:rPr>
                <w:rFonts w:eastAsia="Courier New" w:cs="Courier New" w:ascii="Courier New" w:hAnsi="Courier New"/>
                <w:color w:val="A8D8EA"/>
                <w:sz w:val="17"/>
                <w:szCs w:val="17"/>
              </w:rPr>
              <w:t>STRMSF MSGOPT(*RESUME) NBRMSFJOB(6)</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4</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Start the GoldenGate subsystem — must start before the manager and extract processes:</w:t>
            </w:r>
          </w:p>
          <w:p>
            <w:pPr>
              <w:pStyle w:val="Normal"/>
              <w:shd w:val="clear" w:fill="1E1E2E"/>
              <w:spacing w:before="40" w:after="0"/>
              <w:rPr/>
            </w:pPr>
            <w:r>
              <w:rPr>
                <w:rFonts w:eastAsia="Courier New" w:cs="Courier New" w:ascii="Courier New" w:hAnsi="Courier New"/>
                <w:color w:val="A8D8EA"/>
                <w:sz w:val="17"/>
                <w:szCs w:val="17"/>
              </w:rPr>
              <w:t>STRSBS AMSCONFIG/GOLDENGATE</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5</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Start the GoldenGate Manager via Robot job ETS95010 — START MANAGER.</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6</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Start all GoldenGate extract and replicat processes via Robot job ETS95030 — Start All.</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7</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Verify QSNADS via Enterprise Extender — confirm SNA controller configurations are active:</w:t>
            </w:r>
          </w:p>
          <w:p>
            <w:pPr>
              <w:pStyle w:val="Normal"/>
              <w:shd w:val="clear" w:fill="1E1E2E"/>
              <w:spacing w:before="40" w:after="0"/>
              <w:rPr/>
            </w:pPr>
            <w:r>
              <w:rPr>
                <w:rFonts w:eastAsia="Courier New" w:cs="Courier New" w:ascii="Courier New" w:hAnsi="Courier New"/>
                <w:color w:val="A8D8EA"/>
                <w:sz w:val="17"/>
                <w:szCs w:val="17"/>
              </w:rPr>
              <w:t>WRKCFGSTS CFGTYPE(*CTL) CFGD(*CMN)</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bl>
    <w:p>
      <w:pPr>
        <w:pStyle w:val="Normal"/>
        <w:spacing w:before="160" w:after="0"/>
        <w:rPr/>
      </w:pPr>
      <w:r>
        <w:rPr/>
      </w:r>
    </w:p>
    <w:tbl>
      <w:tblPr>
        <w:tblW w:w="9360" w:type="dxa"/>
        <w:jc w:val="left"/>
        <w:tblInd w:w="0" w:type="dxa"/>
        <w:tblLayout w:type="fixed"/>
        <w:tblCellMar>
          <w:top w:w="100" w:type="dxa"/>
          <w:left w:w="160" w:type="dxa"/>
          <w:bottom w:w="100" w:type="dxa"/>
          <w:right w:w="160" w:type="dxa"/>
        </w:tblCellMar>
      </w:tblPr>
      <w:tblGrid>
        <w:gridCol w:w="1560"/>
        <w:gridCol w:w="7799"/>
      </w:tblGrid>
      <w:tr>
        <w:trPr>
          <w:tblHeader w:val="true"/>
          <w:cantSplit w:val="true"/>
        </w:trPr>
        <w:tc>
          <w:tcPr>
            <w:tcW w:w="9359" w:type="dxa"/>
            <w:gridSpan w:val="2"/>
            <w:tcBorders>
              <w:top w:val="single" w:sz="4" w:space="0" w:color="1A3A5C"/>
              <w:left w:val="single" w:sz="4" w:space="0" w:color="1A3A5C"/>
              <w:bottom w:val="single" w:sz="4" w:space="0" w:color="1A3A5C"/>
              <w:right w:val="single" w:sz="4" w:space="0" w:color="1A3A5C"/>
            </w:tcBorders>
            <w:shd w:fill="1F4E79" w:val="clear"/>
          </w:tcPr>
          <w:p>
            <w:pPr>
              <w:pStyle w:val="Normal"/>
              <w:rPr/>
            </w:pPr>
            <w:r>
              <w:rPr>
                <w:rFonts w:eastAsia="Arial" w:cs="Arial"/>
                <w:b/>
                <w:bCs/>
                <w:color w:val="D6E4F0"/>
                <w:sz w:val="19"/>
                <w:szCs w:val="19"/>
              </w:rPr>
              <w:t xml:space="preserve">EVIDENCE CAPTURE  —  </w:t>
            </w:r>
            <w:r>
              <w:rPr>
                <w:rFonts w:eastAsia="Arial" w:cs="Arial"/>
                <w:b/>
                <w:bCs/>
                <w:color w:val="FFFFFF"/>
                <w:sz w:val="19"/>
                <w:szCs w:val="19"/>
              </w:rPr>
              <w:t>16 — GoldenGate &amp; Application Services Restarted</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Completed By</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Date / Time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System Output / Reference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Result</w:t>
            </w:r>
          </w:p>
        </w:tc>
        <w:tc>
          <w:tcPr>
            <w:tcW w:w="7799" w:type="dxa"/>
            <w:tcBorders>
              <w:top w:val="single" w:sz="4" w:space="0" w:color="1F4E79"/>
              <w:left w:val="single" w:sz="4" w:space="0" w:color="1F4E79"/>
              <w:bottom w:val="single" w:sz="4" w:space="0" w:color="1F4E79"/>
              <w:right w:val="single" w:sz="4" w:space="0" w:color="1F4E79"/>
            </w:tcBorders>
            <w:shd w:fill="E2EFDA" w:val="clear"/>
            <w:tcMar>
              <w:top w:w="80" w:type="dxa"/>
              <w:left w:w="140" w:type="dxa"/>
              <w:bottom w:w="80" w:type="dxa"/>
              <w:right w:w="140" w:type="dxa"/>
            </w:tcMar>
          </w:tcPr>
          <w:p>
            <w:pPr>
              <w:pStyle w:val="Normal"/>
              <w:rPr/>
            </w:pPr>
            <w:r>
              <w:rPr>
                <w:rFonts w:eastAsia="Arial" w:cs="Arial"/>
                <w:b/>
                <w:bCs/>
                <w:color w:val="375623"/>
                <w:sz w:val="19"/>
                <w:szCs w:val="19"/>
              </w:rPr>
              <w:t xml:space="preserve">☐  </w:t>
            </w:r>
            <w:r>
              <w:rPr>
                <w:rFonts w:eastAsia="Arial" w:cs="Arial"/>
                <w:b/>
                <w:bCs/>
                <w:color w:val="375623"/>
                <w:sz w:val="19"/>
                <w:szCs w:val="19"/>
              </w:rPr>
              <w:t>VERIFIED</w:t>
            </w:r>
            <w:r>
              <w:rPr>
                <w:rFonts w:eastAsia="Arial" w:cs="Arial"/>
                <w:sz w:val="19"/>
                <w:szCs w:val="19"/>
              </w:rPr>
              <w:t xml:space="preserve">          </w:t>
            </w:r>
            <w:r>
              <w:rPr>
                <w:rFonts w:eastAsia="Arial" w:cs="Arial"/>
                <w:b/>
                <w:bCs/>
                <w:color w:val="C00000"/>
                <w:sz w:val="19"/>
                <w:szCs w:val="19"/>
              </w:rPr>
              <w:t>☐  EXCEPTION</w:t>
            </w:r>
            <w:r>
              <w:rPr>
                <w:rFonts w:eastAsia="Arial" w:cs="Arial"/>
                <w:sz w:val="19"/>
                <w:szCs w:val="19"/>
              </w:rPr>
              <w:t xml:space="preserve">          </w:t>
            </w:r>
            <w:r>
              <w:rPr>
                <w:rFonts w:eastAsia="Arial" w:cs="Arial"/>
                <w:b/>
                <w:bCs/>
                <w:color w:val="666666"/>
                <w:sz w:val="19"/>
                <w:szCs w:val="19"/>
              </w:rPr>
              <w:t>☐  N/A</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Notes / Issues</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bl>
    <w:p>
      <w:pPr>
        <w:pStyle w:val="Normal"/>
        <w:rPr/>
      </w:pPr>
      <w:r>
        <w:rPr/>
      </w:r>
      <w:r>
        <w:br w:type="page"/>
      </w:r>
    </w:p>
    <w:p>
      <w:pPr>
        <w:pStyle w:val="Heading1"/>
        <w:shd w:val="clear" w:fill="0D2340"/>
        <w:spacing w:before="0" w:after="0"/>
        <w:ind w:left="80"/>
        <w:rPr/>
      </w:pPr>
      <w:bookmarkStart w:id="38" w:name="__RefHeading___Toc4547_3284268967"/>
      <w:bookmarkEnd w:id="38"/>
      <w:r>
        <w:rPr>
          <w:rFonts w:eastAsia="Arial" w:cs="Arial" w:ascii="Arial" w:hAnsi="Arial"/>
          <w:b/>
          <w:bCs/>
          <w:color w:val="2E75B6"/>
          <w:sz w:val="22"/>
          <w:szCs w:val="22"/>
        </w:rPr>
        <w:t>17</w:t>
      </w:r>
      <w:r>
        <w:rPr>
          <w:rFonts w:eastAsia="Arial" w:cs="Arial" w:ascii="Arial" w:hAnsi="Arial"/>
          <w:sz w:val="22"/>
          <w:szCs w:val="22"/>
        </w:rPr>
        <w:t xml:space="preserve">   </w:t>
      </w:r>
      <w:r>
        <w:rPr>
          <w:rFonts w:eastAsia="Arial" w:cs="Arial" w:ascii="Arial" w:hAnsi="Arial"/>
          <w:b/>
          <w:bCs/>
          <w:color w:val="FFFFFF"/>
          <w:sz w:val="26"/>
          <w:szCs w:val="26"/>
        </w:rPr>
        <w:t>ROBOT NETWORK GUI CONFIGURATION</w:t>
      </w:r>
    </w:p>
    <w:p>
      <w:pPr>
        <w:pStyle w:val="Normal"/>
        <w:shd w:val="clear" w:fill="1F4E79"/>
        <w:spacing w:before="0" w:after="160"/>
        <w:ind w:left="80"/>
        <w:rPr/>
      </w:pPr>
      <w:r>
        <w:rPr>
          <w:rFonts w:eastAsia="Arial" w:cs="Arial"/>
          <w:i/>
          <w:iCs/>
          <w:color w:val="EBF3FB"/>
          <w:sz w:val="18"/>
          <w:szCs w:val="18"/>
        </w:rPr>
        <w:t>Phase 14 — DEVAC/Equinix</w:t>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Stop the Robot Network node — end the existing node before reconfiguring:</w:t>
            </w:r>
          </w:p>
          <w:p>
            <w:pPr>
              <w:pStyle w:val="Normal"/>
              <w:shd w:val="clear" w:fill="1E1E2E"/>
              <w:spacing w:before="40" w:after="0"/>
              <w:rPr/>
            </w:pPr>
            <w:r>
              <w:rPr>
                <w:rFonts w:eastAsia="Courier New" w:cs="Courier New" w:ascii="Courier New" w:hAnsi="Courier New"/>
                <w:color w:val="A8D8EA"/>
                <w:sz w:val="17"/>
                <w:szCs w:val="17"/>
              </w:rPr>
              <w:t>RBTNETNODE/RBNENDNODE</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Work with the Robot Schedule network list — review network work list entries:</w:t>
            </w:r>
          </w:p>
          <w:p>
            <w:pPr>
              <w:pStyle w:val="Normal"/>
              <w:shd w:val="clear" w:fill="1E1E2E"/>
              <w:spacing w:before="40" w:after="0"/>
              <w:rPr/>
            </w:pPr>
            <w:r>
              <w:rPr>
                <w:rFonts w:eastAsia="Courier New" w:cs="Courier New" w:ascii="Courier New" w:hAnsi="Courier New"/>
                <w:color w:val="A8D8EA"/>
                <w:sz w:val="17"/>
                <w:szCs w:val="17"/>
              </w:rPr>
              <w:t>RSLWL</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3</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Edit the Robot Network node configuration to point to DEVAC as primary (search on Primary using Shift+F4):</w:t>
            </w:r>
          </w:p>
          <w:p>
            <w:pPr>
              <w:pStyle w:val="Normal"/>
              <w:shd w:val="clear" w:fill="1E1E2E"/>
              <w:spacing w:before="40" w:after="0"/>
              <w:rPr/>
            </w:pPr>
            <w:r>
              <w:rPr>
                <w:rFonts w:eastAsia="Courier New" w:cs="Courier New" w:ascii="Courier New" w:hAnsi="Courier New"/>
                <w:color w:val="A8D8EA"/>
                <w:sz w:val="17"/>
                <w:szCs w:val="17"/>
              </w:rPr>
              <w:t>ROBOT NETWORK &gt; nodeConfig.xml</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4</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Start the Robot Network node with the updated configuration:</w:t>
            </w:r>
          </w:p>
          <w:p>
            <w:pPr>
              <w:pStyle w:val="Normal"/>
              <w:shd w:val="clear" w:fill="1E1E2E"/>
              <w:spacing w:before="40" w:after="0"/>
              <w:rPr/>
            </w:pPr>
            <w:r>
              <w:rPr>
                <w:rFonts w:eastAsia="Courier New" w:cs="Courier New" w:ascii="Courier New" w:hAnsi="Courier New"/>
                <w:color w:val="A8D8EA"/>
                <w:sz w:val="17"/>
                <w:szCs w:val="17"/>
              </w:rPr>
              <w:t>RBTNETNODE/RBNSTRNODE</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5</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Configure the Robot Network GUI — update the GUI node registration for DEVAC: Robot Network GUI &gt; prode &gt; configure node.</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6</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If multiple nodes show GREY in the GUI, go to PRODE and remove the stale node reference (only needed if grey nodes are visible):</w:t>
            </w:r>
          </w:p>
          <w:p>
            <w:pPr>
              <w:pStyle w:val="Normal"/>
              <w:shd w:val="clear" w:fill="1E1E2E"/>
              <w:spacing w:before="40" w:after="20"/>
              <w:rPr/>
            </w:pPr>
            <w:r>
              <w:rPr>
                <w:rFonts w:eastAsia="Courier New" w:cs="Courier New" w:ascii="Courier New" w:hAnsi="Courier New"/>
                <w:color w:val="A8D8EA"/>
                <w:sz w:val="17"/>
                <w:szCs w:val="17"/>
              </w:rPr>
              <w:t>RBTNETLIB/RBNDLTNODE  F4</w:t>
            </w:r>
          </w:p>
          <w:p>
            <w:pPr>
              <w:pStyle w:val="Normal"/>
              <w:shd w:val="clear" w:fill="1E1E2E"/>
              <w:spacing w:before="40" w:after="0"/>
              <w:rPr/>
            </w:pPr>
            <w:r>
              <w:rPr>
                <w:rFonts w:eastAsia="Courier New" w:cs="Courier New" w:ascii="Courier New" w:hAnsi="Courier New"/>
                <w:color w:val="A8D8EA"/>
                <w:sz w:val="17"/>
                <w:szCs w:val="17"/>
              </w:rPr>
              <w:t>Input: DEVA</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bl>
    <w:p>
      <w:pPr>
        <w:pStyle w:val="Normal"/>
        <w:spacing w:before="160" w:after="0"/>
        <w:rPr/>
      </w:pPr>
      <w:r>
        <w:rPr/>
      </w:r>
    </w:p>
    <w:tbl>
      <w:tblPr>
        <w:tblW w:w="9360" w:type="dxa"/>
        <w:jc w:val="left"/>
        <w:tblInd w:w="0" w:type="dxa"/>
        <w:tblLayout w:type="fixed"/>
        <w:tblCellMar>
          <w:top w:w="100" w:type="dxa"/>
          <w:left w:w="160" w:type="dxa"/>
          <w:bottom w:w="100" w:type="dxa"/>
          <w:right w:w="160" w:type="dxa"/>
        </w:tblCellMar>
      </w:tblPr>
      <w:tblGrid>
        <w:gridCol w:w="1560"/>
        <w:gridCol w:w="7799"/>
      </w:tblGrid>
      <w:tr>
        <w:trPr>
          <w:tblHeader w:val="true"/>
          <w:cantSplit w:val="true"/>
        </w:trPr>
        <w:tc>
          <w:tcPr>
            <w:tcW w:w="9359" w:type="dxa"/>
            <w:gridSpan w:val="2"/>
            <w:tcBorders>
              <w:top w:val="single" w:sz="4" w:space="0" w:color="1A3A5C"/>
              <w:left w:val="single" w:sz="4" w:space="0" w:color="1A3A5C"/>
              <w:bottom w:val="single" w:sz="4" w:space="0" w:color="1A3A5C"/>
              <w:right w:val="single" w:sz="4" w:space="0" w:color="1A3A5C"/>
            </w:tcBorders>
            <w:shd w:fill="1F4E79" w:val="clear"/>
          </w:tcPr>
          <w:p>
            <w:pPr>
              <w:pStyle w:val="Normal"/>
              <w:rPr/>
            </w:pPr>
            <w:r>
              <w:rPr>
                <w:rFonts w:eastAsia="Arial" w:cs="Arial"/>
                <w:b/>
                <w:bCs/>
                <w:color w:val="D6E4F0"/>
                <w:sz w:val="19"/>
                <w:szCs w:val="19"/>
              </w:rPr>
              <w:t xml:space="preserve">EVIDENCE CAPTURE  —  </w:t>
            </w:r>
            <w:r>
              <w:rPr>
                <w:rFonts w:eastAsia="Arial" w:cs="Arial"/>
                <w:b/>
                <w:bCs/>
                <w:color w:val="FFFFFF"/>
                <w:sz w:val="19"/>
                <w:szCs w:val="19"/>
              </w:rPr>
              <w:t>17 — Robot Network GUI Reconfigured — All Nodes Green</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Completed By</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Date / Time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System Output / Reference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Result</w:t>
            </w:r>
          </w:p>
        </w:tc>
        <w:tc>
          <w:tcPr>
            <w:tcW w:w="7799" w:type="dxa"/>
            <w:tcBorders>
              <w:top w:val="single" w:sz="4" w:space="0" w:color="1F4E79"/>
              <w:left w:val="single" w:sz="4" w:space="0" w:color="1F4E79"/>
              <w:bottom w:val="single" w:sz="4" w:space="0" w:color="1F4E79"/>
              <w:right w:val="single" w:sz="4" w:space="0" w:color="1F4E79"/>
            </w:tcBorders>
            <w:shd w:fill="E2EFDA" w:val="clear"/>
            <w:tcMar>
              <w:top w:w="80" w:type="dxa"/>
              <w:left w:w="140" w:type="dxa"/>
              <w:bottom w:w="80" w:type="dxa"/>
              <w:right w:w="140" w:type="dxa"/>
            </w:tcMar>
          </w:tcPr>
          <w:p>
            <w:pPr>
              <w:pStyle w:val="Normal"/>
              <w:rPr/>
            </w:pPr>
            <w:r>
              <w:rPr>
                <w:rFonts w:eastAsia="Arial" w:cs="Arial"/>
                <w:b/>
                <w:bCs/>
                <w:color w:val="375623"/>
                <w:sz w:val="19"/>
                <w:szCs w:val="19"/>
              </w:rPr>
              <w:t xml:space="preserve">☐  </w:t>
            </w:r>
            <w:r>
              <w:rPr>
                <w:rFonts w:eastAsia="Arial" w:cs="Arial"/>
                <w:b/>
                <w:bCs/>
                <w:color w:val="375623"/>
                <w:sz w:val="19"/>
                <w:szCs w:val="19"/>
              </w:rPr>
              <w:t>VERIFIED</w:t>
            </w:r>
            <w:r>
              <w:rPr>
                <w:rFonts w:eastAsia="Arial" w:cs="Arial"/>
                <w:sz w:val="19"/>
                <w:szCs w:val="19"/>
              </w:rPr>
              <w:t xml:space="preserve">          </w:t>
            </w:r>
            <w:r>
              <w:rPr>
                <w:rFonts w:eastAsia="Arial" w:cs="Arial"/>
                <w:b/>
                <w:bCs/>
                <w:color w:val="C00000"/>
                <w:sz w:val="19"/>
                <w:szCs w:val="19"/>
              </w:rPr>
              <w:t>☐  EXCEPTION</w:t>
            </w:r>
            <w:r>
              <w:rPr>
                <w:rFonts w:eastAsia="Arial" w:cs="Arial"/>
                <w:sz w:val="19"/>
                <w:szCs w:val="19"/>
              </w:rPr>
              <w:t xml:space="preserve">          </w:t>
            </w:r>
            <w:r>
              <w:rPr>
                <w:rFonts w:eastAsia="Arial" w:cs="Arial"/>
                <w:b/>
                <w:bCs/>
                <w:color w:val="666666"/>
                <w:sz w:val="19"/>
                <w:szCs w:val="19"/>
              </w:rPr>
              <w:t>☐  N/A</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Notes / Issues</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bl>
    <w:p>
      <w:pPr>
        <w:pStyle w:val="Normal"/>
        <w:rPr/>
      </w:pPr>
      <w:r>
        <w:rPr/>
      </w:r>
      <w:r>
        <w:br w:type="page"/>
      </w:r>
    </w:p>
    <w:p>
      <w:pPr>
        <w:pStyle w:val="Heading1"/>
        <w:shd w:val="clear" w:fill="0D2340"/>
        <w:spacing w:before="0" w:after="0"/>
        <w:ind w:left="80"/>
        <w:rPr/>
      </w:pPr>
      <w:bookmarkStart w:id="39" w:name="__RefHeading___Toc4549_3284268967"/>
      <w:bookmarkEnd w:id="39"/>
      <w:r>
        <w:rPr>
          <w:rFonts w:eastAsia="Arial" w:cs="Arial" w:ascii="Arial" w:hAnsi="Arial"/>
          <w:b/>
          <w:bCs/>
          <w:color w:val="2E75B6"/>
          <w:sz w:val="22"/>
          <w:szCs w:val="22"/>
        </w:rPr>
        <w:t>18</w:t>
      </w:r>
      <w:r>
        <w:rPr>
          <w:rFonts w:eastAsia="Arial" w:cs="Arial" w:ascii="Arial" w:hAnsi="Arial"/>
          <w:sz w:val="22"/>
          <w:szCs w:val="22"/>
        </w:rPr>
        <w:t xml:space="preserve">   </w:t>
      </w:r>
      <w:r>
        <w:rPr>
          <w:rFonts w:eastAsia="Arial" w:cs="Arial" w:ascii="Arial" w:hAnsi="Arial"/>
          <w:b/>
          <w:bCs/>
          <w:color w:val="FFFFFF"/>
          <w:sz w:val="26"/>
          <w:szCs w:val="26"/>
        </w:rPr>
        <w:t>DR EXECUTION SIGN-OFF</w:t>
      </w:r>
    </w:p>
    <w:p>
      <w:pPr>
        <w:pStyle w:val="Normal"/>
        <w:shd w:val="clear" w:fill="1F4E79"/>
        <w:spacing w:before="0" w:after="160"/>
        <w:ind w:left="80"/>
        <w:rPr/>
      </w:pPr>
      <w:r>
        <w:rPr>
          <w:rFonts w:eastAsia="Arial" w:cs="Arial"/>
          <w:i/>
          <w:iCs/>
          <w:color w:val="EBF3FB"/>
          <w:sz w:val="18"/>
          <w:szCs w:val="18"/>
        </w:rPr>
        <w:t>Section-Level Completion Record</w:t>
      </w:r>
    </w:p>
    <w:p>
      <w:pPr>
        <w:pStyle w:val="Normal"/>
        <w:spacing w:before="0" w:after="120"/>
        <w:rPr/>
      </w:pPr>
      <w:r>
        <w:rPr>
          <w:rFonts w:eastAsia="Arial" w:cs="Arial"/>
          <w:i w:val="false"/>
          <w:iCs w:val="false"/>
          <w:color w:val="44546A"/>
          <w:sz w:val="20"/>
          <w:szCs w:val="20"/>
        </w:rPr>
        <w:t>All sections must be fully executed, evidenced, and signed before the DR exercise is declared complete. Any open issues must be logged separately.</w:t>
      </w:r>
    </w:p>
    <w:tbl>
      <w:tblPr>
        <w:tblW w:w="9360" w:type="dxa"/>
        <w:jc w:val="left"/>
        <w:tblInd w:w="0" w:type="dxa"/>
        <w:tblLayout w:type="fixed"/>
        <w:tblCellMar>
          <w:top w:w="80" w:type="dxa"/>
          <w:left w:w="140" w:type="dxa"/>
          <w:bottom w:w="80" w:type="dxa"/>
          <w:right w:w="140" w:type="dxa"/>
        </w:tblCellMar>
      </w:tblPr>
      <w:tblGrid>
        <w:gridCol w:w="2999"/>
        <w:gridCol w:w="1800"/>
        <w:gridCol w:w="1601"/>
        <w:gridCol w:w="1900"/>
        <w:gridCol w:w="1060"/>
      </w:tblGrid>
      <w:tr>
        <w:trPr/>
        <w:tc>
          <w:tcPr>
            <w:tcW w:w="2999"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Section</w:t>
            </w:r>
          </w:p>
        </w:tc>
        <w:tc>
          <w:tcPr>
            <w:tcW w:w="18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Completed By</w:t>
            </w:r>
          </w:p>
        </w:tc>
        <w:tc>
          <w:tcPr>
            <w:tcW w:w="1601"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Completion Time</w:t>
            </w:r>
          </w:p>
        </w:tc>
        <w:tc>
          <w:tcPr>
            <w:tcW w:w="19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Result</w:t>
            </w:r>
          </w:p>
        </w:tc>
        <w:tc>
          <w:tcPr>
            <w:tcW w:w="106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Sign</w:t>
            </w:r>
          </w:p>
        </w:tc>
      </w:tr>
      <w:tr>
        <w:trPr/>
        <w:tc>
          <w:tcPr>
            <w:tcW w:w="29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9"/>
                <w:szCs w:val="19"/>
              </w:rPr>
              <w:t>5 — Pre-DR Preparation</w:t>
            </w:r>
          </w:p>
        </w:tc>
        <w:tc>
          <w:tcPr>
            <w:tcW w:w="180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c>
          <w:tcPr>
            <w:tcW w:w="16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c>
          <w:tcPr>
            <w:tcW w:w="190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7"/>
                <w:szCs w:val="17"/>
              </w:rPr>
              <w:t xml:space="preserve">☐ </w:t>
            </w:r>
            <w:r>
              <w:rPr>
                <w:rFonts w:eastAsia="Arial" w:cs="Arial"/>
                <w:color w:val="375623"/>
                <w:sz w:val="17"/>
                <w:szCs w:val="17"/>
              </w:rPr>
              <w:t>Verified</w:t>
            </w:r>
            <w:r>
              <w:rPr>
                <w:rFonts w:eastAsia="Arial" w:cs="Arial"/>
                <w:color w:val="C00000"/>
                <w:sz w:val="17"/>
                <w:szCs w:val="17"/>
              </w:rPr>
              <w:t xml:space="preserve">  ☐ Exception</w:t>
            </w:r>
          </w:p>
        </w:tc>
        <w:tc>
          <w:tcPr>
            <w:tcW w:w="10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r>
      <w:tr>
        <w:trPr/>
        <w:tc>
          <w:tcPr>
            <w:tcW w:w="29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9"/>
                <w:szCs w:val="19"/>
              </w:rPr>
              <w:t>6 — DNS Update</w:t>
            </w:r>
          </w:p>
        </w:tc>
        <w:tc>
          <w:tcPr>
            <w:tcW w:w="180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
          </w:p>
        </w:tc>
        <w:tc>
          <w:tcPr>
            <w:tcW w:w="16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
          </w:p>
        </w:tc>
        <w:tc>
          <w:tcPr>
            <w:tcW w:w="190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7"/>
                <w:szCs w:val="17"/>
              </w:rPr>
              <w:t xml:space="preserve">☐ </w:t>
            </w:r>
            <w:r>
              <w:rPr>
                <w:rFonts w:eastAsia="Arial" w:cs="Arial"/>
                <w:color w:val="375623"/>
                <w:sz w:val="17"/>
                <w:szCs w:val="17"/>
              </w:rPr>
              <w:t>Verified</w:t>
            </w:r>
            <w:r>
              <w:rPr>
                <w:rFonts w:eastAsia="Arial" w:cs="Arial"/>
                <w:color w:val="C00000"/>
                <w:sz w:val="17"/>
                <w:szCs w:val="17"/>
              </w:rPr>
              <w:t xml:space="preserve">  ☐ Exception</w:t>
            </w:r>
          </w:p>
        </w:tc>
        <w:tc>
          <w:tcPr>
            <w:tcW w:w="10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
          </w:p>
        </w:tc>
      </w:tr>
      <w:tr>
        <w:trPr/>
        <w:tc>
          <w:tcPr>
            <w:tcW w:w="29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9"/>
                <w:szCs w:val="19"/>
              </w:rPr>
              <w:t>7 — GoldenGate Stop &amp; Subsystem End</w:t>
            </w:r>
          </w:p>
        </w:tc>
        <w:tc>
          <w:tcPr>
            <w:tcW w:w="180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c>
          <w:tcPr>
            <w:tcW w:w="16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c>
          <w:tcPr>
            <w:tcW w:w="190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7"/>
                <w:szCs w:val="17"/>
              </w:rPr>
              <w:t xml:space="preserve">☐ </w:t>
            </w:r>
            <w:r>
              <w:rPr>
                <w:rFonts w:eastAsia="Arial" w:cs="Arial"/>
                <w:color w:val="375623"/>
                <w:sz w:val="17"/>
                <w:szCs w:val="17"/>
              </w:rPr>
              <w:t>Verified</w:t>
            </w:r>
            <w:r>
              <w:rPr>
                <w:rFonts w:eastAsia="Arial" w:cs="Arial"/>
                <w:color w:val="C00000"/>
                <w:sz w:val="17"/>
                <w:szCs w:val="17"/>
              </w:rPr>
              <w:t xml:space="preserve">  ☐ Exception</w:t>
            </w:r>
          </w:p>
        </w:tc>
        <w:tc>
          <w:tcPr>
            <w:tcW w:w="10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r>
      <w:tr>
        <w:trPr/>
        <w:tc>
          <w:tcPr>
            <w:tcW w:w="29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9"/>
                <w:szCs w:val="19"/>
              </w:rPr>
              <w:t>8 — PowerHA IASP Switchover</w:t>
            </w:r>
          </w:p>
        </w:tc>
        <w:tc>
          <w:tcPr>
            <w:tcW w:w="180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
          </w:p>
        </w:tc>
        <w:tc>
          <w:tcPr>
            <w:tcW w:w="16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
          </w:p>
        </w:tc>
        <w:tc>
          <w:tcPr>
            <w:tcW w:w="190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7"/>
                <w:szCs w:val="17"/>
              </w:rPr>
              <w:t xml:space="preserve">☐ </w:t>
            </w:r>
            <w:r>
              <w:rPr>
                <w:rFonts w:eastAsia="Arial" w:cs="Arial"/>
                <w:color w:val="375623"/>
                <w:sz w:val="17"/>
                <w:szCs w:val="17"/>
              </w:rPr>
              <w:t>Verified</w:t>
            </w:r>
            <w:r>
              <w:rPr>
                <w:rFonts w:eastAsia="Arial" w:cs="Arial"/>
                <w:color w:val="C00000"/>
                <w:sz w:val="17"/>
                <w:szCs w:val="17"/>
              </w:rPr>
              <w:t xml:space="preserve">  ☐ Exception</w:t>
            </w:r>
          </w:p>
        </w:tc>
        <w:tc>
          <w:tcPr>
            <w:tcW w:w="10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
          </w:p>
        </w:tc>
      </w:tr>
      <w:tr>
        <w:trPr/>
        <w:tc>
          <w:tcPr>
            <w:tcW w:w="29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9"/>
                <w:szCs w:val="19"/>
              </w:rPr>
              <w:t>9 — Mimix Replication Verification</w:t>
            </w:r>
          </w:p>
        </w:tc>
        <w:tc>
          <w:tcPr>
            <w:tcW w:w="180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c>
          <w:tcPr>
            <w:tcW w:w="16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c>
          <w:tcPr>
            <w:tcW w:w="190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7"/>
                <w:szCs w:val="17"/>
              </w:rPr>
              <w:t xml:space="preserve">☐ </w:t>
            </w:r>
            <w:r>
              <w:rPr>
                <w:rFonts w:eastAsia="Arial" w:cs="Arial"/>
                <w:color w:val="375623"/>
                <w:sz w:val="17"/>
                <w:szCs w:val="17"/>
              </w:rPr>
              <w:t>Verified</w:t>
            </w:r>
            <w:r>
              <w:rPr>
                <w:rFonts w:eastAsia="Arial" w:cs="Arial"/>
                <w:color w:val="C00000"/>
                <w:sz w:val="17"/>
                <w:szCs w:val="17"/>
              </w:rPr>
              <w:t xml:space="preserve">  ☐ Exception</w:t>
            </w:r>
          </w:p>
        </w:tc>
        <w:tc>
          <w:tcPr>
            <w:tcW w:w="10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r>
      <w:tr>
        <w:trPr/>
        <w:tc>
          <w:tcPr>
            <w:tcW w:w="29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9"/>
                <w:szCs w:val="19"/>
              </w:rPr>
              <w:t>10 — Post-Switchover Cluster Verification</w:t>
            </w:r>
          </w:p>
        </w:tc>
        <w:tc>
          <w:tcPr>
            <w:tcW w:w="180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
          </w:p>
        </w:tc>
        <w:tc>
          <w:tcPr>
            <w:tcW w:w="16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
          </w:p>
        </w:tc>
        <w:tc>
          <w:tcPr>
            <w:tcW w:w="190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7"/>
                <w:szCs w:val="17"/>
              </w:rPr>
              <w:t xml:space="preserve">☐ </w:t>
            </w:r>
            <w:r>
              <w:rPr>
                <w:rFonts w:eastAsia="Arial" w:cs="Arial"/>
                <w:color w:val="375623"/>
                <w:sz w:val="17"/>
                <w:szCs w:val="17"/>
              </w:rPr>
              <w:t>Verified</w:t>
            </w:r>
            <w:r>
              <w:rPr>
                <w:rFonts w:eastAsia="Arial" w:cs="Arial"/>
                <w:color w:val="C00000"/>
                <w:sz w:val="17"/>
                <w:szCs w:val="17"/>
              </w:rPr>
              <w:t xml:space="preserve">  ☐ Exception</w:t>
            </w:r>
          </w:p>
        </w:tc>
        <w:tc>
          <w:tcPr>
            <w:tcW w:w="10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
          </w:p>
        </w:tc>
      </w:tr>
      <w:tr>
        <w:trPr/>
        <w:tc>
          <w:tcPr>
            <w:tcW w:w="29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9"/>
                <w:szCs w:val="19"/>
              </w:rPr>
              <w:t>11 — 3rd-Party Software Keys</w:t>
            </w:r>
          </w:p>
        </w:tc>
        <w:tc>
          <w:tcPr>
            <w:tcW w:w="180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c>
          <w:tcPr>
            <w:tcW w:w="16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c>
          <w:tcPr>
            <w:tcW w:w="190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7"/>
                <w:szCs w:val="17"/>
              </w:rPr>
              <w:t xml:space="preserve">☐ </w:t>
            </w:r>
            <w:r>
              <w:rPr>
                <w:rFonts w:eastAsia="Arial" w:cs="Arial"/>
                <w:color w:val="375623"/>
                <w:sz w:val="17"/>
                <w:szCs w:val="17"/>
              </w:rPr>
              <w:t>Verified</w:t>
            </w:r>
            <w:r>
              <w:rPr>
                <w:rFonts w:eastAsia="Arial" w:cs="Arial"/>
                <w:color w:val="C00000"/>
                <w:sz w:val="17"/>
                <w:szCs w:val="17"/>
              </w:rPr>
              <w:t xml:space="preserve">  ☐ Exception</w:t>
            </w:r>
          </w:p>
        </w:tc>
        <w:tc>
          <w:tcPr>
            <w:tcW w:w="10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r>
      <w:tr>
        <w:trPr/>
        <w:tc>
          <w:tcPr>
            <w:tcW w:w="29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9"/>
                <w:szCs w:val="19"/>
              </w:rPr>
              <w:t>12 — TCP Host Table Updates</w:t>
            </w:r>
          </w:p>
        </w:tc>
        <w:tc>
          <w:tcPr>
            <w:tcW w:w="180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
          </w:p>
        </w:tc>
        <w:tc>
          <w:tcPr>
            <w:tcW w:w="16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
          </w:p>
        </w:tc>
        <w:tc>
          <w:tcPr>
            <w:tcW w:w="190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7"/>
                <w:szCs w:val="17"/>
              </w:rPr>
              <w:t xml:space="preserve">☐ </w:t>
            </w:r>
            <w:r>
              <w:rPr>
                <w:rFonts w:eastAsia="Arial" w:cs="Arial"/>
                <w:color w:val="375623"/>
                <w:sz w:val="17"/>
                <w:szCs w:val="17"/>
              </w:rPr>
              <w:t>Verified</w:t>
            </w:r>
            <w:r>
              <w:rPr>
                <w:rFonts w:eastAsia="Arial" w:cs="Arial"/>
                <w:color w:val="C00000"/>
                <w:sz w:val="17"/>
                <w:szCs w:val="17"/>
              </w:rPr>
              <w:t xml:space="preserve">  ☐ Exception</w:t>
            </w:r>
          </w:p>
        </w:tc>
        <w:tc>
          <w:tcPr>
            <w:tcW w:w="10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
          </w:p>
        </w:tc>
      </w:tr>
      <w:tr>
        <w:trPr/>
        <w:tc>
          <w:tcPr>
            <w:tcW w:w="29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9"/>
                <w:szCs w:val="19"/>
              </w:rPr>
              <w:t>13 — FastFax Key &amp; Validation</w:t>
            </w:r>
          </w:p>
        </w:tc>
        <w:tc>
          <w:tcPr>
            <w:tcW w:w="180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c>
          <w:tcPr>
            <w:tcW w:w="16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c>
          <w:tcPr>
            <w:tcW w:w="190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7"/>
                <w:szCs w:val="17"/>
              </w:rPr>
              <w:t xml:space="preserve">☐ </w:t>
            </w:r>
            <w:r>
              <w:rPr>
                <w:rFonts w:eastAsia="Arial" w:cs="Arial"/>
                <w:color w:val="375623"/>
                <w:sz w:val="17"/>
                <w:szCs w:val="17"/>
              </w:rPr>
              <w:t>Verified</w:t>
            </w:r>
            <w:r>
              <w:rPr>
                <w:rFonts w:eastAsia="Arial" w:cs="Arial"/>
                <w:color w:val="C00000"/>
                <w:sz w:val="17"/>
                <w:szCs w:val="17"/>
              </w:rPr>
              <w:t xml:space="preserve">  ☐ Exception</w:t>
            </w:r>
          </w:p>
        </w:tc>
        <w:tc>
          <w:tcPr>
            <w:tcW w:w="10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r>
      <w:tr>
        <w:trPr/>
        <w:tc>
          <w:tcPr>
            <w:tcW w:w="29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9"/>
                <w:szCs w:val="19"/>
              </w:rPr>
              <w:t>14 — Handover &amp; Level 3 Start</w:t>
            </w:r>
          </w:p>
        </w:tc>
        <w:tc>
          <w:tcPr>
            <w:tcW w:w="180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
          </w:p>
        </w:tc>
        <w:tc>
          <w:tcPr>
            <w:tcW w:w="16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
          </w:p>
        </w:tc>
        <w:tc>
          <w:tcPr>
            <w:tcW w:w="190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7"/>
                <w:szCs w:val="17"/>
              </w:rPr>
              <w:t xml:space="preserve">☐ </w:t>
            </w:r>
            <w:r>
              <w:rPr>
                <w:rFonts w:eastAsia="Arial" w:cs="Arial"/>
                <w:color w:val="375623"/>
                <w:sz w:val="17"/>
                <w:szCs w:val="17"/>
              </w:rPr>
              <w:t>Verified</w:t>
            </w:r>
            <w:r>
              <w:rPr>
                <w:rFonts w:eastAsia="Arial" w:cs="Arial"/>
                <w:color w:val="C00000"/>
                <w:sz w:val="17"/>
                <w:szCs w:val="17"/>
              </w:rPr>
              <w:t xml:space="preserve">  ☐ Exception</w:t>
            </w:r>
          </w:p>
        </w:tc>
        <w:tc>
          <w:tcPr>
            <w:tcW w:w="10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
          </w:p>
        </w:tc>
      </w:tr>
      <w:tr>
        <w:trPr/>
        <w:tc>
          <w:tcPr>
            <w:tcW w:w="29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9"/>
                <w:szCs w:val="19"/>
              </w:rPr>
              <w:t>15 — Post-DR Jobs &amp; Cleanup</w:t>
            </w:r>
          </w:p>
        </w:tc>
        <w:tc>
          <w:tcPr>
            <w:tcW w:w="180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c>
          <w:tcPr>
            <w:tcW w:w="16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c>
          <w:tcPr>
            <w:tcW w:w="190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7"/>
                <w:szCs w:val="17"/>
              </w:rPr>
              <w:t xml:space="preserve">☐ </w:t>
            </w:r>
            <w:r>
              <w:rPr>
                <w:rFonts w:eastAsia="Arial" w:cs="Arial"/>
                <w:color w:val="375623"/>
                <w:sz w:val="17"/>
                <w:szCs w:val="17"/>
              </w:rPr>
              <w:t>Verified</w:t>
            </w:r>
            <w:r>
              <w:rPr>
                <w:rFonts w:eastAsia="Arial" w:cs="Arial"/>
                <w:color w:val="C00000"/>
                <w:sz w:val="17"/>
                <w:szCs w:val="17"/>
              </w:rPr>
              <w:t xml:space="preserve">  ☐ Exception</w:t>
            </w:r>
          </w:p>
        </w:tc>
        <w:tc>
          <w:tcPr>
            <w:tcW w:w="10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r>
      <w:tr>
        <w:trPr/>
        <w:tc>
          <w:tcPr>
            <w:tcW w:w="29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9"/>
                <w:szCs w:val="19"/>
              </w:rPr>
              <w:t>16 — GoldenGate Restart &amp; App Services</w:t>
            </w:r>
          </w:p>
        </w:tc>
        <w:tc>
          <w:tcPr>
            <w:tcW w:w="180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
          </w:p>
        </w:tc>
        <w:tc>
          <w:tcPr>
            <w:tcW w:w="16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
          </w:p>
        </w:tc>
        <w:tc>
          <w:tcPr>
            <w:tcW w:w="190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7"/>
                <w:szCs w:val="17"/>
              </w:rPr>
              <w:t xml:space="preserve">☐ </w:t>
            </w:r>
            <w:r>
              <w:rPr>
                <w:rFonts w:eastAsia="Arial" w:cs="Arial"/>
                <w:color w:val="375623"/>
                <w:sz w:val="17"/>
                <w:szCs w:val="17"/>
              </w:rPr>
              <w:t>Verified</w:t>
            </w:r>
            <w:r>
              <w:rPr>
                <w:rFonts w:eastAsia="Arial" w:cs="Arial"/>
                <w:color w:val="C00000"/>
                <w:sz w:val="17"/>
                <w:szCs w:val="17"/>
              </w:rPr>
              <w:t xml:space="preserve">  ☐ Exception</w:t>
            </w:r>
          </w:p>
        </w:tc>
        <w:tc>
          <w:tcPr>
            <w:tcW w:w="10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
          </w:p>
        </w:tc>
      </w:tr>
      <w:tr>
        <w:trPr/>
        <w:tc>
          <w:tcPr>
            <w:tcW w:w="29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9"/>
                <w:szCs w:val="19"/>
              </w:rPr>
              <w:t>17 — Robot Network GUI Configuration</w:t>
            </w:r>
          </w:p>
        </w:tc>
        <w:tc>
          <w:tcPr>
            <w:tcW w:w="180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c>
          <w:tcPr>
            <w:tcW w:w="16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c>
          <w:tcPr>
            <w:tcW w:w="190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7"/>
                <w:szCs w:val="17"/>
              </w:rPr>
              <w:t xml:space="preserve">☐ </w:t>
            </w:r>
            <w:r>
              <w:rPr>
                <w:rFonts w:eastAsia="Arial" w:cs="Arial"/>
                <w:color w:val="375623"/>
                <w:sz w:val="17"/>
                <w:szCs w:val="17"/>
              </w:rPr>
              <w:t>Verified</w:t>
            </w:r>
            <w:r>
              <w:rPr>
                <w:rFonts w:eastAsia="Arial" w:cs="Arial"/>
                <w:color w:val="C00000"/>
                <w:sz w:val="17"/>
                <w:szCs w:val="17"/>
              </w:rPr>
              <w:t xml:space="preserve">  ☐ Exception</w:t>
            </w:r>
          </w:p>
        </w:tc>
        <w:tc>
          <w:tcPr>
            <w:tcW w:w="10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r>
    </w:tbl>
    <w:p>
      <w:pPr>
        <w:pStyle w:val="Normal"/>
        <w:spacing w:before="200" w:after="160"/>
        <w:rPr/>
      </w:pPr>
      <w:r>
        <w:rPr/>
      </w:r>
    </w:p>
    <w:tbl>
      <w:tblPr>
        <w:tblW w:w="9360" w:type="dxa"/>
        <w:jc w:val="left"/>
        <w:tblInd w:w="0" w:type="dxa"/>
        <w:tblLayout w:type="fixed"/>
        <w:tblCellMar>
          <w:top w:w="80" w:type="dxa"/>
          <w:left w:w="140" w:type="dxa"/>
          <w:bottom w:w="80" w:type="dxa"/>
          <w:right w:w="140" w:type="dxa"/>
        </w:tblCellMar>
      </w:tblPr>
      <w:tblGrid>
        <w:gridCol w:w="5359"/>
        <w:gridCol w:w="2000"/>
        <w:gridCol w:w="2001"/>
      </w:tblGrid>
      <w:tr>
        <w:trPr/>
        <w:tc>
          <w:tcPr>
            <w:tcW w:w="5359" w:type="dxa"/>
            <w:tcBorders>
              <w:top w:val="single" w:sz="4" w:space="0" w:color="1F4E79"/>
              <w:left w:val="single" w:sz="4" w:space="0" w:color="1F4E79"/>
              <w:bottom w:val="single" w:sz="4" w:space="0" w:color="1F4E79"/>
              <w:right w:val="single" w:sz="4" w:space="0" w:color="1F4E79"/>
            </w:tcBorders>
            <w:shd w:fill="1A3A5C" w:val="clear"/>
          </w:tcPr>
          <w:p>
            <w:pPr>
              <w:pStyle w:val="Normal"/>
              <w:rPr/>
            </w:pPr>
            <w:r>
              <w:rPr>
                <w:rFonts w:eastAsia="Arial" w:cs="Arial"/>
                <w:b/>
                <w:bCs/>
                <w:color w:val="FFFFFF"/>
                <w:sz w:val="19"/>
                <w:szCs w:val="19"/>
              </w:rPr>
              <w:t>DR Exercise Overall Result</w:t>
            </w:r>
          </w:p>
        </w:tc>
        <w:tc>
          <w:tcPr>
            <w:tcW w:w="2000" w:type="dxa"/>
            <w:tcBorders>
              <w:top w:val="single" w:sz="4" w:space="0" w:color="1F4E79"/>
              <w:left w:val="single" w:sz="4" w:space="0" w:color="1F4E79"/>
              <w:bottom w:val="single" w:sz="4" w:space="0" w:color="1F4E79"/>
              <w:right w:val="single" w:sz="4" w:space="0" w:color="1F4E79"/>
            </w:tcBorders>
            <w:shd w:fill="1A3A5C" w:val="clear"/>
          </w:tcPr>
          <w:p>
            <w:pPr>
              <w:pStyle w:val="Normal"/>
              <w:rPr/>
            </w:pPr>
            <w:r>
              <w:rPr>
                <w:rFonts w:eastAsia="Arial" w:cs="Arial"/>
                <w:b/>
                <w:bCs/>
                <w:color w:val="FFFFFF"/>
                <w:sz w:val="19"/>
                <w:szCs w:val="19"/>
              </w:rPr>
              <w:t>Switch Start Time</w:t>
            </w:r>
          </w:p>
        </w:tc>
        <w:tc>
          <w:tcPr>
            <w:tcW w:w="2001" w:type="dxa"/>
            <w:tcBorders>
              <w:top w:val="single" w:sz="4" w:space="0" w:color="1F4E79"/>
              <w:left w:val="single" w:sz="4" w:space="0" w:color="1F4E79"/>
              <w:bottom w:val="single" w:sz="4" w:space="0" w:color="1F4E79"/>
              <w:right w:val="single" w:sz="4" w:space="0" w:color="1F4E79"/>
            </w:tcBorders>
            <w:shd w:fill="1A3A5C" w:val="clear"/>
          </w:tcPr>
          <w:p>
            <w:pPr>
              <w:pStyle w:val="Normal"/>
              <w:rPr/>
            </w:pPr>
            <w:r>
              <w:rPr>
                <w:rFonts w:eastAsia="Arial" w:cs="Arial"/>
                <w:b/>
                <w:bCs/>
                <w:color w:val="FFFFFF"/>
                <w:sz w:val="19"/>
                <w:szCs w:val="19"/>
              </w:rPr>
              <w:t>Switch End Time</w:t>
            </w:r>
          </w:p>
        </w:tc>
      </w:tr>
      <w:tr>
        <w:trPr/>
        <w:tc>
          <w:tcPr>
            <w:tcW w:w="535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b/>
                <w:bCs/>
                <w:color w:val="375623"/>
                <w:sz w:val="19"/>
                <w:szCs w:val="19"/>
              </w:rPr>
              <w:t xml:space="preserve">☐  </w:t>
            </w:r>
            <w:r>
              <w:rPr>
                <w:rFonts w:eastAsia="Arial" w:cs="Arial"/>
                <w:b/>
                <w:bCs/>
                <w:color w:val="375623"/>
                <w:sz w:val="19"/>
                <w:szCs w:val="19"/>
              </w:rPr>
              <w:t>SUCCESSFUL</w:t>
            </w:r>
          </w:p>
          <w:p>
            <w:pPr>
              <w:pStyle w:val="Normal"/>
              <w:spacing w:before="0" w:after="40"/>
              <w:rPr/>
            </w:pPr>
            <w:r>
              <w:rPr>
                <w:rFonts w:eastAsia="Arial" w:cs="Arial"/>
                <w:b/>
                <w:bCs/>
                <w:color w:val="C55A00"/>
                <w:sz w:val="19"/>
                <w:szCs w:val="19"/>
              </w:rPr>
              <w:t xml:space="preserve">☐  </w:t>
            </w:r>
            <w:r>
              <w:rPr>
                <w:rFonts w:eastAsia="Arial" w:cs="Arial"/>
                <w:b/>
                <w:bCs/>
                <w:color w:val="C55A00"/>
                <w:sz w:val="19"/>
                <w:szCs w:val="19"/>
              </w:rPr>
              <w:t>PARTIAL</w:t>
            </w:r>
          </w:p>
          <w:p>
            <w:pPr>
              <w:pStyle w:val="Normal"/>
              <w:rPr/>
            </w:pPr>
            <w:r>
              <w:rPr>
                <w:rFonts w:eastAsia="Arial" w:cs="Arial"/>
                <w:b/>
                <w:bCs/>
                <w:color w:val="C00000"/>
                <w:sz w:val="19"/>
                <w:szCs w:val="19"/>
              </w:rPr>
              <w:t xml:space="preserve">☐  </w:t>
            </w:r>
            <w:r>
              <w:rPr>
                <w:rFonts w:eastAsia="Arial" w:cs="Arial"/>
                <w:b/>
                <w:bCs/>
                <w:color w:val="C00000"/>
                <w:sz w:val="19"/>
                <w:szCs w:val="19"/>
              </w:rPr>
              <w:t>UNSUCCESSFUL</w:t>
            </w:r>
          </w:p>
        </w:tc>
        <w:tc>
          <w:tcPr>
            <w:tcW w:w="200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c>
          <w:tcPr>
            <w:tcW w:w="20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r>
    </w:tbl>
    <w:p>
      <w:pPr>
        <w:pStyle w:val="Normal"/>
        <w:rPr/>
      </w:pPr>
      <w:r>
        <w:rPr/>
      </w:r>
      <w:r>
        <w:br w:type="page"/>
      </w:r>
    </w:p>
    <w:p>
      <w:pPr>
        <w:pStyle w:val="Heading1"/>
        <w:shd w:val="clear" w:fill="0D2340"/>
        <w:spacing w:before="0" w:after="0"/>
        <w:ind w:left="80"/>
        <w:rPr/>
      </w:pPr>
      <w:bookmarkStart w:id="40" w:name="__RefHeading___Toc4551_3284268967"/>
      <w:bookmarkEnd w:id="40"/>
      <w:r>
        <w:rPr>
          <w:rFonts w:eastAsia="Arial" w:cs="Arial" w:ascii="Arial" w:hAnsi="Arial"/>
          <w:b/>
          <w:bCs/>
          <w:color w:val="2E75B6"/>
          <w:sz w:val="22"/>
          <w:szCs w:val="22"/>
        </w:rPr>
        <w:t>19</w:t>
      </w:r>
      <w:r>
        <w:rPr>
          <w:rFonts w:eastAsia="Arial" w:cs="Arial" w:ascii="Arial" w:hAnsi="Arial"/>
          <w:sz w:val="22"/>
          <w:szCs w:val="22"/>
        </w:rPr>
        <w:t xml:space="preserve">   </w:t>
      </w:r>
      <w:r>
        <w:rPr>
          <w:rFonts w:eastAsia="Arial" w:cs="Arial" w:ascii="Arial" w:hAnsi="Arial"/>
          <w:b/>
          <w:bCs/>
          <w:color w:val="FFFFFF"/>
          <w:sz w:val="26"/>
          <w:szCs w:val="26"/>
        </w:rPr>
        <w:t>DETAILED POST-DR VERIFICATION CHECKLIST</w:t>
      </w:r>
    </w:p>
    <w:p>
      <w:pPr>
        <w:pStyle w:val="Normal"/>
        <w:shd w:val="clear" w:fill="1F4E79"/>
        <w:spacing w:before="0" w:after="160"/>
        <w:ind w:left="80"/>
        <w:rPr/>
      </w:pPr>
      <w:r>
        <w:rPr>
          <w:rFonts w:eastAsia="Arial" w:cs="Arial"/>
          <w:i/>
          <w:iCs/>
          <w:color w:val="EBF3FB"/>
          <w:sz w:val="18"/>
          <w:szCs w:val="18"/>
        </w:rPr>
        <w:t>Item-Level Completion Record — 44 Verification Points</w:t>
      </w:r>
    </w:p>
    <w:p>
      <w:pPr>
        <w:pStyle w:val="Normal"/>
        <w:spacing w:before="0" w:after="120"/>
        <w:rPr/>
      </w:pPr>
      <w:r>
        <w:rPr>
          <w:rFonts w:eastAsia="Arial" w:cs="Arial"/>
          <w:i w:val="false"/>
          <w:iCs w:val="false"/>
          <w:color w:val="44546A"/>
          <w:sz w:val="20"/>
          <w:szCs w:val="20"/>
        </w:rPr>
        <w:t>Complete every item below before declaring DR successful. Obtain sign-off from the DR Test Team before closing the DR event.</w:t>
      </w:r>
    </w:p>
    <w:tbl>
      <w:tblPr>
        <w:tblW w:w="9360" w:type="dxa"/>
        <w:jc w:val="left"/>
        <w:tblInd w:w="0" w:type="dxa"/>
        <w:tblLayout w:type="fixed"/>
        <w:tblCellMar>
          <w:top w:w="80" w:type="dxa"/>
          <w:left w:w="140" w:type="dxa"/>
          <w:bottom w:w="80" w:type="dxa"/>
          <w:right w:w="140" w:type="dxa"/>
        </w:tblCellMar>
      </w:tblPr>
      <w:tblGrid>
        <w:gridCol w:w="499"/>
        <w:gridCol w:w="1501"/>
        <w:gridCol w:w="5160"/>
        <w:gridCol w:w="2199"/>
      </w:tblGrid>
      <w:tr>
        <w:trPr>
          <w:tblHeader w:val="true"/>
          <w:cantSplit w:val="true"/>
        </w:trPr>
        <w:tc>
          <w:tcPr>
            <w:tcW w:w="499"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w:t>
            </w:r>
          </w:p>
        </w:tc>
        <w:tc>
          <w:tcPr>
            <w:tcW w:w="1501"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Phase</w:t>
            </w:r>
          </w:p>
        </w:tc>
        <w:tc>
          <w:tcPr>
            <w:tcW w:w="516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Verification Item</w:t>
            </w:r>
          </w:p>
        </w:tc>
        <w:tc>
          <w:tcPr>
            <w:tcW w:w="2199"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Result</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b/>
                <w:bCs/>
                <w:color w:val="2E75B6"/>
                <w:sz w:val="18"/>
                <w:szCs w:val="18"/>
              </w:rPr>
              <w:t>1</w:t>
            </w:r>
          </w:p>
        </w:tc>
        <w:tc>
          <w:tcPr>
            <w:tcW w:w="15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1A3A5C"/>
                <w:sz w:val="18"/>
                <w:szCs w:val="18"/>
              </w:rPr>
              <w:t>Pre-DR</w:t>
            </w:r>
          </w:p>
        </w:tc>
        <w:tc>
          <w:tcPr>
            <w:tcW w:w="51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8"/>
                <w:szCs w:val="18"/>
              </w:rPr>
              <w:t>Document folders cleaned on all LPARs (WRKFLR / STATDOC / WRKDOC)</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b/>
                <w:bCs/>
                <w:color w:val="2E75B6"/>
                <w:sz w:val="18"/>
                <w:szCs w:val="18"/>
              </w:rPr>
              <w:t>2</w:t>
            </w:r>
          </w:p>
        </w:tc>
        <w:tc>
          <w:tcPr>
            <w:tcW w:w="15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1A3A5C"/>
                <w:sz w:val="18"/>
                <w:szCs w:val="18"/>
              </w:rPr>
              <w:t>Pre-DR</w:t>
            </w:r>
          </w:p>
        </w:tc>
        <w:tc>
          <w:tcPr>
            <w:tcW w:w="51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8"/>
                <w:szCs w:val="18"/>
              </w:rPr>
              <w:t>Pre-DR screenshots captured for JDE key and DXRECOV security code</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b/>
                <w:bCs/>
                <w:color w:val="2E75B6"/>
                <w:sz w:val="18"/>
                <w:szCs w:val="18"/>
              </w:rPr>
              <w:t>3</w:t>
            </w:r>
          </w:p>
        </w:tc>
        <w:tc>
          <w:tcPr>
            <w:tcW w:w="15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1A3A5C"/>
                <w:sz w:val="18"/>
                <w:szCs w:val="18"/>
              </w:rPr>
              <w:t>DNS</w:t>
            </w:r>
          </w:p>
        </w:tc>
        <w:tc>
          <w:tcPr>
            <w:tcW w:w="51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8"/>
                <w:szCs w:val="18"/>
              </w:rPr>
              <w:t>DNS pointer for DEVA changed from 10.7.1.231 to 10.7.1.161</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b/>
                <w:bCs/>
                <w:color w:val="2E75B6"/>
                <w:sz w:val="18"/>
                <w:szCs w:val="18"/>
              </w:rPr>
              <w:t>4</w:t>
            </w:r>
          </w:p>
        </w:tc>
        <w:tc>
          <w:tcPr>
            <w:tcW w:w="15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1A3A5C"/>
                <w:sz w:val="18"/>
                <w:szCs w:val="18"/>
              </w:rPr>
              <w:t>DNS</w:t>
            </w:r>
          </w:p>
        </w:tc>
        <w:tc>
          <w:tcPr>
            <w:tcW w:w="51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8"/>
                <w:szCs w:val="18"/>
              </w:rPr>
              <w:t>Ping tests pass: DEVA and DEVA.APPN.SNA.IBM.COM resolve correctly</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b/>
                <w:bCs/>
                <w:color w:val="2E75B6"/>
                <w:sz w:val="18"/>
                <w:szCs w:val="18"/>
              </w:rPr>
              <w:t>5</w:t>
            </w:r>
          </w:p>
        </w:tc>
        <w:tc>
          <w:tcPr>
            <w:tcW w:w="15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1A3A5C"/>
                <w:sz w:val="18"/>
                <w:szCs w:val="18"/>
              </w:rPr>
              <w:t>GoldenGate</w:t>
            </w:r>
          </w:p>
        </w:tc>
        <w:tc>
          <w:tcPr>
            <w:tcW w:w="51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8"/>
                <w:szCs w:val="18"/>
              </w:rPr>
              <w:t>GoldenGate manager stopped on DEVAT (GGSCI &gt; STOP MANAGER)</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b/>
                <w:bCs/>
                <w:color w:val="2E75B6"/>
                <w:sz w:val="18"/>
                <w:szCs w:val="18"/>
              </w:rPr>
              <w:t>6</w:t>
            </w:r>
          </w:p>
        </w:tc>
        <w:tc>
          <w:tcPr>
            <w:tcW w:w="15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1A3A5C"/>
                <w:sz w:val="18"/>
                <w:szCs w:val="18"/>
              </w:rPr>
              <w:t>GoldenGate</w:t>
            </w:r>
          </w:p>
        </w:tc>
        <w:tc>
          <w:tcPr>
            <w:tcW w:w="51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8"/>
                <w:szCs w:val="18"/>
              </w:rPr>
              <w:t>GoldenGate subsystem ended on DEVAT (ETS95040 + ENDSBS GOLDENGATE)</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b/>
                <w:bCs/>
                <w:color w:val="2E75B6"/>
                <w:sz w:val="18"/>
                <w:szCs w:val="18"/>
              </w:rPr>
              <w:t>7</w:t>
            </w:r>
          </w:p>
        </w:tc>
        <w:tc>
          <w:tcPr>
            <w:tcW w:w="15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1A3A5C"/>
                <w:sz w:val="18"/>
                <w:szCs w:val="18"/>
              </w:rPr>
              <w:t>PowerHA</w:t>
            </w:r>
          </w:p>
        </w:tc>
        <w:tc>
          <w:tcPr>
            <w:tcW w:w="51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8"/>
                <w:szCs w:val="18"/>
              </w:rPr>
              <w:t>Level 3 ended on DEVAT (IPL_PRCS complete, all user SBS ended)</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b/>
                <w:bCs/>
                <w:color w:val="2E75B6"/>
                <w:sz w:val="18"/>
                <w:szCs w:val="18"/>
              </w:rPr>
              <w:t>8</w:t>
            </w:r>
          </w:p>
        </w:tc>
        <w:tc>
          <w:tcPr>
            <w:tcW w:w="15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1A3A5C"/>
                <w:sz w:val="18"/>
                <w:szCs w:val="18"/>
              </w:rPr>
              <w:t>PowerHA</w:t>
            </w:r>
          </w:p>
        </w:tc>
        <w:tc>
          <w:tcPr>
            <w:tcW w:w="51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8"/>
                <w:szCs w:val="18"/>
              </w:rPr>
              <w:t>QBATCH active on all 4 cluster nodes before switchover</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b/>
                <w:bCs/>
                <w:color w:val="2E75B6"/>
                <w:sz w:val="18"/>
                <w:szCs w:val="18"/>
              </w:rPr>
              <w:t>9</w:t>
            </w:r>
          </w:p>
        </w:tc>
        <w:tc>
          <w:tcPr>
            <w:tcW w:w="15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1A3A5C"/>
                <w:sz w:val="18"/>
                <w:szCs w:val="18"/>
              </w:rPr>
              <w:t>PowerHA</w:t>
            </w:r>
          </w:p>
        </w:tc>
        <w:tc>
          <w:tcPr>
            <w:tcW w:w="51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8"/>
                <w:szCs w:val="18"/>
              </w:rPr>
              <w:t>ASP copy verified current on DEVAHA (WRKCLU Option 10)</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b/>
                <w:bCs/>
                <w:color w:val="2E75B6"/>
                <w:sz w:val="18"/>
                <w:szCs w:val="18"/>
              </w:rPr>
              <w:t>10</w:t>
            </w:r>
          </w:p>
        </w:tc>
        <w:tc>
          <w:tcPr>
            <w:tcW w:w="15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1A3A5C"/>
                <w:sz w:val="18"/>
                <w:szCs w:val="18"/>
              </w:rPr>
              <w:t>PowerHA</w:t>
            </w:r>
          </w:p>
        </w:tc>
        <w:tc>
          <w:tcPr>
            <w:tcW w:w="51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8"/>
                <w:szCs w:val="18"/>
              </w:rPr>
              <w:t>DEVADEVCRG Resource Group confirmed Active with correct Primary (DEVAT) before switch</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b/>
                <w:bCs/>
                <w:color w:val="2E75B6"/>
                <w:sz w:val="18"/>
                <w:szCs w:val="18"/>
              </w:rPr>
              <w:t>11</w:t>
            </w:r>
          </w:p>
        </w:tc>
        <w:tc>
          <w:tcPr>
            <w:tcW w:w="15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1A3A5C"/>
                <w:sz w:val="18"/>
                <w:szCs w:val="18"/>
              </w:rPr>
              <w:t>PowerHA</w:t>
            </w:r>
          </w:p>
        </w:tc>
        <w:tc>
          <w:tcPr>
            <w:tcW w:w="51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8"/>
                <w:szCs w:val="18"/>
              </w:rPr>
              <w:t>PowerHA switchover initiated via WRKCLU Option 9 &gt; Option 3</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b/>
                <w:bCs/>
                <w:color w:val="2E75B6"/>
                <w:sz w:val="18"/>
                <w:szCs w:val="18"/>
              </w:rPr>
              <w:t>12</w:t>
            </w:r>
          </w:p>
        </w:tc>
        <w:tc>
          <w:tcPr>
            <w:tcW w:w="15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1A3A5C"/>
                <w:sz w:val="18"/>
                <w:szCs w:val="18"/>
              </w:rPr>
              <w:t>PowerHA</w:t>
            </w:r>
          </w:p>
        </w:tc>
        <w:tc>
          <w:tcPr>
            <w:tcW w:w="51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8"/>
                <w:szCs w:val="18"/>
              </w:rPr>
              <w:t>DEVAT ASP State = VARYOFF (~3:10 minutes)</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b/>
                <w:bCs/>
                <w:color w:val="2E75B6"/>
                <w:sz w:val="18"/>
                <w:szCs w:val="18"/>
              </w:rPr>
              <w:t>13</w:t>
            </w:r>
          </w:p>
        </w:tc>
        <w:tc>
          <w:tcPr>
            <w:tcW w:w="15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1A3A5C"/>
                <w:sz w:val="18"/>
                <w:szCs w:val="18"/>
              </w:rPr>
              <w:t>PowerHA</w:t>
            </w:r>
          </w:p>
        </w:tc>
        <w:tc>
          <w:tcPr>
            <w:tcW w:w="51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8"/>
                <w:szCs w:val="18"/>
              </w:rPr>
              <w:t>DEVAC ASP State = AVAILABLE (~1:23 minutes to varyon)</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b/>
                <w:bCs/>
                <w:color w:val="2E75B6"/>
                <w:sz w:val="18"/>
                <w:szCs w:val="18"/>
              </w:rPr>
              <w:t>14</w:t>
            </w:r>
          </w:p>
        </w:tc>
        <w:tc>
          <w:tcPr>
            <w:tcW w:w="15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1A3A5C"/>
                <w:sz w:val="18"/>
                <w:szCs w:val="18"/>
              </w:rPr>
              <w:t>PowerHA</w:t>
            </w:r>
          </w:p>
        </w:tc>
        <w:tc>
          <w:tcPr>
            <w:tcW w:w="51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8"/>
                <w:szCs w:val="18"/>
              </w:rPr>
              <w:t>DEVADEVCRG Primary Node now shows DEVAC/Equinix</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b/>
                <w:bCs/>
                <w:color w:val="2E75B6"/>
                <w:sz w:val="18"/>
                <w:szCs w:val="18"/>
              </w:rPr>
              <w:t>15</w:t>
            </w:r>
          </w:p>
        </w:tc>
        <w:tc>
          <w:tcPr>
            <w:tcW w:w="15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1A3A5C"/>
                <w:sz w:val="18"/>
                <w:szCs w:val="18"/>
              </w:rPr>
              <w:t>PowerHA</w:t>
            </w:r>
          </w:p>
        </w:tc>
        <w:tc>
          <w:tcPr>
            <w:tcW w:w="51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8"/>
                <w:szCs w:val="18"/>
              </w:rPr>
              <w:t>All 4 cluster nodes active after switchover</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b/>
                <w:bCs/>
                <w:color w:val="2E75B6"/>
                <w:sz w:val="18"/>
                <w:szCs w:val="18"/>
              </w:rPr>
              <w:t>16</w:t>
            </w:r>
          </w:p>
        </w:tc>
        <w:tc>
          <w:tcPr>
            <w:tcW w:w="15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1A3A5C"/>
                <w:sz w:val="18"/>
                <w:szCs w:val="18"/>
              </w:rPr>
              <w:t>Mimix</w:t>
            </w:r>
          </w:p>
        </w:tc>
        <w:tc>
          <w:tcPr>
            <w:tcW w:w="51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8"/>
                <w:szCs w:val="18"/>
              </w:rPr>
              <w:t>Mimix replication direction reversed — DEVAC is now source</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b/>
                <w:bCs/>
                <w:color w:val="2E75B6"/>
                <w:sz w:val="18"/>
                <w:szCs w:val="18"/>
              </w:rPr>
              <w:t>17</w:t>
            </w:r>
          </w:p>
        </w:tc>
        <w:tc>
          <w:tcPr>
            <w:tcW w:w="15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1A3A5C"/>
                <w:sz w:val="18"/>
                <w:szCs w:val="18"/>
              </w:rPr>
              <w:t>Keys</w:t>
            </w:r>
          </w:p>
        </w:tc>
        <w:tc>
          <w:tcPr>
            <w:tcW w:w="51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8"/>
                <w:szCs w:val="18"/>
              </w:rPr>
              <w:t>Spyview key applied on DEVAC (LPAR 002, SN# 7858201)</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b/>
                <w:bCs/>
                <w:color w:val="2E75B6"/>
                <w:sz w:val="18"/>
                <w:szCs w:val="18"/>
              </w:rPr>
              <w:t>18</w:t>
            </w:r>
          </w:p>
        </w:tc>
        <w:tc>
          <w:tcPr>
            <w:tcW w:w="15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1A3A5C"/>
                <w:sz w:val="18"/>
                <w:szCs w:val="18"/>
              </w:rPr>
              <w:t>Keys</w:t>
            </w:r>
          </w:p>
        </w:tc>
        <w:tc>
          <w:tcPr>
            <w:tcW w:w="51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8"/>
                <w:szCs w:val="18"/>
              </w:rPr>
              <w:t>QPMLPMGT/QSYS *PUBLIC = *USE (Spyview prerequisite)</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b/>
                <w:bCs/>
                <w:color w:val="2E75B6"/>
                <w:sz w:val="18"/>
                <w:szCs w:val="18"/>
              </w:rPr>
              <w:t>19</w:t>
            </w:r>
          </w:p>
        </w:tc>
        <w:tc>
          <w:tcPr>
            <w:tcW w:w="15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1A3A5C"/>
                <w:sz w:val="18"/>
                <w:szCs w:val="18"/>
              </w:rPr>
              <w:t>Keys</w:t>
            </w:r>
          </w:p>
        </w:tc>
        <w:tc>
          <w:tcPr>
            <w:tcW w:w="51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8"/>
                <w:szCs w:val="18"/>
              </w:rPr>
              <w:t>Turnover key applied — license renamed correctly (LicenseT2025 → License)</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b/>
                <w:bCs/>
                <w:color w:val="2E75B6"/>
                <w:sz w:val="18"/>
                <w:szCs w:val="18"/>
              </w:rPr>
              <w:t>20</w:t>
            </w:r>
          </w:p>
        </w:tc>
        <w:tc>
          <w:tcPr>
            <w:tcW w:w="15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1A3A5C"/>
                <w:sz w:val="18"/>
                <w:szCs w:val="18"/>
              </w:rPr>
              <w:t>Keys</w:t>
            </w:r>
          </w:p>
        </w:tc>
        <w:tc>
          <w:tcPr>
            <w:tcW w:w="51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8"/>
                <w:szCs w:val="18"/>
              </w:rPr>
              <w:t>TWRKLIC shows Turnover license as valid on DEVAC</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b/>
                <w:bCs/>
                <w:color w:val="2E75B6"/>
                <w:sz w:val="18"/>
                <w:szCs w:val="18"/>
              </w:rPr>
              <w:t>21</w:t>
            </w:r>
          </w:p>
        </w:tc>
        <w:tc>
          <w:tcPr>
            <w:tcW w:w="15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1A3A5C"/>
                <w:sz w:val="18"/>
                <w:szCs w:val="18"/>
              </w:rPr>
              <w:t>Keys</w:t>
            </w:r>
          </w:p>
        </w:tc>
        <w:tc>
          <w:tcPr>
            <w:tcW w:w="51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8"/>
                <w:szCs w:val="18"/>
              </w:rPr>
              <w:t>DSI DSIPROTECT data area created in DCL511DTA</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b/>
                <w:bCs/>
                <w:color w:val="2E75B6"/>
                <w:sz w:val="18"/>
                <w:szCs w:val="18"/>
              </w:rPr>
              <w:t>22</w:t>
            </w:r>
          </w:p>
        </w:tc>
        <w:tc>
          <w:tcPr>
            <w:tcW w:w="15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1A3A5C"/>
                <w:sz w:val="18"/>
                <w:szCs w:val="18"/>
              </w:rPr>
              <w:t>Keys</w:t>
            </w:r>
          </w:p>
        </w:tc>
        <w:tc>
          <w:tcPr>
            <w:tcW w:w="51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8"/>
                <w:szCs w:val="18"/>
              </w:rPr>
              <w:t>JDE key applied — DSPDTAARA JDFOBJA73/QJDF verified</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b/>
                <w:bCs/>
                <w:color w:val="2E75B6"/>
                <w:sz w:val="18"/>
                <w:szCs w:val="18"/>
              </w:rPr>
              <w:t>23</w:t>
            </w:r>
          </w:p>
        </w:tc>
        <w:tc>
          <w:tcPr>
            <w:tcW w:w="15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1A3A5C"/>
                <w:sz w:val="18"/>
                <w:szCs w:val="18"/>
              </w:rPr>
              <w:t>Keys</w:t>
            </w:r>
          </w:p>
        </w:tc>
        <w:tc>
          <w:tcPr>
            <w:tcW w:w="51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8"/>
                <w:szCs w:val="18"/>
              </w:rPr>
              <w:t>JDE_IDX_1 through _4 deleted and rebuilt (WRKOBJ QGPL/JDE* shows 4 entries)</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b/>
                <w:bCs/>
                <w:color w:val="2E75B6"/>
                <w:sz w:val="18"/>
                <w:szCs w:val="18"/>
              </w:rPr>
              <w:t>24</w:t>
            </w:r>
          </w:p>
        </w:tc>
        <w:tc>
          <w:tcPr>
            <w:tcW w:w="15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1A3A5C"/>
                <w:sz w:val="18"/>
                <w:szCs w:val="18"/>
              </w:rPr>
              <w:t>Keys</w:t>
            </w:r>
          </w:p>
        </w:tc>
        <w:tc>
          <w:tcPr>
            <w:tcW w:w="51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8"/>
                <w:szCs w:val="18"/>
              </w:rPr>
              <w:t>DXRECOV install key applied (G90 &gt; G94 &gt; F6 verified)</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b/>
                <w:bCs/>
                <w:color w:val="2E75B6"/>
                <w:sz w:val="18"/>
                <w:szCs w:val="18"/>
              </w:rPr>
              <w:t>25</w:t>
            </w:r>
          </w:p>
        </w:tc>
        <w:tc>
          <w:tcPr>
            <w:tcW w:w="15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1A3A5C"/>
                <w:sz w:val="18"/>
                <w:szCs w:val="18"/>
              </w:rPr>
              <w:t>Keys</w:t>
            </w:r>
          </w:p>
        </w:tc>
        <w:tc>
          <w:tcPr>
            <w:tcW w:w="51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8"/>
                <w:szCs w:val="18"/>
              </w:rPr>
              <w:t>FastFax NetServer name updated to DEVAN (all uppercase)</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b/>
                <w:bCs/>
                <w:color w:val="2E75B6"/>
                <w:sz w:val="18"/>
                <w:szCs w:val="18"/>
              </w:rPr>
              <w:t>26</w:t>
            </w:r>
          </w:p>
        </w:tc>
        <w:tc>
          <w:tcPr>
            <w:tcW w:w="15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1A3A5C"/>
                <w:sz w:val="18"/>
                <w:szCs w:val="18"/>
              </w:rPr>
              <w:t>Keys</w:t>
            </w:r>
          </w:p>
        </w:tc>
        <w:tc>
          <w:tcPr>
            <w:tcW w:w="51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8"/>
                <w:szCs w:val="18"/>
              </w:rPr>
              <w:t>FastFax license row inserted into FFXLDV</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b/>
                <w:bCs/>
                <w:color w:val="2E75B6"/>
                <w:sz w:val="18"/>
                <w:szCs w:val="18"/>
              </w:rPr>
              <w:t>27</w:t>
            </w:r>
          </w:p>
        </w:tc>
        <w:tc>
          <w:tcPr>
            <w:tcW w:w="15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1A3A5C"/>
                <w:sz w:val="18"/>
                <w:szCs w:val="18"/>
              </w:rPr>
              <w:t>Keys</w:t>
            </w:r>
          </w:p>
        </w:tc>
        <w:tc>
          <w:tcPr>
            <w:tcW w:w="51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8"/>
                <w:szCs w:val="18"/>
              </w:rPr>
              <w:t>FastFax subsystem active — WRKFAXJOB F9 shows Active</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b/>
                <w:bCs/>
                <w:color w:val="2E75B6"/>
                <w:sz w:val="18"/>
                <w:szCs w:val="18"/>
              </w:rPr>
              <w:t>28</w:t>
            </w:r>
          </w:p>
        </w:tc>
        <w:tc>
          <w:tcPr>
            <w:tcW w:w="15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1A3A5C"/>
                <w:sz w:val="18"/>
                <w:szCs w:val="18"/>
              </w:rPr>
              <w:t>Robot</w:t>
            </w:r>
          </w:p>
        </w:tc>
        <w:tc>
          <w:tcPr>
            <w:tcW w:w="51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8"/>
                <w:szCs w:val="18"/>
              </w:rPr>
              <w:t>RBTSLEEPER subsystem restarted after RSLSETOID</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b/>
                <w:bCs/>
                <w:color w:val="2E75B6"/>
                <w:sz w:val="18"/>
                <w:szCs w:val="18"/>
              </w:rPr>
              <w:t>29</w:t>
            </w:r>
          </w:p>
        </w:tc>
        <w:tc>
          <w:tcPr>
            <w:tcW w:w="15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1A3A5C"/>
                <w:sz w:val="18"/>
                <w:szCs w:val="18"/>
              </w:rPr>
              <w:t>Robot</w:t>
            </w:r>
          </w:p>
        </w:tc>
        <w:tc>
          <w:tcPr>
            <w:tcW w:w="51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8"/>
                <w:szCs w:val="18"/>
              </w:rPr>
              <w:t>Robot Schedule missed jobs reviewed for DR window</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b/>
                <w:bCs/>
                <w:color w:val="2E75B6"/>
                <w:sz w:val="18"/>
                <w:szCs w:val="18"/>
              </w:rPr>
              <w:t>30</w:t>
            </w:r>
          </w:p>
        </w:tc>
        <w:tc>
          <w:tcPr>
            <w:tcW w:w="15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1A3A5C"/>
                <w:sz w:val="18"/>
                <w:szCs w:val="18"/>
              </w:rPr>
              <w:t>Robot</w:t>
            </w:r>
          </w:p>
        </w:tc>
        <w:tc>
          <w:tcPr>
            <w:tcW w:w="51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8"/>
                <w:szCs w:val="18"/>
              </w:rPr>
              <w:t>Robot ETS40080 executed to reset GUI host node</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b/>
                <w:bCs/>
                <w:color w:val="2E75B6"/>
                <w:sz w:val="18"/>
                <w:szCs w:val="18"/>
              </w:rPr>
              <w:t>31</w:t>
            </w:r>
          </w:p>
        </w:tc>
        <w:tc>
          <w:tcPr>
            <w:tcW w:w="15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1A3A5C"/>
                <w:sz w:val="18"/>
                <w:szCs w:val="18"/>
              </w:rPr>
              <w:t>Host Tables</w:t>
            </w:r>
          </w:p>
        </w:tc>
        <w:tc>
          <w:tcPr>
            <w:tcW w:w="51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8"/>
                <w:szCs w:val="18"/>
              </w:rPr>
              <w:t>Host tables updated on PA, PE, DEVAC, DEVAT, DSST, DSSC</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b/>
                <w:bCs/>
                <w:color w:val="2E75B6"/>
                <w:sz w:val="18"/>
                <w:szCs w:val="18"/>
              </w:rPr>
              <w:t>32</w:t>
            </w:r>
          </w:p>
        </w:tc>
        <w:tc>
          <w:tcPr>
            <w:tcW w:w="15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1A3A5C"/>
                <w:sz w:val="18"/>
                <w:szCs w:val="18"/>
              </w:rPr>
              <w:t>Level 3</w:t>
            </w:r>
          </w:p>
        </w:tc>
        <w:tc>
          <w:tcPr>
            <w:tcW w:w="51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8"/>
                <w:szCs w:val="18"/>
              </w:rPr>
              <w:t>Level 3 started on DEVAC (Option 13 — IPL_PRCS complete)</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b/>
                <w:bCs/>
                <w:color w:val="2E75B6"/>
                <w:sz w:val="18"/>
                <w:szCs w:val="18"/>
              </w:rPr>
              <w:t>33</w:t>
            </w:r>
          </w:p>
        </w:tc>
        <w:tc>
          <w:tcPr>
            <w:tcW w:w="15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1A3A5C"/>
                <w:sz w:val="18"/>
                <w:szCs w:val="18"/>
              </w:rPr>
              <w:t>Post-DR</w:t>
            </w:r>
          </w:p>
        </w:tc>
        <w:tc>
          <w:tcPr>
            <w:tcW w:w="51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8"/>
                <w:szCs w:val="18"/>
              </w:rPr>
              <w:t>ETS51000 running (Splunk stats active)</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b/>
                <w:bCs/>
                <w:color w:val="2E75B6"/>
                <w:sz w:val="18"/>
                <w:szCs w:val="18"/>
              </w:rPr>
              <w:t>34</w:t>
            </w:r>
          </w:p>
        </w:tc>
        <w:tc>
          <w:tcPr>
            <w:tcW w:w="15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1A3A5C"/>
                <w:sz w:val="18"/>
                <w:szCs w:val="18"/>
              </w:rPr>
              <w:t>Post-DR</w:t>
            </w:r>
          </w:p>
        </w:tc>
        <w:tc>
          <w:tcPr>
            <w:tcW w:w="51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8"/>
                <w:szCs w:val="18"/>
              </w:rPr>
              <w:t>OPS90100 DO executed (DSI restart)</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b/>
                <w:bCs/>
                <w:color w:val="2E75B6"/>
                <w:sz w:val="18"/>
                <w:szCs w:val="18"/>
              </w:rPr>
              <w:t>35</w:t>
            </w:r>
          </w:p>
        </w:tc>
        <w:tc>
          <w:tcPr>
            <w:tcW w:w="15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1A3A5C"/>
                <w:sz w:val="18"/>
                <w:szCs w:val="18"/>
              </w:rPr>
              <w:t>Post-DR</w:t>
            </w:r>
          </w:p>
        </w:tc>
        <w:tc>
          <w:tcPr>
            <w:tcW w:w="51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8"/>
                <w:szCs w:val="18"/>
              </w:rPr>
              <w:t>ETS50020 DO executed (terminated job cleanup)</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b/>
                <w:bCs/>
                <w:color w:val="2E75B6"/>
                <w:sz w:val="18"/>
                <w:szCs w:val="18"/>
              </w:rPr>
              <w:t>36</w:t>
            </w:r>
          </w:p>
        </w:tc>
        <w:tc>
          <w:tcPr>
            <w:tcW w:w="15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1A3A5C"/>
                <w:sz w:val="18"/>
                <w:szCs w:val="18"/>
              </w:rPr>
              <w:t>Post-DR</w:t>
            </w:r>
          </w:p>
        </w:tc>
        <w:tc>
          <w:tcPr>
            <w:tcW w:w="51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8"/>
                <w:szCs w:val="18"/>
              </w:rPr>
              <w:t>ETS50001 DO executed (APPADMIN &amp; SYSMGMT disabled)</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b/>
                <w:bCs/>
                <w:color w:val="2E75B6"/>
                <w:sz w:val="18"/>
                <w:szCs w:val="18"/>
              </w:rPr>
              <w:t>37</w:t>
            </w:r>
          </w:p>
        </w:tc>
        <w:tc>
          <w:tcPr>
            <w:tcW w:w="15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1A3A5C"/>
                <w:sz w:val="18"/>
                <w:szCs w:val="18"/>
              </w:rPr>
              <w:t>Services</w:t>
            </w:r>
          </w:p>
        </w:tc>
        <w:tc>
          <w:tcPr>
            <w:tcW w:w="51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8"/>
                <w:szCs w:val="18"/>
              </w:rPr>
              <w:t>QNTC connected — all MKDIR directories exist</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b/>
                <w:bCs/>
                <w:color w:val="2E75B6"/>
                <w:sz w:val="18"/>
                <w:szCs w:val="18"/>
              </w:rPr>
              <w:t>38</w:t>
            </w:r>
          </w:p>
        </w:tc>
        <w:tc>
          <w:tcPr>
            <w:tcW w:w="15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1A3A5C"/>
                <w:sz w:val="18"/>
                <w:szCs w:val="18"/>
              </w:rPr>
              <w:t>Services</w:t>
            </w:r>
          </w:p>
        </w:tc>
        <w:tc>
          <w:tcPr>
            <w:tcW w:w="51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8"/>
                <w:szCs w:val="18"/>
              </w:rPr>
              <w:t>FormsPrint virtual queues started (INVOICEPDF, INVOICERPRT, FAX)</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b/>
                <w:bCs/>
                <w:color w:val="2E75B6"/>
                <w:sz w:val="18"/>
                <w:szCs w:val="18"/>
              </w:rPr>
              <w:t>39</w:t>
            </w:r>
          </w:p>
        </w:tc>
        <w:tc>
          <w:tcPr>
            <w:tcW w:w="15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1A3A5C"/>
                <w:sz w:val="18"/>
                <w:szCs w:val="18"/>
              </w:rPr>
              <w:t>Services</w:t>
            </w:r>
          </w:p>
        </w:tc>
        <w:tc>
          <w:tcPr>
            <w:tcW w:w="51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8"/>
                <w:szCs w:val="18"/>
              </w:rPr>
              <w:t>SMTP running under QSYSWRK</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b/>
                <w:bCs/>
                <w:color w:val="2E75B6"/>
                <w:sz w:val="18"/>
                <w:szCs w:val="18"/>
              </w:rPr>
              <w:t>40</w:t>
            </w:r>
          </w:p>
        </w:tc>
        <w:tc>
          <w:tcPr>
            <w:tcW w:w="15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1A3A5C"/>
                <w:sz w:val="18"/>
                <w:szCs w:val="18"/>
              </w:rPr>
              <w:t>GoldenGate</w:t>
            </w:r>
          </w:p>
        </w:tc>
        <w:tc>
          <w:tcPr>
            <w:tcW w:w="51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8"/>
                <w:szCs w:val="18"/>
              </w:rPr>
              <w:t>GoldenGate subsystem started on DEVAC (STRSBS GOLDENGATE)</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b/>
                <w:bCs/>
                <w:color w:val="2E75B6"/>
                <w:sz w:val="18"/>
                <w:szCs w:val="18"/>
              </w:rPr>
              <w:t>41</w:t>
            </w:r>
          </w:p>
        </w:tc>
        <w:tc>
          <w:tcPr>
            <w:tcW w:w="15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1A3A5C"/>
                <w:sz w:val="18"/>
                <w:szCs w:val="18"/>
              </w:rPr>
              <w:t>GoldenGate</w:t>
            </w:r>
          </w:p>
        </w:tc>
        <w:tc>
          <w:tcPr>
            <w:tcW w:w="51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8"/>
                <w:szCs w:val="18"/>
              </w:rPr>
              <w:t>GoldenGate Manager started (ETS95010)</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b/>
                <w:bCs/>
                <w:color w:val="2E75B6"/>
                <w:sz w:val="18"/>
                <w:szCs w:val="18"/>
              </w:rPr>
              <w:t>42</w:t>
            </w:r>
          </w:p>
        </w:tc>
        <w:tc>
          <w:tcPr>
            <w:tcW w:w="15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1A3A5C"/>
                <w:sz w:val="18"/>
                <w:szCs w:val="18"/>
              </w:rPr>
              <w:t>GoldenGate</w:t>
            </w:r>
          </w:p>
        </w:tc>
        <w:tc>
          <w:tcPr>
            <w:tcW w:w="51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8"/>
                <w:szCs w:val="18"/>
              </w:rPr>
              <w:t>All GoldenGate processes started (ETS95030)</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b/>
                <w:bCs/>
                <w:color w:val="2E75B6"/>
                <w:sz w:val="18"/>
                <w:szCs w:val="18"/>
              </w:rPr>
              <w:t>43</w:t>
            </w:r>
          </w:p>
        </w:tc>
        <w:tc>
          <w:tcPr>
            <w:tcW w:w="15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1A3A5C"/>
                <w:sz w:val="18"/>
                <w:szCs w:val="18"/>
              </w:rPr>
              <w:t>Robot Network</w:t>
            </w:r>
          </w:p>
        </w:tc>
        <w:tc>
          <w:tcPr>
            <w:tcW w:w="51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8"/>
                <w:szCs w:val="18"/>
              </w:rPr>
              <w:t>Robot Network GUI node configured and all nodes GREEN</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b/>
                <w:bCs/>
                <w:color w:val="2E75B6"/>
                <w:sz w:val="18"/>
                <w:szCs w:val="18"/>
              </w:rPr>
              <w:t>44</w:t>
            </w:r>
          </w:p>
        </w:tc>
        <w:tc>
          <w:tcPr>
            <w:tcW w:w="15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1A3A5C"/>
                <w:sz w:val="18"/>
                <w:szCs w:val="18"/>
              </w:rPr>
              <w:t>Sign-off</w:t>
            </w:r>
          </w:p>
        </w:tc>
        <w:tc>
          <w:tcPr>
            <w:tcW w:w="51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8"/>
                <w:szCs w:val="18"/>
              </w:rPr>
              <w:t>DR Test Team has validated and signed off</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bl>
    <w:p>
      <w:pPr>
        <w:pStyle w:val="Normal"/>
        <w:rPr/>
      </w:pPr>
      <w:r>
        <w:rPr/>
      </w:r>
      <w:r>
        <w:br w:type="page"/>
      </w:r>
    </w:p>
    <w:p>
      <w:pPr>
        <w:pStyle w:val="Heading1"/>
        <w:shd w:val="clear" w:fill="0D2340"/>
        <w:spacing w:before="0" w:after="0"/>
        <w:ind w:left="80"/>
        <w:rPr/>
      </w:pPr>
      <w:bookmarkStart w:id="41" w:name="__RefHeading___Toc4553_3284268967"/>
      <w:bookmarkEnd w:id="41"/>
      <w:r>
        <w:rPr>
          <w:rFonts w:eastAsia="Arial" w:cs="Arial" w:ascii="Arial" w:hAnsi="Arial"/>
          <w:b/>
          <w:bCs/>
          <w:color w:val="2E75B6"/>
          <w:sz w:val="22"/>
          <w:szCs w:val="22"/>
        </w:rPr>
        <w:t>20</w:t>
      </w:r>
      <w:r>
        <w:rPr>
          <w:rFonts w:eastAsia="Arial" w:cs="Arial" w:ascii="Arial" w:hAnsi="Arial"/>
          <w:sz w:val="22"/>
          <w:szCs w:val="22"/>
        </w:rPr>
        <w:t xml:space="preserve">   </w:t>
      </w:r>
      <w:r>
        <w:rPr>
          <w:rFonts w:eastAsia="Arial" w:cs="Arial" w:ascii="Arial" w:hAnsi="Arial"/>
          <w:b/>
          <w:bCs/>
          <w:color w:val="FFFFFF"/>
          <w:sz w:val="26"/>
          <w:szCs w:val="26"/>
        </w:rPr>
        <w:t>KNOWN ISSUES &amp; WORKAROUNDS</w:t>
      </w:r>
    </w:p>
    <w:p>
      <w:pPr>
        <w:pStyle w:val="Normal"/>
        <w:shd w:val="clear" w:fill="1F4E79"/>
        <w:spacing w:before="0" w:after="160"/>
        <w:ind w:left="80"/>
        <w:rPr/>
      </w:pPr>
      <w:r>
        <w:rPr>
          <w:rFonts w:eastAsia="Arial" w:cs="Arial"/>
          <w:i/>
          <w:iCs/>
          <w:color w:val="EBF3FB"/>
          <w:sz w:val="18"/>
          <w:szCs w:val="18"/>
        </w:rPr>
        <w:t>Observations From Previous Role Swap Events</w:t>
      </w:r>
    </w:p>
    <w:tbl>
      <w:tblPr>
        <w:tblW w:w="9360" w:type="dxa"/>
        <w:jc w:val="left"/>
        <w:tblInd w:w="0" w:type="dxa"/>
        <w:tblLayout w:type="fixed"/>
        <w:tblCellMar>
          <w:top w:w="80" w:type="dxa"/>
          <w:left w:w="140" w:type="dxa"/>
          <w:bottom w:w="80" w:type="dxa"/>
          <w:right w:w="140" w:type="dxa"/>
        </w:tblCellMar>
      </w:tblPr>
      <w:tblGrid>
        <w:gridCol w:w="2700"/>
        <w:gridCol w:w="4759"/>
        <w:gridCol w:w="1901"/>
      </w:tblGrid>
      <w:tr>
        <w:trPr>
          <w:tblHeader w:val="true"/>
          <w:cantSplit w:val="true"/>
        </w:trPr>
        <w:tc>
          <w:tcPr>
            <w:tcW w:w="27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Issue</w:t>
            </w:r>
          </w:p>
        </w:tc>
        <w:tc>
          <w:tcPr>
            <w:tcW w:w="4759"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Workaround / Resolution</w:t>
            </w:r>
          </w:p>
        </w:tc>
        <w:tc>
          <w:tcPr>
            <w:tcW w:w="1901"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Owner</w:t>
            </w:r>
          </w:p>
        </w:tc>
      </w:tr>
      <w:tr>
        <w:trPr>
          <w:cantSplit w:val="true"/>
        </w:trPr>
        <w:tc>
          <w:tcPr>
            <w:tcW w:w="27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FastFax ODBC starts on slave but not master after STRTCPSVR</w:t>
            </w:r>
          </w:p>
        </w:tc>
        <w:tc>
          <w:tcPr>
            <w:tcW w:w="475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Reboot the FastFax server, OR: Registry HKEY_CURRENT_USER &gt; SOFTWARE &gt; FASTFAX/Lan &gt; environments &gt; envid_001, change 'EnvDrive' value, then refresh</w:t>
            </w:r>
          </w:p>
        </w:tc>
        <w:tc>
          <w:tcPr>
            <w:tcW w:w="190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FastFax / SYSMGMT</w:t>
            </w:r>
          </w:p>
        </w:tc>
      </w:tr>
      <w:tr>
        <w:trPr>
          <w:cantSplit w:val="true"/>
        </w:trPr>
        <w:tc>
          <w:tcPr>
            <w:tcW w:w="27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FastFax subsystem stops immediately after STRFFX</w:t>
            </w:r>
          </w:p>
        </w:tc>
        <w:tc>
          <w:tcPr>
            <w:tcW w:w="475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Verify the NetServer name in FFXTOOLS Option 87 — must be ALL UPPERCASE, no spaces, no typos</w:t>
            </w:r>
          </w:p>
        </w:tc>
        <w:tc>
          <w:tcPr>
            <w:tcW w:w="190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FastFax / SYSMGMT</w:t>
            </w:r>
          </w:p>
        </w:tc>
      </w:tr>
      <w:tr>
        <w:trPr>
          <w:cantSplit w:val="true"/>
        </w:trPr>
        <w:tc>
          <w:tcPr>
            <w:tcW w:w="27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QPMLPMGT/QSYS *PUBLIC = *EXCLUDE causes Spyview failure</w:t>
            </w:r>
          </w:p>
        </w:tc>
        <w:tc>
          <w:tcPr>
            <w:tcW w:w="475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Change authority: QPMLPMGT/QSYS *PUBLIC → *USE before applying the Spyview key</w:t>
            </w:r>
          </w:p>
        </w:tc>
        <w:tc>
          <w:tcPr>
            <w:tcW w:w="190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Spyview / SYSMGMT</w:t>
            </w:r>
          </w:p>
        </w:tc>
      </w:tr>
      <w:tr>
        <w:trPr>
          <w:cantSplit w:val="true"/>
        </w:trPr>
        <w:tc>
          <w:tcPr>
            <w:tcW w:w="27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PowerHA session drops during switchover (Switch Pending state)</w:t>
            </w:r>
          </w:p>
        </w:tc>
        <w:tc>
          <w:tcPr>
            <w:tcW w:w="475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Expected behavior. Session reconnect is required. The system self-corrects after IASP varyoff/varyon completes.</w:t>
            </w:r>
          </w:p>
        </w:tc>
        <w:tc>
          <w:tcPr>
            <w:tcW w:w="190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PowerHA / QSECOFR</w:t>
            </w:r>
          </w:p>
        </w:tc>
      </w:tr>
      <w:tr>
        <w:trPr>
          <w:cantSplit w:val="true"/>
        </w:trPr>
        <w:tc>
          <w:tcPr>
            <w:tcW w:w="27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DEVAT ASP State stuck or slow to VARYOFF</w:t>
            </w:r>
          </w:p>
        </w:tc>
        <w:tc>
          <w:tcPr>
            <w:tcW w:w="475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Monitor WRKASPJOB under QSYSWRK. Expected: ~3:10 minutes. If stuck beyond 10 minutes, escalate to IBM support.</w:t>
            </w:r>
          </w:p>
        </w:tc>
        <w:tc>
          <w:tcPr>
            <w:tcW w:w="190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PowerHA / QSECOFR</w:t>
            </w:r>
          </w:p>
        </w:tc>
      </w:tr>
      <w:tr>
        <w:trPr>
          <w:cantSplit w:val="true"/>
        </w:trPr>
        <w:tc>
          <w:tcPr>
            <w:tcW w:w="27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Robot Network GUI shows nodes in GREY</w:t>
            </w:r>
          </w:p>
        </w:tc>
        <w:tc>
          <w:tcPr>
            <w:tcW w:w="475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Go to PRODE: RBTNETLIB/RBNDLTNODE F4 → input DEVA to remove the stale node reference</w:t>
            </w:r>
          </w:p>
        </w:tc>
        <w:tc>
          <w:tcPr>
            <w:tcW w:w="190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Robot Network / DR Lead</w:t>
            </w:r>
          </w:p>
        </w:tc>
      </w:tr>
      <w:tr>
        <w:trPr>
          <w:cantSplit w:val="true"/>
        </w:trPr>
        <w:tc>
          <w:tcPr>
            <w:tcW w:w="27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JDE indexes locked — cannot delete IDX_1 through _4</w:t>
            </w:r>
          </w:p>
        </w:tc>
        <w:tc>
          <w:tcPr>
            <w:tcW w:w="475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Use WRKOBJ OBJ(QGPL/JDE*) OBJTYPE(*USRIDX) to identify locks. End locking jobs before deletion.</w:t>
            </w:r>
          </w:p>
        </w:tc>
        <w:tc>
          <w:tcPr>
            <w:tcW w:w="190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JDE / QSECOFR</w:t>
            </w:r>
          </w:p>
        </w:tc>
      </w:tr>
      <w:tr>
        <w:trPr>
          <w:cantSplit w:val="true"/>
        </w:trPr>
        <w:tc>
          <w:tcPr>
            <w:tcW w:w="27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FastFax license key not accepted (INSERT fails)</w:t>
            </w:r>
          </w:p>
        </w:tc>
        <w:tc>
          <w:tcPr>
            <w:tcW w:w="475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Increment the FDVTP2 value: 900000098 → 900000099 → 900000100, etc. until accepted</w:t>
            </w:r>
          </w:p>
        </w:tc>
        <w:tc>
          <w:tcPr>
            <w:tcW w:w="190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FastFax / SYSMGMT</w:t>
            </w:r>
          </w:p>
        </w:tc>
      </w:tr>
      <w:tr>
        <w:trPr>
          <w:cantSplit w:val="true"/>
        </w:trPr>
        <w:tc>
          <w:tcPr>
            <w:tcW w:w="27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Mimix replication not switching direction</w:t>
            </w:r>
          </w:p>
        </w:tc>
        <w:tc>
          <w:tcPr>
            <w:tcW w:w="475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Contact the Mimix Administrator (FS7300) immediately. Do not proceed with DR completion until replication is verified.</w:t>
            </w:r>
          </w:p>
        </w:tc>
        <w:tc>
          <w:tcPr>
            <w:tcW w:w="190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Mimix / FS7300</w:t>
            </w:r>
          </w:p>
        </w:tc>
      </w:tr>
    </w:tbl>
    <w:p>
      <w:pPr>
        <w:pStyle w:val="Normal"/>
        <w:rPr/>
      </w:pPr>
      <w:r>
        <w:rPr/>
      </w:r>
      <w:r>
        <w:br w:type="page"/>
      </w:r>
    </w:p>
    <w:p>
      <w:pPr>
        <w:pStyle w:val="Heading1"/>
        <w:shd w:val="clear" w:fill="0D2340"/>
        <w:spacing w:before="0" w:after="0"/>
        <w:ind w:left="80"/>
        <w:rPr/>
      </w:pPr>
      <w:bookmarkStart w:id="42" w:name="__RefHeading___Toc4555_3284268967"/>
      <w:bookmarkEnd w:id="42"/>
      <w:r>
        <w:rPr>
          <w:rFonts w:eastAsia="Arial" w:cs="Arial" w:ascii="Arial" w:hAnsi="Arial"/>
          <w:b/>
          <w:bCs/>
          <w:color w:val="2E75B6"/>
          <w:sz w:val="22"/>
          <w:szCs w:val="22"/>
        </w:rPr>
        <w:t>21</w:t>
      </w:r>
      <w:r>
        <w:rPr>
          <w:rFonts w:eastAsia="Arial" w:cs="Arial" w:ascii="Arial" w:hAnsi="Arial"/>
          <w:sz w:val="22"/>
          <w:szCs w:val="22"/>
        </w:rPr>
        <w:t xml:space="preserve">   </w:t>
      </w:r>
      <w:r>
        <w:rPr>
          <w:rFonts w:eastAsia="Arial" w:cs="Arial" w:ascii="Arial" w:hAnsi="Arial"/>
          <w:b/>
          <w:bCs/>
          <w:color w:val="FFFFFF"/>
          <w:sz w:val="26"/>
          <w:szCs w:val="26"/>
        </w:rPr>
        <w:t>SOFTWARE LICENSE KEY REFERENCE</w:t>
      </w:r>
    </w:p>
    <w:p>
      <w:pPr>
        <w:pStyle w:val="Normal"/>
        <w:shd w:val="clear" w:fill="1F4E79"/>
        <w:spacing w:before="0" w:after="160"/>
        <w:ind w:left="80"/>
        <w:rPr/>
      </w:pPr>
      <w:r>
        <w:rPr>
          <w:rFonts w:eastAsia="Arial" w:cs="Arial"/>
          <w:i/>
          <w:iCs/>
          <w:color w:val="EBF3FB"/>
          <w:sz w:val="18"/>
          <w:szCs w:val="18"/>
        </w:rPr>
        <w:t>Storage Location &amp; Key Type by Product</w:t>
      </w:r>
    </w:p>
    <w:p>
      <w:pPr>
        <w:pStyle w:val="Normal"/>
        <w:spacing w:before="0" w:after="120"/>
        <w:rPr/>
      </w:pPr>
      <w:r>
        <w:rPr>
          <w:rFonts w:eastAsia="Arial" w:cs="Arial"/>
          <w:i w:val="false"/>
          <w:iCs w:val="false"/>
          <w:color w:val="44546A"/>
          <w:sz w:val="20"/>
          <w:szCs w:val="20"/>
        </w:rPr>
        <w:t>All keys marked SYSBAS are outside the IASP and must be applied manually after switchover. Keys stored in the IASP (Robot Schedule) or IFS (Turnover) replicate automatically via PowerHA.</w:t>
      </w:r>
    </w:p>
    <w:tbl>
      <w:tblPr>
        <w:tblW w:w="9360" w:type="dxa"/>
        <w:jc w:val="left"/>
        <w:tblInd w:w="0" w:type="dxa"/>
        <w:tblLayout w:type="fixed"/>
        <w:tblCellMar>
          <w:top w:w="80" w:type="dxa"/>
          <w:left w:w="140" w:type="dxa"/>
          <w:bottom w:w="80" w:type="dxa"/>
          <w:right w:w="140" w:type="dxa"/>
        </w:tblCellMar>
      </w:tblPr>
      <w:tblGrid>
        <w:gridCol w:w="1500"/>
        <w:gridCol w:w="1100"/>
        <w:gridCol w:w="1300"/>
        <w:gridCol w:w="4059"/>
        <w:gridCol w:w="1401"/>
      </w:tblGrid>
      <w:tr>
        <w:trPr>
          <w:tblHeader w:val="true"/>
          <w:cantSplit w:val="true"/>
        </w:trPr>
        <w:tc>
          <w:tcPr>
            <w:tcW w:w="1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Product</w:t>
            </w:r>
          </w:p>
        </w:tc>
        <w:tc>
          <w:tcPr>
            <w:tcW w:w="11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Storage</w:t>
            </w:r>
          </w:p>
        </w:tc>
        <w:tc>
          <w:tcPr>
            <w:tcW w:w="13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Key Type</w:t>
            </w:r>
          </w:p>
        </w:tc>
        <w:tc>
          <w:tcPr>
            <w:tcW w:w="4059"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Command / Key</w:t>
            </w:r>
          </w:p>
        </w:tc>
        <w:tc>
          <w:tcPr>
            <w:tcW w:w="1401"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Notes</w:t>
            </w:r>
          </w:p>
        </w:tc>
      </w:tr>
      <w:tr>
        <w:trPr>
          <w:cantSplit w:val="true"/>
        </w:trPr>
        <w:tc>
          <w:tcPr>
            <w:tcW w:w="15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Abstract</w:t>
            </w:r>
          </w:p>
        </w:tc>
        <w:tc>
          <w:tcPr>
            <w:tcW w:w="11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SYSBAS</w:t>
            </w:r>
          </w:p>
        </w:tc>
        <w:tc>
          <w:tcPr>
            <w:tcW w:w="13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Permanent</w:t>
            </w:r>
          </w:p>
        </w:tc>
        <w:tc>
          <w:tcPr>
            <w:tcW w:w="405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b w:val="false"/>
                <w:bCs w:val="false"/>
                <w:color w:val="44546A"/>
                <w:sz w:val="19"/>
                <w:szCs w:val="19"/>
              </w:rPr>
              <w:t>ADDLIBLE ABSTRACT</w:t>
            </w:r>
          </w:p>
          <w:p>
            <w:pPr>
              <w:pStyle w:val="Normal"/>
              <w:spacing w:before="0" w:after="40"/>
              <w:rPr/>
            </w:pPr>
            <w:r>
              <w:rPr>
                <w:rFonts w:eastAsia="Arial" w:cs="Arial"/>
                <w:b w:val="false"/>
                <w:bCs w:val="false"/>
                <w:color w:val="44546A"/>
                <w:sz w:val="19"/>
                <w:szCs w:val="19"/>
              </w:rPr>
              <w:t>APPERM</w:t>
            </w:r>
          </w:p>
          <w:p>
            <w:pPr>
              <w:pStyle w:val="Normal"/>
              <w:spacing w:before="0" w:after="0"/>
              <w:rPr/>
            </w:pPr>
            <w:r>
              <w:rPr>
                <w:rFonts w:eastAsia="Arial" w:cs="Arial"/>
                <w:b w:val="false"/>
                <w:bCs w:val="false"/>
                <w:color w:val="44546A"/>
                <w:sz w:val="19"/>
                <w:szCs w:val="19"/>
              </w:rPr>
              <w:t>*FJ96D48951J5H2*Q91T3QV8T6AQ0BE4QLAPKNCV298V3427C+4TWV4K*J*1TI+PPWMTZM6MBM1</w:t>
            </w:r>
          </w:p>
        </w:tc>
        <w:tc>
          <w:tcPr>
            <w:tcW w:w="140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Apply before DR</w:t>
            </w:r>
          </w:p>
        </w:tc>
      </w:tr>
      <w:tr>
        <w:trPr>
          <w:cantSplit w:val="true"/>
        </w:trPr>
        <w:tc>
          <w:tcPr>
            <w:tcW w:w="15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Esend</w:t>
            </w:r>
          </w:p>
        </w:tc>
        <w:tc>
          <w:tcPr>
            <w:tcW w:w="11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SYSBAS</w:t>
            </w:r>
          </w:p>
        </w:tc>
        <w:tc>
          <w:tcPr>
            <w:tcW w:w="13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Permanent</w:t>
            </w:r>
          </w:p>
        </w:tc>
        <w:tc>
          <w:tcPr>
            <w:tcW w:w="405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b w:val="false"/>
                <w:bCs w:val="false"/>
                <w:color w:val="44546A"/>
                <w:sz w:val="19"/>
                <w:szCs w:val="19"/>
              </w:rPr>
              <w:t>ADDLIBLE ESEND</w:t>
            </w:r>
          </w:p>
          <w:p>
            <w:pPr>
              <w:pStyle w:val="Normal"/>
              <w:spacing w:before="0" w:after="40"/>
              <w:rPr/>
            </w:pPr>
            <w:r>
              <w:rPr>
                <w:rFonts w:eastAsia="Arial" w:cs="Arial"/>
                <w:b w:val="false"/>
                <w:bCs w:val="false"/>
                <w:color w:val="44546A"/>
                <w:sz w:val="19"/>
                <w:szCs w:val="19"/>
              </w:rPr>
              <w:t>ESPERM</w:t>
            </w:r>
          </w:p>
          <w:p>
            <w:pPr>
              <w:pStyle w:val="Normal"/>
              <w:spacing w:before="0" w:after="0"/>
              <w:rPr/>
            </w:pPr>
            <w:r>
              <w:rPr>
                <w:rFonts w:eastAsia="Arial" w:cs="Arial"/>
                <w:b w:val="false"/>
                <w:bCs w:val="false"/>
                <w:color w:val="44546A"/>
                <w:sz w:val="19"/>
                <w:szCs w:val="19"/>
              </w:rPr>
              <w:t>KGLF513084JJLHF8CSKWPCU+C0EC2YIBCZ5HA993A+*U8573N259Q151VBFT7SK44M6*MITPLIT</w:t>
            </w:r>
          </w:p>
        </w:tc>
        <w:tc>
          <w:tcPr>
            <w:tcW w:w="140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Apply before DR</w:t>
            </w:r>
          </w:p>
        </w:tc>
      </w:tr>
      <w:tr>
        <w:trPr>
          <w:cantSplit w:val="true"/>
        </w:trPr>
        <w:tc>
          <w:tcPr>
            <w:tcW w:w="15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DBU</w:t>
            </w:r>
          </w:p>
        </w:tc>
        <w:tc>
          <w:tcPr>
            <w:tcW w:w="11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SYSBAS</w:t>
            </w:r>
          </w:p>
        </w:tc>
        <w:tc>
          <w:tcPr>
            <w:tcW w:w="13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Permanent</w:t>
            </w:r>
          </w:p>
        </w:tc>
        <w:tc>
          <w:tcPr>
            <w:tcW w:w="405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b w:val="false"/>
                <w:bCs w:val="false"/>
                <w:color w:val="44546A"/>
                <w:sz w:val="19"/>
                <w:szCs w:val="19"/>
              </w:rPr>
              <w:t>ADDLIBLE DBU11</w:t>
            </w:r>
          </w:p>
          <w:p>
            <w:pPr>
              <w:pStyle w:val="Normal"/>
              <w:spacing w:before="0" w:after="40"/>
              <w:rPr/>
            </w:pPr>
            <w:r>
              <w:rPr>
                <w:rFonts w:eastAsia="Arial" w:cs="Arial"/>
                <w:b w:val="false"/>
                <w:bCs w:val="false"/>
                <w:color w:val="44546A"/>
                <w:sz w:val="19"/>
                <w:szCs w:val="19"/>
              </w:rPr>
              <w:t>DBUSEC</w:t>
            </w:r>
          </w:p>
          <w:p>
            <w:pPr>
              <w:pStyle w:val="Normal"/>
              <w:spacing w:before="0" w:after="0"/>
              <w:rPr/>
            </w:pPr>
            <w:r>
              <w:rPr>
                <w:rFonts w:eastAsia="Arial" w:cs="Arial"/>
                <w:b w:val="false"/>
                <w:bCs w:val="false"/>
                <w:color w:val="44546A"/>
                <w:sz w:val="19"/>
                <w:szCs w:val="19"/>
              </w:rPr>
              <w:t>7858201 DBU 11.0 3ABEF1 9E128C D4E801 5102 (partition 2)</w:t>
            </w:r>
          </w:p>
        </w:tc>
        <w:tc>
          <w:tcPr>
            <w:tcW w:w="140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
          </w:p>
        </w:tc>
      </w:tr>
      <w:tr>
        <w:trPr>
          <w:cantSplit w:val="true"/>
        </w:trPr>
        <w:tc>
          <w:tcPr>
            <w:tcW w:w="15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Taatools</w:t>
            </w:r>
          </w:p>
        </w:tc>
        <w:tc>
          <w:tcPr>
            <w:tcW w:w="11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SYSBAS</w:t>
            </w:r>
          </w:p>
        </w:tc>
        <w:tc>
          <w:tcPr>
            <w:tcW w:w="13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Permanent</w:t>
            </w:r>
          </w:p>
        </w:tc>
        <w:tc>
          <w:tcPr>
            <w:tcW w:w="405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b w:val="false"/>
                <w:bCs w:val="false"/>
                <w:color w:val="44546A"/>
                <w:sz w:val="19"/>
                <w:szCs w:val="19"/>
              </w:rPr>
              <w:t>ADDLIBLE TAATOOL</w:t>
            </w:r>
          </w:p>
          <w:p>
            <w:pPr>
              <w:pStyle w:val="Normal"/>
              <w:spacing w:before="0" w:after="0"/>
              <w:rPr/>
            </w:pPr>
            <w:r>
              <w:rPr>
                <w:rFonts w:eastAsia="Arial" w:cs="Arial"/>
                <w:b w:val="false"/>
                <w:bCs w:val="false"/>
                <w:color w:val="44546A"/>
                <w:sz w:val="19"/>
                <w:szCs w:val="19"/>
              </w:rPr>
              <w:t>CHGTAAKEY KEY(547399CEB851D098B4F2FA5289B362E96AF00F747255293B5124D7265286)</w:t>
            </w:r>
          </w:p>
        </w:tc>
        <w:tc>
          <w:tcPr>
            <w:tcW w:w="140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
          </w:p>
        </w:tc>
      </w:tr>
      <w:tr>
        <w:trPr>
          <w:cantSplit w:val="true"/>
        </w:trPr>
        <w:tc>
          <w:tcPr>
            <w:tcW w:w="15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FormsPrint</w:t>
            </w:r>
          </w:p>
        </w:tc>
        <w:tc>
          <w:tcPr>
            <w:tcW w:w="11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SYSBAS</w:t>
            </w:r>
          </w:p>
        </w:tc>
        <w:tc>
          <w:tcPr>
            <w:tcW w:w="13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15-Day Temp</w:t>
            </w:r>
          </w:p>
        </w:tc>
        <w:tc>
          <w:tcPr>
            <w:tcW w:w="405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b w:val="false"/>
                <w:bCs w:val="false"/>
                <w:color w:val="44546A"/>
                <w:sz w:val="19"/>
                <w:szCs w:val="19"/>
              </w:rPr>
              <w:t>ADDLIBLE ICSPROG</w:t>
            </w:r>
          </w:p>
          <w:p>
            <w:pPr>
              <w:pStyle w:val="Normal"/>
              <w:spacing w:before="0" w:after="40"/>
              <w:rPr/>
            </w:pPr>
            <w:r>
              <w:rPr>
                <w:rFonts w:eastAsia="Arial" w:cs="Arial"/>
                <w:b w:val="false"/>
                <w:bCs w:val="false"/>
                <w:color w:val="44546A"/>
                <w:sz w:val="19"/>
                <w:szCs w:val="19"/>
              </w:rPr>
              <w:t>CALL ICSPROG/LICENSE</w:t>
            </w:r>
          </w:p>
          <w:p>
            <w:pPr>
              <w:pStyle w:val="Normal"/>
              <w:spacing w:before="0" w:after="0"/>
              <w:rPr/>
            </w:pPr>
            <w:r>
              <w:rPr>
                <w:rFonts w:eastAsia="Arial" w:cs="Arial"/>
                <w:b w:val="false"/>
                <w:bCs w:val="false"/>
                <w:color w:val="44546A"/>
                <w:sz w:val="19"/>
                <w:szCs w:val="19"/>
              </w:rPr>
              <w:t>Select 5 = Temporary 15 day access</w:t>
            </w:r>
          </w:p>
        </w:tc>
        <w:tc>
          <w:tcPr>
            <w:tcW w:w="140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Wait until DR window to apply</w:t>
            </w:r>
          </w:p>
        </w:tc>
      </w:tr>
      <w:tr>
        <w:trPr>
          <w:cantSplit w:val="true"/>
        </w:trPr>
        <w:tc>
          <w:tcPr>
            <w:tcW w:w="15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Spyview</w:t>
            </w:r>
          </w:p>
        </w:tc>
        <w:tc>
          <w:tcPr>
            <w:tcW w:w="11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SYSBAS</w:t>
            </w:r>
          </w:p>
        </w:tc>
        <w:tc>
          <w:tcPr>
            <w:tcW w:w="13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Permanent</w:t>
            </w:r>
          </w:p>
        </w:tc>
        <w:tc>
          <w:tcPr>
            <w:tcW w:w="405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See Section 11.1 — STRSPY &gt; F21 &gt; CLRPFM &gt; key: D259D0E7699C670F2A05A6F6EFF74106</w:t>
            </w:r>
          </w:p>
        </w:tc>
        <w:tc>
          <w:tcPr>
            <w:tcW w:w="140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SN# 7858201, LPAR 002</w:t>
            </w:r>
          </w:p>
        </w:tc>
      </w:tr>
      <w:tr>
        <w:trPr>
          <w:cantSplit w:val="true"/>
        </w:trPr>
        <w:tc>
          <w:tcPr>
            <w:tcW w:w="15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Turnover</w:t>
            </w:r>
          </w:p>
        </w:tc>
        <w:tc>
          <w:tcPr>
            <w:tcW w:w="11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IFS/IASP</w:t>
            </w:r>
          </w:p>
        </w:tc>
        <w:tc>
          <w:tcPr>
            <w:tcW w:w="13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Permanent</w:t>
            </w:r>
          </w:p>
        </w:tc>
        <w:tc>
          <w:tcPr>
            <w:tcW w:w="405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b w:val="false"/>
                <w:bCs w:val="false"/>
                <w:color w:val="44546A"/>
                <w:sz w:val="19"/>
                <w:szCs w:val="19"/>
              </w:rPr>
              <w:t>Key path: /home/unicom/licenses/* TN4</w:t>
            </w:r>
          </w:p>
          <w:p>
            <w:pPr>
              <w:pStyle w:val="Normal"/>
              <w:spacing w:before="0" w:after="0"/>
              <w:rPr/>
            </w:pPr>
            <w:r>
              <w:rPr>
                <w:rFonts w:eastAsia="Arial" w:cs="Arial"/>
                <w:b w:val="false"/>
                <w:bCs w:val="false"/>
                <w:color w:val="44546A"/>
                <w:sz w:val="19"/>
                <w:szCs w:val="19"/>
              </w:rPr>
              <w:t>Rename: LicenseT2025 → License</w:t>
            </w:r>
          </w:p>
        </w:tc>
        <w:tc>
          <w:tcPr>
            <w:tcW w:w="140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Replicates via IASP — rename required. SN# 7858201, LPAR 002</w:t>
            </w:r>
          </w:p>
        </w:tc>
      </w:tr>
      <w:tr>
        <w:trPr>
          <w:cantSplit w:val="true"/>
        </w:trPr>
        <w:tc>
          <w:tcPr>
            <w:tcW w:w="15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DSI</w:t>
            </w:r>
          </w:p>
        </w:tc>
        <w:tc>
          <w:tcPr>
            <w:tcW w:w="11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DTAARA</w:t>
            </w:r>
          </w:p>
        </w:tc>
        <w:tc>
          <w:tcPr>
            <w:tcW w:w="13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90-Day</w:t>
            </w:r>
          </w:p>
        </w:tc>
        <w:tc>
          <w:tcPr>
            <w:tcW w:w="405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CRTDTAARA DCL511DTA/DSIPROTECT TYPE(*CHAR) LEN(24) VALUE(X'C1E935EDACC...')</w:t>
            </w:r>
          </w:p>
        </w:tc>
        <w:tc>
          <w:tcPr>
            <w:tcW w:w="140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Key by SN# for SVC_DCLINK interface 13</w:t>
            </w:r>
          </w:p>
        </w:tc>
      </w:tr>
      <w:tr>
        <w:trPr>
          <w:cantSplit w:val="true"/>
        </w:trPr>
        <w:tc>
          <w:tcPr>
            <w:tcW w:w="15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JDE World A7.3</w:t>
            </w:r>
          </w:p>
        </w:tc>
        <w:tc>
          <w:tcPr>
            <w:tcW w:w="11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DTAARA</w:t>
            </w:r>
          </w:p>
        </w:tc>
        <w:tc>
          <w:tcPr>
            <w:tcW w:w="13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Permanent</w:t>
            </w:r>
          </w:p>
        </w:tc>
        <w:tc>
          <w:tcPr>
            <w:tcW w:w="405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CHGDTAARA JDFOBJA73/QJDF (496 17) VALUE('060139RPGHDB00701')</w:t>
            </w:r>
          </w:p>
        </w:tc>
        <w:tc>
          <w:tcPr>
            <w:tcW w:w="140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SN# 7858201 — same key by serial number each time</w:t>
            </w:r>
          </w:p>
        </w:tc>
      </w:tr>
      <w:tr>
        <w:trPr>
          <w:cantSplit w:val="true"/>
        </w:trPr>
        <w:tc>
          <w:tcPr>
            <w:tcW w:w="15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Robot Console</w:t>
            </w:r>
          </w:p>
        </w:tc>
        <w:tc>
          <w:tcPr>
            <w:tcW w:w="11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SYSBAS</w:t>
            </w:r>
          </w:p>
        </w:tc>
        <w:tc>
          <w:tcPr>
            <w:tcW w:w="13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Permanent</w:t>
            </w:r>
          </w:p>
        </w:tc>
        <w:tc>
          <w:tcPr>
            <w:tcW w:w="405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DEVA-T&amp;C license</w:t>
            </w:r>
          </w:p>
        </w:tc>
        <w:tc>
          <w:tcPr>
            <w:tcW w:w="140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
          </w:p>
        </w:tc>
      </w:tr>
      <w:tr>
        <w:trPr>
          <w:cantSplit w:val="true"/>
        </w:trPr>
        <w:tc>
          <w:tcPr>
            <w:tcW w:w="15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Robot Alert</w:t>
            </w:r>
          </w:p>
        </w:tc>
        <w:tc>
          <w:tcPr>
            <w:tcW w:w="11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SYSBAS</w:t>
            </w:r>
          </w:p>
        </w:tc>
        <w:tc>
          <w:tcPr>
            <w:tcW w:w="13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Permanent</w:t>
            </w:r>
          </w:p>
        </w:tc>
        <w:tc>
          <w:tcPr>
            <w:tcW w:w="405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DEVA-T&amp;C license</w:t>
            </w:r>
          </w:p>
        </w:tc>
        <w:tc>
          <w:tcPr>
            <w:tcW w:w="140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
          </w:p>
        </w:tc>
      </w:tr>
      <w:tr>
        <w:trPr>
          <w:cantSplit w:val="true"/>
        </w:trPr>
        <w:tc>
          <w:tcPr>
            <w:tcW w:w="15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Robot Schedule</w:t>
            </w:r>
          </w:p>
        </w:tc>
        <w:tc>
          <w:tcPr>
            <w:tcW w:w="11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IASP</w:t>
            </w:r>
          </w:p>
        </w:tc>
        <w:tc>
          <w:tcPr>
            <w:tcW w:w="13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Permanent</w:t>
            </w:r>
          </w:p>
        </w:tc>
        <w:tc>
          <w:tcPr>
            <w:tcW w:w="405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DEVA-T&amp;C — in IASP, replicates. Reset via RSLSETOID PRC(RBT)</w:t>
            </w:r>
          </w:p>
        </w:tc>
        <w:tc>
          <w:tcPr>
            <w:tcW w:w="140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
          </w:p>
        </w:tc>
      </w:tr>
      <w:tr>
        <w:trPr>
          <w:cantSplit w:val="true"/>
        </w:trPr>
        <w:tc>
          <w:tcPr>
            <w:tcW w:w="15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Robot Network</w:t>
            </w:r>
          </w:p>
        </w:tc>
        <w:tc>
          <w:tcPr>
            <w:tcW w:w="11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SYSBAS</w:t>
            </w:r>
          </w:p>
        </w:tc>
        <w:tc>
          <w:tcPr>
            <w:tcW w:w="13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Permanent</w:t>
            </w:r>
          </w:p>
        </w:tc>
        <w:tc>
          <w:tcPr>
            <w:tcW w:w="405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DEVA-T&amp;C license</w:t>
            </w:r>
          </w:p>
        </w:tc>
        <w:tc>
          <w:tcPr>
            <w:tcW w:w="140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
          </w:p>
        </w:tc>
      </w:tr>
      <w:tr>
        <w:trPr>
          <w:cantSplit w:val="true"/>
        </w:trPr>
        <w:tc>
          <w:tcPr>
            <w:tcW w:w="15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FastFax</w:t>
            </w:r>
          </w:p>
        </w:tc>
        <w:tc>
          <w:tcPr>
            <w:tcW w:w="11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DB Table</w:t>
            </w:r>
          </w:p>
        </w:tc>
        <w:tc>
          <w:tcPr>
            <w:tcW w:w="13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Permanent</w:t>
            </w:r>
          </w:p>
        </w:tc>
        <w:tc>
          <w:tcPr>
            <w:tcW w:w="405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SQL INSERT into FFXLDV + UPDATE FFXLDE NetServer name</w:t>
            </w:r>
          </w:p>
        </w:tc>
        <w:tc>
          <w:tcPr>
            <w:tcW w:w="140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See Section 13 for full SQL</w:t>
            </w:r>
          </w:p>
        </w:tc>
      </w:tr>
      <w:tr>
        <w:trPr>
          <w:cantSplit w:val="true"/>
        </w:trPr>
        <w:tc>
          <w:tcPr>
            <w:tcW w:w="15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Vertex</w:t>
            </w:r>
          </w:p>
        </w:tc>
        <w:tc>
          <w:tcPr>
            <w:tcW w:w="11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N/A</w:t>
            </w:r>
          </w:p>
        </w:tc>
        <w:tc>
          <w:tcPr>
            <w:tcW w:w="13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No Key</w:t>
            </w:r>
          </w:p>
        </w:tc>
        <w:tc>
          <w:tcPr>
            <w:tcW w:w="405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No license key required</w:t>
            </w:r>
          </w:p>
        </w:tc>
        <w:tc>
          <w:tcPr>
            <w:tcW w:w="140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
          </w:p>
        </w:tc>
      </w:tr>
      <w:tr>
        <w:trPr>
          <w:cantSplit w:val="true"/>
        </w:trPr>
        <w:tc>
          <w:tcPr>
            <w:tcW w:w="15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PcMiler</w:t>
            </w:r>
          </w:p>
        </w:tc>
        <w:tc>
          <w:tcPr>
            <w:tcW w:w="11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N/A</w:t>
            </w:r>
          </w:p>
        </w:tc>
        <w:tc>
          <w:tcPr>
            <w:tcW w:w="13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No Key</w:t>
            </w:r>
          </w:p>
        </w:tc>
        <w:tc>
          <w:tcPr>
            <w:tcW w:w="405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No license key required</w:t>
            </w:r>
          </w:p>
        </w:tc>
        <w:tc>
          <w:tcPr>
            <w:tcW w:w="140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
          </w:p>
        </w:tc>
      </w:tr>
      <w:tr>
        <w:trPr>
          <w:cantSplit w:val="true"/>
        </w:trPr>
        <w:tc>
          <w:tcPr>
            <w:tcW w:w="15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QMGTOOLS</w:t>
            </w:r>
          </w:p>
        </w:tc>
        <w:tc>
          <w:tcPr>
            <w:tcW w:w="11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N/A</w:t>
            </w:r>
          </w:p>
        </w:tc>
        <w:tc>
          <w:tcPr>
            <w:tcW w:w="13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No Key</w:t>
            </w:r>
          </w:p>
        </w:tc>
        <w:tc>
          <w:tcPr>
            <w:tcW w:w="405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No license key required</w:t>
            </w:r>
          </w:p>
        </w:tc>
        <w:tc>
          <w:tcPr>
            <w:tcW w:w="140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
          </w:p>
        </w:tc>
      </w:tr>
      <w:tr>
        <w:trPr>
          <w:cantSplit w:val="true"/>
        </w:trPr>
        <w:tc>
          <w:tcPr>
            <w:tcW w:w="15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RDI</w:t>
            </w:r>
          </w:p>
        </w:tc>
        <w:tc>
          <w:tcPr>
            <w:tcW w:w="11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N/A</w:t>
            </w:r>
          </w:p>
        </w:tc>
        <w:tc>
          <w:tcPr>
            <w:tcW w:w="13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No Key</w:t>
            </w:r>
          </w:p>
        </w:tc>
        <w:tc>
          <w:tcPr>
            <w:tcW w:w="405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No license key required</w:t>
            </w:r>
          </w:p>
        </w:tc>
        <w:tc>
          <w:tcPr>
            <w:tcW w:w="140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
          </w:p>
        </w:tc>
      </w:tr>
      <w:tr>
        <w:trPr>
          <w:cantSplit w:val="true"/>
        </w:trPr>
        <w:tc>
          <w:tcPr>
            <w:tcW w:w="15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MQ FTE</w:t>
            </w:r>
          </w:p>
        </w:tc>
        <w:tc>
          <w:tcPr>
            <w:tcW w:w="11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N/A</w:t>
            </w:r>
          </w:p>
        </w:tc>
        <w:tc>
          <w:tcPr>
            <w:tcW w:w="13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No Key</w:t>
            </w:r>
          </w:p>
        </w:tc>
        <w:tc>
          <w:tcPr>
            <w:tcW w:w="405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No license key required</w:t>
            </w:r>
          </w:p>
        </w:tc>
        <w:tc>
          <w:tcPr>
            <w:tcW w:w="140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
          </w:p>
        </w:tc>
      </w:tr>
    </w:tbl>
    <w:p>
      <w:pPr>
        <w:pStyle w:val="Normal"/>
        <w:rPr/>
      </w:pPr>
      <w:r>
        <w:rPr/>
      </w:r>
      <w:r>
        <w:br w:type="page"/>
      </w:r>
    </w:p>
    <w:p>
      <w:pPr>
        <w:pStyle w:val="Heading1"/>
        <w:shd w:val="clear" w:fill="0D2340"/>
        <w:spacing w:before="0" w:after="0"/>
        <w:ind w:left="80"/>
        <w:rPr/>
      </w:pPr>
      <w:bookmarkStart w:id="43" w:name="__RefHeading___Toc4557_3284268967"/>
      <w:bookmarkEnd w:id="43"/>
      <w:r>
        <w:rPr>
          <w:rFonts w:eastAsia="Arial" w:cs="Arial" w:ascii="Arial" w:hAnsi="Arial"/>
          <w:b/>
          <w:bCs/>
          <w:color w:val="2E75B6"/>
          <w:sz w:val="22"/>
          <w:szCs w:val="22"/>
        </w:rPr>
        <w:t>22</w:t>
      </w:r>
      <w:r>
        <w:rPr>
          <w:rFonts w:eastAsia="Arial" w:cs="Arial" w:ascii="Arial" w:hAnsi="Arial"/>
          <w:sz w:val="22"/>
          <w:szCs w:val="22"/>
        </w:rPr>
        <w:t xml:space="preserve">   </w:t>
      </w:r>
      <w:r>
        <w:rPr>
          <w:rFonts w:eastAsia="Arial" w:cs="Arial" w:ascii="Arial" w:hAnsi="Arial"/>
          <w:b/>
          <w:bCs/>
          <w:color w:val="FFFFFF"/>
          <w:sz w:val="26"/>
          <w:szCs w:val="26"/>
        </w:rPr>
        <w:t>EXPECTED ACTIVE SUBSYSTEMS — DEVAC/EQUINIX</w:t>
      </w:r>
    </w:p>
    <w:p>
      <w:pPr>
        <w:pStyle w:val="Normal"/>
        <w:shd w:val="clear" w:fill="1F4E79"/>
        <w:spacing w:before="0" w:after="160"/>
        <w:ind w:left="80"/>
        <w:rPr/>
      </w:pPr>
      <w:r>
        <w:rPr>
          <w:rFonts w:eastAsia="Arial" w:cs="Arial"/>
          <w:i/>
          <w:iCs/>
          <w:color w:val="EBF3FB"/>
          <w:sz w:val="18"/>
          <w:szCs w:val="18"/>
        </w:rPr>
        <w:t>Reference List for Post-Switchover Verification</w:t>
      </w:r>
    </w:p>
    <w:p>
      <w:pPr>
        <w:pStyle w:val="Normal"/>
        <w:spacing w:before="0" w:after="120"/>
        <w:rPr/>
      </w:pPr>
      <w:r>
        <w:rPr>
          <w:rFonts w:eastAsia="Arial" w:cs="Arial"/>
          <w:i w:val="false"/>
          <w:iCs w:val="false"/>
          <w:color w:val="44546A"/>
          <w:sz w:val="20"/>
          <w:szCs w:val="20"/>
        </w:rPr>
        <w:t>After Level 3 is started on DEVAC, verify all subsystems below are active using WRKACTJOB or WRKSBS. Any subsystem not active should be investigated before declaring DR complete.</w:t>
      </w:r>
    </w:p>
    <w:tbl>
      <w:tblPr>
        <w:tblW w:w="8760" w:type="dxa"/>
        <w:jc w:val="left"/>
        <w:tblInd w:w="0" w:type="dxa"/>
        <w:tblLayout w:type="fixed"/>
        <w:tblCellMar>
          <w:top w:w="80" w:type="dxa"/>
          <w:left w:w="140" w:type="dxa"/>
          <w:bottom w:w="80" w:type="dxa"/>
          <w:right w:w="140" w:type="dxa"/>
        </w:tblCellMar>
      </w:tblPr>
      <w:tblGrid>
        <w:gridCol w:w="2199"/>
        <w:gridCol w:w="2181"/>
        <w:gridCol w:w="2199"/>
        <w:gridCol w:w="2180"/>
      </w:tblGrid>
      <w:tr>
        <w:trPr>
          <w:tblHeader w:val="true"/>
          <w:cantSplit w:val="true"/>
        </w:trPr>
        <w:tc>
          <w:tcPr>
            <w:tcW w:w="2199"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Subsystem</w:t>
            </w:r>
          </w:p>
        </w:tc>
        <w:tc>
          <w:tcPr>
            <w:tcW w:w="2181"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Library</w:t>
            </w:r>
          </w:p>
        </w:tc>
        <w:tc>
          <w:tcPr>
            <w:tcW w:w="2199"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Subsystem</w:t>
            </w:r>
          </w:p>
        </w:tc>
        <w:tc>
          <w:tcPr>
            <w:tcW w:w="218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Library</w:t>
            </w:r>
          </w:p>
        </w:tc>
      </w:tr>
      <w:tr>
        <w:trPr>
          <w:cantSplit w:val="true"/>
        </w:trPr>
        <w:tc>
          <w:tcPr>
            <w:tcW w:w="21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BACKGROUND</w:t>
            </w:r>
          </w:p>
        </w:tc>
        <w:tc>
          <w:tcPr>
            <w:tcW w:w="218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QUSRSYS</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QINTER</w:t>
            </w:r>
          </w:p>
        </w:tc>
        <w:tc>
          <w:tcPr>
            <w:tcW w:w="218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QSYS</w:t>
            </w:r>
          </w:p>
        </w:tc>
      </w:tr>
      <w:tr>
        <w:trPr>
          <w:cantSplit w:val="true"/>
        </w:trPr>
        <w:tc>
          <w:tcPr>
            <w:tcW w:w="21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BATCHWW</w:t>
            </w:r>
          </w:p>
        </w:tc>
        <w:tc>
          <w:tcPr>
            <w:tcW w:w="218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AMSCONFIG</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QMFT</w:t>
            </w:r>
          </w:p>
        </w:tc>
        <w:tc>
          <w:tcPr>
            <w:tcW w:w="218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QMQMMFT</w:t>
            </w:r>
          </w:p>
        </w:tc>
      </w:tr>
      <w:tr>
        <w:trPr>
          <w:cantSplit w:val="true"/>
        </w:trPr>
        <w:tc>
          <w:tcPr>
            <w:tcW w:w="21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DCL511SBS</w:t>
            </w:r>
          </w:p>
        </w:tc>
        <w:tc>
          <w:tcPr>
            <w:tcW w:w="218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DCL511DTAC</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QMQM</w:t>
            </w:r>
          </w:p>
        </w:tc>
        <w:tc>
          <w:tcPr>
            <w:tcW w:w="218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QMQMMFT</w:t>
            </w:r>
          </w:p>
        </w:tc>
      </w:tr>
      <w:tr>
        <w:trPr>
          <w:cantSplit w:val="true"/>
        </w:trPr>
        <w:tc>
          <w:tcPr>
            <w:tcW w:w="21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DCSBS</w:t>
            </w:r>
          </w:p>
        </w:tc>
        <w:tc>
          <w:tcPr>
            <w:tcW w:w="218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AMSCONFIG</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QPGMR</w:t>
            </w:r>
          </w:p>
        </w:tc>
        <w:tc>
          <w:tcPr>
            <w:tcW w:w="218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QSYS</w:t>
            </w:r>
          </w:p>
        </w:tc>
      </w:tr>
      <w:tr>
        <w:trPr>
          <w:cantSplit w:val="true"/>
        </w:trPr>
        <w:tc>
          <w:tcPr>
            <w:tcW w:w="21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FASTFAXL</w:t>
            </w:r>
          </w:p>
        </w:tc>
        <w:tc>
          <w:tcPr>
            <w:tcW w:w="218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FASTFAXLC</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QSERVER</w:t>
            </w:r>
          </w:p>
        </w:tc>
        <w:tc>
          <w:tcPr>
            <w:tcW w:w="218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QSYS</w:t>
            </w:r>
          </w:p>
        </w:tc>
      </w:tr>
      <w:tr>
        <w:trPr>
          <w:cantSplit w:val="true"/>
        </w:trPr>
        <w:tc>
          <w:tcPr>
            <w:tcW w:w="21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FASTPATH</w:t>
            </w:r>
          </w:p>
        </w:tc>
        <w:tc>
          <w:tcPr>
            <w:tcW w:w="218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AMSCONFIG</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QSNADS</w:t>
            </w:r>
          </w:p>
        </w:tc>
        <w:tc>
          <w:tcPr>
            <w:tcW w:w="218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QSYS</w:t>
            </w:r>
          </w:p>
        </w:tc>
      </w:tr>
      <w:tr>
        <w:trPr>
          <w:cantSplit w:val="true"/>
        </w:trPr>
        <w:tc>
          <w:tcPr>
            <w:tcW w:w="21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FINANCE</w:t>
            </w:r>
          </w:p>
        </w:tc>
        <w:tc>
          <w:tcPr>
            <w:tcW w:w="218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AMSCONFIG</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QSPL</w:t>
            </w:r>
          </w:p>
        </w:tc>
        <w:tc>
          <w:tcPr>
            <w:tcW w:w="218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QSYS</w:t>
            </w:r>
          </w:p>
        </w:tc>
      </w:tr>
      <w:tr>
        <w:trPr>
          <w:cantSplit w:val="true"/>
        </w:trPr>
        <w:tc>
          <w:tcPr>
            <w:tcW w:w="21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GOLDENGATE</w:t>
            </w:r>
          </w:p>
        </w:tc>
        <w:tc>
          <w:tcPr>
            <w:tcW w:w="218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AMSCONFIG</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QSYSWRK</w:t>
            </w:r>
          </w:p>
        </w:tc>
        <w:tc>
          <w:tcPr>
            <w:tcW w:w="218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QSYS</w:t>
            </w:r>
          </w:p>
        </w:tc>
      </w:tr>
      <w:tr>
        <w:trPr>
          <w:cantSplit w:val="true"/>
        </w:trPr>
        <w:tc>
          <w:tcPr>
            <w:tcW w:w="21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ICSFMST</w:t>
            </w:r>
          </w:p>
        </w:tc>
        <w:tc>
          <w:tcPr>
            <w:tcW w:w="218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ICSSYSC</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QUSRWRK</w:t>
            </w:r>
          </w:p>
        </w:tc>
        <w:tc>
          <w:tcPr>
            <w:tcW w:w="218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QSYS</w:t>
            </w:r>
          </w:p>
        </w:tc>
      </w:tr>
      <w:tr>
        <w:trPr>
          <w:cantSplit w:val="true"/>
        </w:trPr>
        <w:tc>
          <w:tcPr>
            <w:tcW w:w="21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OPSBACKUP</w:t>
            </w:r>
          </w:p>
        </w:tc>
        <w:tc>
          <w:tcPr>
            <w:tcW w:w="218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QUSRSYS</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Q1ABRMNET</w:t>
            </w:r>
          </w:p>
        </w:tc>
        <w:tc>
          <w:tcPr>
            <w:tcW w:w="218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QBRM</w:t>
            </w:r>
          </w:p>
        </w:tc>
      </w:tr>
      <w:tr>
        <w:trPr>
          <w:cantSplit w:val="true"/>
        </w:trPr>
        <w:tc>
          <w:tcPr>
            <w:tcW w:w="21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ORDERPOST</w:t>
            </w:r>
          </w:p>
        </w:tc>
        <w:tc>
          <w:tcPr>
            <w:tcW w:w="218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QUSRSYS</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RBTSLEEPER</w:t>
            </w:r>
          </w:p>
        </w:tc>
        <w:tc>
          <w:tcPr>
            <w:tcW w:w="218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RBTSYSLIB</w:t>
            </w:r>
          </w:p>
        </w:tc>
      </w:tr>
      <w:tr>
        <w:trPr>
          <w:cantSplit w:val="true"/>
        </w:trPr>
        <w:tc>
          <w:tcPr>
            <w:tcW w:w="21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PROCURE</w:t>
            </w:r>
          </w:p>
        </w:tc>
        <w:tc>
          <w:tcPr>
            <w:tcW w:w="218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AMSCONFIG</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SLEEPER</w:t>
            </w:r>
          </w:p>
        </w:tc>
        <w:tc>
          <w:tcPr>
            <w:tcW w:w="218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QGPL</w:t>
            </w:r>
          </w:p>
        </w:tc>
      </w:tr>
      <w:tr>
        <w:trPr>
          <w:cantSplit w:val="true"/>
        </w:trPr>
        <w:tc>
          <w:tcPr>
            <w:tcW w:w="21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QBATCH</w:t>
            </w:r>
          </w:p>
        </w:tc>
        <w:tc>
          <w:tcPr>
            <w:tcW w:w="218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QSYS</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SPYCS</w:t>
            </w:r>
          </w:p>
        </w:tc>
        <w:tc>
          <w:tcPr>
            <w:tcW w:w="218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SPYVIEWC</w:t>
            </w:r>
          </w:p>
        </w:tc>
      </w:tr>
      <w:tr>
        <w:trPr>
          <w:cantSplit w:val="true"/>
        </w:trPr>
        <w:tc>
          <w:tcPr>
            <w:tcW w:w="21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QCMN</w:t>
            </w:r>
          </w:p>
        </w:tc>
        <w:tc>
          <w:tcPr>
            <w:tcW w:w="218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QSYS</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SPYGLASS</w:t>
            </w:r>
          </w:p>
        </w:tc>
        <w:tc>
          <w:tcPr>
            <w:tcW w:w="218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SPYVIEWC</w:t>
            </w:r>
          </w:p>
        </w:tc>
      </w:tr>
      <w:tr>
        <w:trPr>
          <w:cantSplit w:val="true"/>
        </w:trPr>
        <w:tc>
          <w:tcPr>
            <w:tcW w:w="21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QCTL</w:t>
            </w:r>
          </w:p>
        </w:tc>
        <w:tc>
          <w:tcPr>
            <w:tcW w:w="218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QSYS</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TSERVER</w:t>
            </w:r>
          </w:p>
        </w:tc>
        <w:tc>
          <w:tcPr>
            <w:tcW w:w="218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AMSCONFIG</w:t>
            </w:r>
          </w:p>
        </w:tc>
      </w:tr>
      <w:tr>
        <w:trPr>
          <w:cantSplit w:val="true"/>
        </w:trPr>
        <w:tc>
          <w:tcPr>
            <w:tcW w:w="21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QHTTPSVR</w:t>
            </w:r>
          </w:p>
        </w:tc>
        <w:tc>
          <w:tcPr>
            <w:tcW w:w="218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QHTTPSVR</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
          </w:p>
        </w:tc>
        <w:tc>
          <w:tcPr>
            <w:tcW w:w="218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
          </w:p>
        </w:tc>
      </w:tr>
    </w:tbl>
    <w:p>
      <w:pPr>
        <w:pStyle w:val="Normal"/>
        <w:rPr/>
      </w:pPr>
      <w:r>
        <w:rPr/>
      </w:r>
      <w:r>
        <w:br w:type="page"/>
      </w:r>
    </w:p>
    <w:p>
      <w:pPr>
        <w:pStyle w:val="Heading1"/>
        <w:shd w:val="clear" w:fill="0D2340"/>
        <w:spacing w:before="0" w:after="0"/>
        <w:ind w:left="80"/>
        <w:rPr/>
      </w:pPr>
      <w:bookmarkStart w:id="44" w:name="__RefHeading___Toc4559_3284268967"/>
      <w:bookmarkEnd w:id="44"/>
      <w:r>
        <w:rPr>
          <w:rFonts w:eastAsia="Arial" w:cs="Arial" w:ascii="Arial" w:hAnsi="Arial"/>
          <w:b/>
          <w:bCs/>
          <w:color w:val="2E75B6"/>
          <w:sz w:val="22"/>
          <w:szCs w:val="22"/>
        </w:rPr>
        <w:t>23</w:t>
      </w:r>
      <w:r>
        <w:rPr>
          <w:rFonts w:eastAsia="Arial" w:cs="Arial" w:ascii="Arial" w:hAnsi="Arial"/>
          <w:sz w:val="22"/>
          <w:szCs w:val="22"/>
        </w:rPr>
        <w:t xml:space="preserve">   </w:t>
      </w:r>
      <w:r>
        <w:rPr>
          <w:rFonts w:eastAsia="Arial" w:cs="Arial" w:ascii="Arial" w:hAnsi="Arial"/>
          <w:b/>
          <w:bCs/>
          <w:color w:val="FFFFFF"/>
          <w:sz w:val="26"/>
          <w:szCs w:val="26"/>
        </w:rPr>
        <w:t>DNS &amp; NETWORK REFERENCE</w:t>
      </w:r>
    </w:p>
    <w:p>
      <w:pPr>
        <w:pStyle w:val="Normal"/>
        <w:shd w:val="clear" w:fill="1F4E79"/>
        <w:spacing w:before="0" w:after="160"/>
        <w:ind w:left="80"/>
        <w:rPr/>
      </w:pPr>
      <w:r>
        <w:rPr>
          <w:rFonts w:eastAsia="Arial" w:cs="Arial"/>
          <w:i/>
          <w:iCs/>
          <w:color w:val="EBF3FB"/>
          <w:sz w:val="18"/>
          <w:szCs w:val="18"/>
        </w:rPr>
        <w:t>Hostname Resolution — Normal vs. DR Active State</w:t>
      </w:r>
    </w:p>
    <w:tbl>
      <w:tblPr>
        <w:tblW w:w="9360" w:type="dxa"/>
        <w:jc w:val="left"/>
        <w:tblInd w:w="0" w:type="dxa"/>
        <w:tblLayout w:type="fixed"/>
        <w:tblCellMar>
          <w:top w:w="80" w:type="dxa"/>
          <w:left w:w="140" w:type="dxa"/>
          <w:bottom w:w="80" w:type="dxa"/>
          <w:right w:w="140" w:type="dxa"/>
        </w:tblCellMar>
      </w:tblPr>
      <w:tblGrid>
        <w:gridCol w:w="2600"/>
        <w:gridCol w:w="2199"/>
        <w:gridCol w:w="2201"/>
        <w:gridCol w:w="2359"/>
      </w:tblGrid>
      <w:tr>
        <w:trPr>
          <w:tblHeader w:val="true"/>
          <w:cantSplit w:val="true"/>
        </w:trPr>
        <w:tc>
          <w:tcPr>
            <w:tcW w:w="26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Hostname / Alias</w:t>
            </w:r>
          </w:p>
        </w:tc>
        <w:tc>
          <w:tcPr>
            <w:tcW w:w="2199"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Normal (Pre-DR)</w:t>
            </w:r>
          </w:p>
        </w:tc>
        <w:tc>
          <w:tcPr>
            <w:tcW w:w="2201"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DR State (Active)</w:t>
            </w:r>
          </w:p>
        </w:tc>
        <w:tc>
          <w:tcPr>
            <w:tcW w:w="2359"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Notes</w:t>
            </w:r>
          </w:p>
        </w:tc>
      </w:tr>
      <w:tr>
        <w:trPr>
          <w:cantSplit w:val="true"/>
        </w:trPr>
        <w:tc>
          <w:tcPr>
            <w:tcW w:w="26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DEVA / DEVA.APPN.SNA.IBM.COM</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10.7.1.231 (Temple)</w:t>
            </w:r>
          </w:p>
        </w:tc>
        <w:tc>
          <w:tcPr>
            <w:tcW w:w="220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10.7.1.161 (Equinix)</w:t>
            </w:r>
          </w:p>
        </w:tc>
        <w:tc>
          <w:tcPr>
            <w:tcW w:w="235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Primary DEVA pointer — DNS change required</w:t>
            </w:r>
          </w:p>
        </w:tc>
      </w:tr>
      <w:tr>
        <w:trPr>
          <w:cantSplit w:val="true"/>
        </w:trPr>
        <w:tc>
          <w:tcPr>
            <w:tcW w:w="26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BRMSDEVA</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10.7.1.161</w:t>
            </w:r>
          </w:p>
        </w:tc>
        <w:tc>
          <w:tcPr>
            <w:tcW w:w="220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10.7.1.231</w:t>
            </w:r>
          </w:p>
        </w:tc>
        <w:tc>
          <w:tcPr>
            <w:tcW w:w="235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BRMS hostname swaps</w:t>
            </w:r>
          </w:p>
        </w:tc>
      </w:tr>
      <w:tr>
        <w:trPr>
          <w:cantSplit w:val="true"/>
        </w:trPr>
        <w:tc>
          <w:tcPr>
            <w:tcW w:w="26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WWDEVA.APPN.SNA.IBM.COM</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10.7.1.231</w:t>
            </w:r>
          </w:p>
        </w:tc>
        <w:tc>
          <w:tcPr>
            <w:tcW w:w="220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10.7.1.161</w:t>
            </w:r>
          </w:p>
        </w:tc>
        <w:tc>
          <w:tcPr>
            <w:tcW w:w="235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WW alias</w:t>
            </w:r>
          </w:p>
        </w:tc>
      </w:tr>
      <w:tr>
        <w:trPr>
          <w:cantSplit w:val="true"/>
        </w:trPr>
        <w:tc>
          <w:tcPr>
            <w:tcW w:w="26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MXLDEVA / VDEVA / XMXLDEVA</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10.7.1.231</w:t>
            </w:r>
          </w:p>
        </w:tc>
        <w:tc>
          <w:tcPr>
            <w:tcW w:w="220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10.7.1.161</w:t>
            </w:r>
          </w:p>
        </w:tc>
        <w:tc>
          <w:tcPr>
            <w:tcW w:w="235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Additional aliases (PA, PE only)</w:t>
            </w:r>
          </w:p>
        </w:tc>
      </w:tr>
      <w:tr>
        <w:trPr>
          <w:cantSplit w:val="true"/>
        </w:trPr>
        <w:tc>
          <w:tcPr>
            <w:tcW w:w="26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DEVAL</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N/A</w:t>
            </w:r>
          </w:p>
        </w:tc>
        <w:tc>
          <w:tcPr>
            <w:tcW w:w="220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10.7.1.161</w:t>
            </w:r>
          </w:p>
        </w:tc>
        <w:tc>
          <w:tcPr>
            <w:tcW w:w="235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DSS systems only (DSST, DSSC)</w:t>
            </w:r>
          </w:p>
        </w:tc>
      </w:tr>
      <w:tr>
        <w:trPr>
          <w:cantSplit w:val="true"/>
        </w:trPr>
        <w:tc>
          <w:tcPr>
            <w:tcW w:w="26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DEVAT Console</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10.7.1.180</w:t>
            </w:r>
          </w:p>
        </w:tc>
        <w:tc>
          <w:tcPr>
            <w:tcW w:w="220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10.7.1.180</w:t>
            </w:r>
          </w:p>
        </w:tc>
        <w:tc>
          <w:tcPr>
            <w:tcW w:w="235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Temple console — unchanged</w:t>
            </w:r>
          </w:p>
        </w:tc>
      </w:tr>
      <w:tr>
        <w:trPr>
          <w:cantSplit w:val="true"/>
        </w:trPr>
        <w:tc>
          <w:tcPr>
            <w:tcW w:w="26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DEVAC Console</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10.7.1.130</w:t>
            </w:r>
          </w:p>
        </w:tc>
        <w:tc>
          <w:tcPr>
            <w:tcW w:w="220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10.7.1.130</w:t>
            </w:r>
          </w:p>
        </w:tc>
        <w:tc>
          <w:tcPr>
            <w:tcW w:w="235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Equinix console — PRIMARY during DR</w:t>
            </w:r>
          </w:p>
        </w:tc>
      </w:tr>
      <w:tr>
        <w:trPr>
          <w:cantSplit w:val="true"/>
        </w:trPr>
        <w:tc>
          <w:tcPr>
            <w:tcW w:w="26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Mimix Replication</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10.7.1.182 (DEVAT)</w:t>
            </w:r>
          </w:p>
        </w:tc>
        <w:tc>
          <w:tcPr>
            <w:tcW w:w="220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10.7.1.132 (DEVAC)</w:t>
            </w:r>
          </w:p>
        </w:tc>
        <w:tc>
          <w:tcPr>
            <w:tcW w:w="235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Direction reverses after PowerHA switchover</w:t>
            </w:r>
          </w:p>
        </w:tc>
      </w:tr>
    </w:tbl>
    <w:p>
      <w:pPr>
        <w:pStyle w:val="Normal"/>
        <w:rPr/>
      </w:pPr>
      <w:r>
        <w:rPr/>
      </w:r>
      <w:r>
        <w:br w:type="page"/>
      </w:r>
    </w:p>
    <w:p>
      <w:pPr>
        <w:pStyle w:val="Heading1"/>
        <w:shd w:val="clear" w:fill="0D2340"/>
        <w:spacing w:before="0" w:after="0"/>
        <w:ind w:left="80"/>
        <w:rPr/>
      </w:pPr>
      <w:bookmarkStart w:id="45" w:name="__RefHeading___Toc4561_3284268967"/>
      <w:bookmarkEnd w:id="45"/>
      <w:r>
        <w:rPr>
          <w:rFonts w:eastAsia="Arial" w:cs="Arial" w:ascii="Arial" w:hAnsi="Arial"/>
          <w:b/>
          <w:bCs/>
          <w:color w:val="2E75B6"/>
          <w:sz w:val="22"/>
          <w:szCs w:val="22"/>
        </w:rPr>
        <w:t>24</w:t>
      </w:r>
      <w:r>
        <w:rPr>
          <w:rFonts w:eastAsia="Arial" w:cs="Arial" w:ascii="Arial" w:hAnsi="Arial"/>
          <w:sz w:val="22"/>
          <w:szCs w:val="22"/>
        </w:rPr>
        <w:t xml:space="preserve">   </w:t>
      </w:r>
      <w:r>
        <w:rPr>
          <w:rFonts w:eastAsia="Arial" w:cs="Arial" w:ascii="Arial" w:hAnsi="Arial"/>
          <w:b/>
          <w:bCs/>
          <w:color w:val="FFFFFF"/>
          <w:sz w:val="26"/>
          <w:szCs w:val="26"/>
        </w:rPr>
        <w:t>QUICK REFERENCE — KEY COMMANDS</w:t>
      </w:r>
    </w:p>
    <w:p>
      <w:pPr>
        <w:pStyle w:val="Normal"/>
        <w:shd w:val="clear" w:fill="1F4E79"/>
        <w:spacing w:before="0" w:after="160"/>
        <w:ind w:left="80"/>
        <w:rPr/>
      </w:pPr>
      <w:r>
        <w:rPr>
          <w:rFonts w:eastAsia="Arial" w:cs="Arial"/>
          <w:i/>
          <w:iCs/>
          <w:color w:val="EBF3FB"/>
          <w:sz w:val="18"/>
          <w:szCs w:val="18"/>
        </w:rPr>
        <w:t>Critical Console Commands by Role</w:t>
      </w:r>
    </w:p>
    <w:tbl>
      <w:tblPr>
        <w:tblW w:w="9360" w:type="dxa"/>
        <w:jc w:val="left"/>
        <w:tblInd w:w="0" w:type="dxa"/>
        <w:tblLayout w:type="fixed"/>
        <w:tblCellMar>
          <w:top w:w="80" w:type="dxa"/>
          <w:left w:w="140" w:type="dxa"/>
          <w:bottom w:w="80" w:type="dxa"/>
          <w:right w:w="140" w:type="dxa"/>
        </w:tblCellMar>
      </w:tblPr>
      <w:tblGrid>
        <w:gridCol w:w="3200"/>
        <w:gridCol w:w="4360"/>
        <w:gridCol w:w="1800"/>
      </w:tblGrid>
      <w:tr>
        <w:trPr>
          <w:tblHeader w:val="true"/>
          <w:cantSplit w:val="true"/>
        </w:trPr>
        <w:tc>
          <w:tcPr>
            <w:tcW w:w="32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Command</w:t>
            </w:r>
          </w:p>
        </w:tc>
        <w:tc>
          <w:tcPr>
            <w:tcW w:w="436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Purpose</w:t>
            </w:r>
          </w:p>
        </w:tc>
        <w:tc>
          <w:tcPr>
            <w:tcW w:w="18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Who</w:t>
            </w:r>
          </w:p>
        </w:tc>
      </w:tr>
      <w:tr>
        <w:trPr>
          <w:cantSplit w:val="true"/>
        </w:trPr>
        <w:tc>
          <w:tcPr>
            <w:tcW w:w="32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WRKCLU</w:t>
            </w:r>
          </w:p>
        </w:tc>
        <w:tc>
          <w:tcPr>
            <w:tcW w:w="436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Main PowerHA entry point — all cluster operations</w:t>
            </w:r>
          </w:p>
        </w:tc>
        <w:tc>
          <w:tcPr>
            <w:tcW w:w="18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QSECOFR</w:t>
            </w:r>
          </w:p>
        </w:tc>
      </w:tr>
      <w:tr>
        <w:trPr>
          <w:cantSplit w:val="true"/>
        </w:trPr>
        <w:tc>
          <w:tcPr>
            <w:tcW w:w="32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WRKCLU OPTION(8)</w:t>
            </w:r>
          </w:p>
        </w:tc>
        <w:tc>
          <w:tcPr>
            <w:tcW w:w="436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Work with *SYSBAS Cluster resources</w:t>
            </w:r>
          </w:p>
        </w:tc>
        <w:tc>
          <w:tcPr>
            <w:tcW w:w="18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QSECOFR</w:t>
            </w:r>
          </w:p>
        </w:tc>
      </w:tr>
      <w:tr>
        <w:trPr>
          <w:cantSplit w:val="true"/>
        </w:trPr>
        <w:tc>
          <w:tcPr>
            <w:tcW w:w="32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WRKCLU OPTION(9)</w:t>
            </w:r>
          </w:p>
        </w:tc>
        <w:tc>
          <w:tcPr>
            <w:tcW w:w="436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PowerHA Resource Group operations — initiate switchover</w:t>
            </w:r>
          </w:p>
        </w:tc>
        <w:tc>
          <w:tcPr>
            <w:tcW w:w="18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QSECOFR</w:t>
            </w:r>
          </w:p>
        </w:tc>
      </w:tr>
      <w:tr>
        <w:trPr>
          <w:cantSplit w:val="true"/>
        </w:trPr>
        <w:tc>
          <w:tcPr>
            <w:tcW w:w="32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WRKCLU OPTION(10)</w:t>
            </w:r>
          </w:p>
        </w:tc>
        <w:tc>
          <w:tcPr>
            <w:tcW w:w="436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Toolkit / ASP copy verification (used for flashing)</w:t>
            </w:r>
          </w:p>
        </w:tc>
        <w:tc>
          <w:tcPr>
            <w:tcW w:w="18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QSECOFR</w:t>
            </w:r>
          </w:p>
        </w:tc>
      </w:tr>
      <w:tr>
        <w:trPr>
          <w:cantSplit w:val="true"/>
        </w:trPr>
        <w:tc>
          <w:tcPr>
            <w:tcW w:w="32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WRKASPJOB</w:t>
            </w:r>
          </w:p>
        </w:tc>
        <w:tc>
          <w:tcPr>
            <w:tcW w:w="436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Work with IASP jobs — end all before switchover</w:t>
            </w:r>
          </w:p>
        </w:tc>
        <w:tc>
          <w:tcPr>
            <w:tcW w:w="18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QSECOFR</w:t>
            </w:r>
          </w:p>
        </w:tc>
      </w:tr>
      <w:tr>
        <w:trPr>
          <w:cantSplit w:val="true"/>
        </w:trPr>
        <w:tc>
          <w:tcPr>
            <w:tcW w:w="32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CHKDUPLIBS IASP(DAHAIASP)</w:t>
            </w:r>
          </w:p>
        </w:tc>
        <w:tc>
          <w:tcPr>
            <w:tcW w:w="436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Check for duplicate libraries in the IASP</w:t>
            </w:r>
          </w:p>
        </w:tc>
        <w:tc>
          <w:tcPr>
            <w:tcW w:w="18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QSECOFR</w:t>
            </w:r>
          </w:p>
        </w:tc>
      </w:tr>
      <w:tr>
        <w:trPr>
          <w:cantSplit w:val="true"/>
        </w:trPr>
        <w:tc>
          <w:tcPr>
            <w:tcW w:w="32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SETASPGRP ASPGRP(DAHAIASP)</w:t>
            </w:r>
          </w:p>
        </w:tc>
        <w:tc>
          <w:tcPr>
            <w:tcW w:w="436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Set ASP Group for IASP object access</w:t>
            </w:r>
          </w:p>
        </w:tc>
        <w:tc>
          <w:tcPr>
            <w:tcW w:w="18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QSECOFR</w:t>
            </w:r>
          </w:p>
        </w:tc>
      </w:tr>
      <w:tr>
        <w:trPr>
          <w:cantSplit w:val="true"/>
        </w:trPr>
        <w:tc>
          <w:tcPr>
            <w:tcW w:w="32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WRKACTJOB SBS(QCTL)</w:t>
            </w:r>
          </w:p>
        </w:tc>
        <w:tc>
          <w:tcPr>
            <w:tcW w:w="436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Monitor subsystem activity during Level 3 transitions</w:t>
            </w:r>
          </w:p>
        </w:tc>
        <w:tc>
          <w:tcPr>
            <w:tcW w:w="18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SYSMGMT</w:t>
            </w:r>
          </w:p>
        </w:tc>
      </w:tr>
      <w:tr>
        <w:trPr>
          <w:cantSplit w:val="true"/>
        </w:trPr>
        <w:tc>
          <w:tcPr>
            <w:tcW w:w="32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ENDSBS / STRSBS</w:t>
            </w:r>
          </w:p>
        </w:tc>
        <w:tc>
          <w:tcPr>
            <w:tcW w:w="436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End or Start a subsystem</w:t>
            </w:r>
          </w:p>
        </w:tc>
        <w:tc>
          <w:tcPr>
            <w:tcW w:w="18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SYSMGMT</w:t>
            </w:r>
          </w:p>
        </w:tc>
      </w:tr>
      <w:tr>
        <w:trPr>
          <w:cantSplit w:val="true"/>
        </w:trPr>
        <w:tc>
          <w:tcPr>
            <w:tcW w:w="32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STRTCPSVR / ENDTCPSVR</w:t>
            </w:r>
          </w:p>
        </w:tc>
        <w:tc>
          <w:tcPr>
            <w:tcW w:w="436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Start / End TCP server</w:t>
            </w:r>
          </w:p>
        </w:tc>
        <w:tc>
          <w:tcPr>
            <w:tcW w:w="18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SYSMGMT</w:t>
            </w:r>
          </w:p>
        </w:tc>
      </w:tr>
      <w:tr>
        <w:trPr>
          <w:cantSplit w:val="true"/>
        </w:trPr>
        <w:tc>
          <w:tcPr>
            <w:tcW w:w="32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STRHOSTSVR</w:t>
            </w:r>
          </w:p>
        </w:tc>
        <w:tc>
          <w:tcPr>
            <w:tcW w:w="436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Start IBM i host server (NetServer, ODBC)</w:t>
            </w:r>
          </w:p>
        </w:tc>
        <w:tc>
          <w:tcPr>
            <w:tcW w:w="18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SYSMGMT</w:t>
            </w:r>
          </w:p>
        </w:tc>
      </w:tr>
      <w:tr>
        <w:trPr>
          <w:cantSplit w:val="true"/>
        </w:trPr>
        <w:tc>
          <w:tcPr>
            <w:tcW w:w="32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DSPSYSVAL SYSVAL(QABNORMSW)</w:t>
            </w:r>
          </w:p>
        </w:tc>
        <w:tc>
          <w:tcPr>
            <w:tcW w:w="436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Check for abnormal system switch indicator</w:t>
            </w:r>
          </w:p>
        </w:tc>
        <w:tc>
          <w:tcPr>
            <w:tcW w:w="18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SYSMGMT</w:t>
            </w:r>
          </w:p>
        </w:tc>
      </w:tr>
      <w:tr>
        <w:trPr>
          <w:cantSplit w:val="true"/>
        </w:trPr>
        <w:tc>
          <w:tcPr>
            <w:tcW w:w="32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DSPFMWSTS</w:t>
            </w:r>
          </w:p>
        </w:tc>
        <w:tc>
          <w:tcPr>
            <w:tcW w:w="436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Display framework status</w:t>
            </w:r>
          </w:p>
        </w:tc>
        <w:tc>
          <w:tcPr>
            <w:tcW w:w="18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SYSMGMT</w:t>
            </w:r>
          </w:p>
        </w:tc>
      </w:tr>
      <w:tr>
        <w:trPr>
          <w:cantSplit w:val="true"/>
        </w:trPr>
        <w:tc>
          <w:tcPr>
            <w:tcW w:w="32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WRKLICINF / GO LICPGM OPTION(10)</w:t>
            </w:r>
          </w:p>
        </w:tc>
        <w:tc>
          <w:tcPr>
            <w:tcW w:w="436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Work with license information</w:t>
            </w:r>
          </w:p>
        </w:tc>
        <w:tc>
          <w:tcPr>
            <w:tcW w:w="18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SYSMGMT</w:t>
            </w:r>
          </w:p>
        </w:tc>
      </w:tr>
      <w:tr>
        <w:trPr>
          <w:cantSplit w:val="true"/>
        </w:trPr>
        <w:tc>
          <w:tcPr>
            <w:tcW w:w="32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CALL QSFWINV / DSPSFWRSC</w:t>
            </w:r>
          </w:p>
        </w:tc>
        <w:tc>
          <w:tcPr>
            <w:tcW w:w="436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Display software inventory / resources</w:t>
            </w:r>
          </w:p>
        </w:tc>
        <w:tc>
          <w:tcPr>
            <w:tcW w:w="18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SYSMGMT</w:t>
            </w:r>
          </w:p>
        </w:tc>
      </w:tr>
      <w:tr>
        <w:trPr>
          <w:cantSplit w:val="true"/>
        </w:trPr>
        <w:tc>
          <w:tcPr>
            <w:tcW w:w="32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RSLSETOID PRC(RBT)</w:t>
            </w:r>
          </w:p>
        </w:tc>
        <w:tc>
          <w:tcPr>
            <w:tcW w:w="436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Reset Robot Schedule OID after a node change</w:t>
            </w:r>
          </w:p>
        </w:tc>
        <w:tc>
          <w:tcPr>
            <w:tcW w:w="18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MLENGBR2</w:t>
            </w:r>
          </w:p>
        </w:tc>
      </w:tr>
      <w:tr>
        <w:trPr>
          <w:cantSplit w:val="true"/>
        </w:trPr>
        <w:tc>
          <w:tcPr>
            <w:tcW w:w="32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RBTSYSLIB/RSLSHUTDWN</w:t>
            </w:r>
          </w:p>
        </w:tc>
        <w:tc>
          <w:tcPr>
            <w:tcW w:w="436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Shutdown the RBTSLEEPER subsystem before Robot reset</w:t>
            </w:r>
          </w:p>
        </w:tc>
        <w:tc>
          <w:tcPr>
            <w:tcW w:w="18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MLENGBR2</w:t>
            </w:r>
          </w:p>
        </w:tc>
      </w:tr>
      <w:tr>
        <w:trPr>
          <w:cantSplit w:val="true"/>
        </w:trPr>
        <w:tc>
          <w:tcPr>
            <w:tcW w:w="32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STRSBS SBSD(RBTSYSLIB/RBTSLEEPER)</w:t>
            </w:r>
          </w:p>
        </w:tc>
        <w:tc>
          <w:tcPr>
            <w:tcW w:w="436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Start the Robot Sleeper subsystem</w:t>
            </w:r>
          </w:p>
        </w:tc>
        <w:tc>
          <w:tcPr>
            <w:tcW w:w="18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MLENGBR2</w:t>
            </w:r>
          </w:p>
        </w:tc>
      </w:tr>
      <w:tr>
        <w:trPr>
          <w:cantSplit w:val="true"/>
        </w:trPr>
        <w:tc>
          <w:tcPr>
            <w:tcW w:w="32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GGSCI &gt; STOP MANAGER</w:t>
            </w:r>
          </w:p>
        </w:tc>
        <w:tc>
          <w:tcPr>
            <w:tcW w:w="436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Stop the GoldenGate manager from within GGSCI</w:t>
            </w:r>
          </w:p>
        </w:tc>
        <w:tc>
          <w:tcPr>
            <w:tcW w:w="18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MLENGBR2</w:t>
            </w:r>
          </w:p>
        </w:tc>
      </w:tr>
      <w:tr>
        <w:trPr>
          <w:cantSplit w:val="true"/>
        </w:trPr>
        <w:tc>
          <w:tcPr>
            <w:tcW w:w="32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ENDSBS SBS(GOLDENGATE) OPTION(*IMMED)</w:t>
            </w:r>
          </w:p>
        </w:tc>
        <w:tc>
          <w:tcPr>
            <w:tcW w:w="436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Immediately end the GoldenGate subsystem</w:t>
            </w:r>
          </w:p>
        </w:tc>
        <w:tc>
          <w:tcPr>
            <w:tcW w:w="18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MLENGBR2</w:t>
            </w:r>
          </w:p>
        </w:tc>
      </w:tr>
    </w:tbl>
    <w:p>
      <w:pPr>
        <w:pStyle w:val="Normal"/>
        <w:spacing w:before="200" w:after="200"/>
        <w:rPr/>
      </w:pPr>
      <w:r>
        <w:rPr/>
      </w:r>
    </w:p>
    <w:p>
      <w:pPr>
        <w:pStyle w:val="Normal"/>
        <w:spacing w:before="200" w:after="0"/>
        <w:jc w:val="center"/>
        <w:rPr/>
      </w:pPr>
      <w:r>
        <w:rPr>
          <w:rFonts w:eastAsia="Arial" w:cs="Arial"/>
          <w:i/>
          <w:iCs/>
          <w:color w:val="44546A"/>
          <w:sz w:val="17"/>
          <w:szCs w:val="17"/>
        </w:rPr>
        <w:t>End of Document  —  iSeries DEV Disaster Recovery Playbook  —  Version 1.0</w:t>
      </w:r>
    </w:p>
    <w:p>
      <w:pPr>
        <w:pStyle w:val="Normal"/>
        <w:jc w:val="center"/>
        <w:rPr/>
      </w:pPr>
      <w:r>
        <w:rPr>
          <w:rFonts w:eastAsia="Arial" w:cs="Arial"/>
          <w:b/>
          <w:bCs/>
          <w:color w:val="C00000"/>
          <w:sz w:val="17"/>
          <w:szCs w:val="17"/>
        </w:rPr>
        <w:t>CONFIDENTIAL — Internal Use Only — Unauthorized distribution is strictly prohibited</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 w:name="Courier New">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2E75B6"/>
      </w:pBdr>
      <w:tabs>
        <w:tab w:val="clear" w:pos="720"/>
        <w:tab w:val="right" w:pos="9360" w:leader="none"/>
      </w:tabs>
      <w:spacing w:before="0" w:after="0"/>
      <w:rPr/>
    </w:pPr>
    <w:r>
      <w:rPr>
        <w:rFonts w:eastAsia="Arial" w:cs="Arial"/>
        <w:color w:val="8496A9"/>
        <w:sz w:val="17"/>
        <w:szCs w:val="17"/>
      </w:rPr>
      <w:t>McLane Company, Inc.  —  Internal Use Only</w:t>
      <w:tab/>
      <w:t xml:space="preserve">Page </w:t>
    </w:r>
    <w:r>
      <w:rPr/>
      <w:fldChar w:fldCharType="begin"/>
    </w:r>
    <w:r>
      <w:rPr/>
      <w:instrText xml:space="preserve"> PAGE </w:instrText>
    </w:r>
    <w:r>
      <w:rPr/>
      <w:fldChar w:fldCharType="separate"/>
    </w:r>
    <w:r>
      <w:rPr/>
      <w:t>40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2E75B6"/>
      </w:pBdr>
      <w:tabs>
        <w:tab w:val="clear" w:pos="720"/>
        <w:tab w:val="right" w:pos="9360" w:leader="none"/>
      </w:tabs>
      <w:spacing w:before="0" w:after="0"/>
      <w:rPr/>
    </w:pPr>
    <w:r>
      <w:rPr>
        <w:rFonts w:eastAsia="Arial" w:cs="Arial"/>
        <w:color w:val="8496A9"/>
        <w:sz w:val="17"/>
        <w:szCs w:val="17"/>
      </w:rPr>
      <w:t>McLane Company, Inc.  —  Internal Use Only</w:t>
      <w:tab/>
      <w:t xml:space="preserve">Page </w:t>
    </w:r>
    <w:r>
      <w:rPr/>
      <w:fldChar w:fldCharType="begin"/>
    </w:r>
    <w:r>
      <w:rPr/>
      <w:instrText xml:space="preserve"> PAGE </w:instrText>
    </w:r>
    <w:r>
      <w:rPr/>
      <w:fldChar w:fldCharType="separate"/>
    </w:r>
    <w:r>
      <w:rPr/>
      <w:t>40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2E75B6"/>
      </w:pBdr>
      <w:spacing w:before="0" w:after="0"/>
      <w:rPr/>
    </w:pPr>
    <w:r>
      <w:rPr>
        <w:rFonts w:eastAsia="Arial" w:cs="Arial"/>
        <w:color w:val="8496A9"/>
        <w:sz w:val="17"/>
        <w:szCs w:val="17"/>
      </w:rPr>
      <w:t>iSeries DEV  |  DR Playbook (Temple → Equinix)  |  Version 1.0</w:t>
    </w:r>
    <w:r>
      <w:rPr>
        <w:rFonts w:eastAsia="Arial" w:cs="Arial"/>
        <w:sz w:val="17"/>
        <w:szCs w:val="17"/>
      </w:rPr>
      <w:t xml:space="preserve">        </w:t>
    </w:r>
    <w:r>
      <w:rPr>
        <w:rFonts w:eastAsia="Arial" w:cs="Arial"/>
        <w:b/>
        <w:bCs/>
        <w:color w:val="C00000"/>
        <w:sz w:val="17"/>
        <w:szCs w:val="17"/>
      </w:rPr>
      <w:t>CONFIDENTIAL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2E75B6"/>
      </w:pBdr>
      <w:spacing w:before="0" w:after="0"/>
      <w:rPr/>
    </w:pPr>
    <w:r>
      <w:rPr>
        <w:rFonts w:eastAsia="Arial" w:cs="Arial"/>
        <w:color w:val="8496A9"/>
        <w:sz w:val="17"/>
        <w:szCs w:val="17"/>
      </w:rPr>
      <w:t>iSeries DEV  |  DR Playbook (Temple → Equinix)  |  Version 1.0</w:t>
    </w:r>
    <w:r>
      <w:rPr>
        <w:rFonts w:eastAsia="Arial" w:cs="Arial"/>
        <w:sz w:val="17"/>
        <w:szCs w:val="17"/>
      </w:rPr>
      <w:t xml:space="preserve">        </w:t>
    </w:r>
    <w:r>
      <w:rPr>
        <w:rFonts w:eastAsia="Arial" w:cs="Arial"/>
        <w:b/>
        <w:bCs/>
        <w:color w:val="C00000"/>
        <w:sz w:val="17"/>
        <w:szCs w:val="17"/>
      </w:rPr>
      <w:t>CONFIDENTIAL</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44546A"/>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44546A"/>
      <w:kern w:val="0"/>
      <w:sz w:val="20"/>
      <w:szCs w:val="20"/>
      <w:lang w:val="en-US" w:eastAsia="zh-CN" w:bidi="hi-IN"/>
    </w:rPr>
  </w:style>
  <w:style w:type="paragraph" w:styleId="Heading1">
    <w:name w:val="Heading 1"/>
    <w:basedOn w:val="Heading"/>
    <w:qFormat/>
    <w:pPr>
      <w:spacing w:before="360" w:after="0"/>
      <w:outlineLvl w:val="0"/>
    </w:pPr>
    <w:rPr>
      <w:rFonts w:ascii="Arial" w:hAnsi="Arial" w:eastAsia="Arial" w:cs="Arial"/>
      <w:b/>
      <w:bCs/>
      <w:color w:val="FFFFFF"/>
      <w:sz w:val="26"/>
      <w:szCs w:val="26"/>
    </w:rPr>
  </w:style>
  <w:style w:type="paragraph" w:styleId="Heading2">
    <w:name w:val="Heading 2"/>
    <w:basedOn w:val="Heading"/>
    <w:qFormat/>
    <w:pPr>
      <w:spacing w:before="200" w:after="60"/>
      <w:outlineLvl w:val="1"/>
    </w:pPr>
    <w:rPr>
      <w:rFonts w:ascii="Arial" w:hAnsi="Arial" w:eastAsia="Arial" w:cs="Arial"/>
      <w:b/>
      <w:bCs/>
      <w:color w:val="1A3A5C"/>
      <w:sz w:val="22"/>
      <w:szCs w:val="22"/>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44546A"/>
      <w:kern w:val="0"/>
      <w:sz w:val="20"/>
      <w:szCs w:val="20"/>
      <w:lang w:val="en-US" w:eastAsia="zh-CN" w:bidi="hi-IN"/>
    </w:rPr>
  </w:style>
  <w:style w:type="paragraph" w:styleId="ListParagraph">
    <w:name w:val="List Paragraph"/>
    <w:qFormat/>
    <w:pPr>
      <w:widowControl/>
      <w:bidi w:val="0"/>
      <w:spacing w:before="0" w:after="0"/>
      <w:jc w:val="left"/>
    </w:pPr>
    <w:rPr>
      <w:rFonts w:ascii="Arial" w:hAnsi="Arial" w:eastAsia="Arial" w:cs="Arial"/>
      <w:color w:val="44546A"/>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40</Pages>
  <Words>6646</Words>
  <Characters>37174</Characters>
  <CharactersWithSpaces>43054</CharactersWithSpaces>
  <Paragraphs>1481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2026-06-17T07:23:36Z</dcterms:created>
  <dc:creator>Un-named</dc:creator>
  <dc:description/>
  <dc:language>en-US</dc:language>
  <cp:lastModifiedBy/>
  <dcterms:modified xsi:type="dcterms:W3CDTF">2026-06-17T07:25:11Z</dcterms:modified>
  <cp:revision>2</cp:revision>
  <dc:subject/>
  <dc:title/>
</cp:coreProperties>
</file>