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F0AF" w14:textId="77777777" w:rsidR="00FE4F19" w:rsidRPr="00FE4F19" w:rsidRDefault="00FE4F19" w:rsidP="00FE4F19">
      <w:pPr>
        <w:rPr>
          <w:b/>
          <w:bCs/>
        </w:rPr>
      </w:pPr>
      <w:r w:rsidRPr="00FE4F19">
        <w:rPr>
          <w:b/>
          <w:bCs/>
        </w:rPr>
        <w:t>1. JES2 SPOOL Shortage Incident</w:t>
      </w:r>
    </w:p>
    <w:p w14:paraId="0EAC375A" w14:textId="77777777" w:rsidR="00FE4F19" w:rsidRPr="00FE4F19" w:rsidRDefault="00FE4F19" w:rsidP="00FE4F19">
      <w:r w:rsidRPr="00FE4F19">
        <w:rPr>
          <w:b/>
          <w:bCs/>
        </w:rPr>
        <w:t>Spoken answer:</w:t>
      </w:r>
    </w:p>
    <w:p w14:paraId="7FD43FFF" w14:textId="77777777" w:rsidR="00FE4F19" w:rsidRPr="00FE4F19" w:rsidRDefault="00FE4F19" w:rsidP="00FE4F19">
      <w:r w:rsidRPr="00FE4F19">
        <w:t>"One of the more instructive incidents I was involved in was a JES2 SPOOL shortage at an insurance client last year. The SPOOL filled up during a busy processing window, and the response under pressure made things worse — a $P SPOOL cancel was issued, which cascaded into a much bigger problem, and the system ultimately came up on a cold start with $HASP003 RC=101 messages. What I took away from it wasn't really technical. It was that in a degraded state, the riskiest thing is a command issued quickly without an impact assessment. I contributed to the lessons-learned review afterwards, and the actions we agreed were: a documented escalation path, a rule that drain-and-halt commands need a second pair of eyes, and proactive SPOOL threshold alerting rather than reacting when it's already at ninety percent."</w:t>
      </w:r>
    </w:p>
    <w:p w14:paraId="0CA824B5" w14:textId="77777777" w:rsidR="00FE4F19" w:rsidRPr="00FE4F19" w:rsidRDefault="00FE4F19" w:rsidP="00FE4F19">
      <w:r w:rsidRPr="00FE4F19">
        <w:rPr>
          <w:b/>
          <w:bCs/>
        </w:rPr>
        <w:t>If probed:</w:t>
      </w:r>
    </w:p>
    <w:p w14:paraId="2994EC07" w14:textId="77777777" w:rsidR="00FE4F19" w:rsidRPr="00FE4F19" w:rsidRDefault="00FE4F19" w:rsidP="00FE4F19">
      <w:pPr>
        <w:numPr>
          <w:ilvl w:val="0"/>
          <w:numId w:val="1"/>
        </w:numPr>
      </w:pPr>
      <w:r w:rsidRPr="00FE4F19">
        <w:t>SPOOL utilisation should be alerted at a warning threshold well before $HASP050-level resource shortage messages.</w:t>
      </w:r>
    </w:p>
    <w:p w14:paraId="512F8BD4" w14:textId="77777777" w:rsidR="00FE4F19" w:rsidRPr="00FE4F19" w:rsidRDefault="00FE4F19" w:rsidP="00FE4F19">
      <w:pPr>
        <w:numPr>
          <w:ilvl w:val="0"/>
          <w:numId w:val="1"/>
        </w:numPr>
      </w:pPr>
      <w:r w:rsidRPr="00FE4F19">
        <w:t>$P SPOOL drains a volume — safe only when there's room elsewhere and no active work bound to it.</w:t>
      </w:r>
    </w:p>
    <w:p w14:paraId="28142234" w14:textId="77777777" w:rsidR="00FE4F19" w:rsidRPr="00FE4F19" w:rsidRDefault="00FE4F19" w:rsidP="00FE4F19">
      <w:pPr>
        <w:numPr>
          <w:ilvl w:val="0"/>
          <w:numId w:val="1"/>
        </w:numPr>
      </w:pPr>
      <w:r w:rsidRPr="00FE4F19">
        <w:t>Cold start clears the job queue entirely, so recovery cost is high; a warm start should always be attempted first.</w:t>
      </w:r>
    </w:p>
    <w:p w14:paraId="2770E4BB" w14:textId="77777777" w:rsidR="00FE4F19" w:rsidRPr="00FE4F19" w:rsidRDefault="00FE4F19" w:rsidP="00FE4F19">
      <w:r w:rsidRPr="00FE4F19">
        <w:pict w14:anchorId="5A306606">
          <v:rect id="_x0000_i1079" style="width:0;height:1.5pt" o:hralign="center" o:hrstd="t" o:hr="t" fillcolor="#a0a0a0" stroked="f"/>
        </w:pict>
      </w:r>
    </w:p>
    <w:p w14:paraId="3103AA7C" w14:textId="77777777" w:rsidR="00FE4F19" w:rsidRPr="00FE4F19" w:rsidRDefault="00FE4F19" w:rsidP="00FE4F19">
      <w:pPr>
        <w:rPr>
          <w:b/>
          <w:bCs/>
        </w:rPr>
      </w:pPr>
      <w:r w:rsidRPr="00FE4F19">
        <w:rPr>
          <w:b/>
          <w:bCs/>
        </w:rPr>
        <w:t>2. Common Storage — PLPA / COMMON Page Data Set Sizing</w:t>
      </w:r>
    </w:p>
    <w:p w14:paraId="74B014A3" w14:textId="77777777" w:rsidR="00FE4F19" w:rsidRPr="00FE4F19" w:rsidRDefault="00FE4F19" w:rsidP="00FE4F19">
      <w:r w:rsidRPr="00FE4F19">
        <w:rPr>
          <w:b/>
          <w:bCs/>
        </w:rPr>
        <w:t>Spoken answer:</w:t>
      </w:r>
    </w:p>
    <w:p w14:paraId="221496E5" w14:textId="77777777" w:rsidR="00FE4F19" w:rsidRPr="00FE4F19" w:rsidRDefault="00FE4F19" w:rsidP="00FE4F19">
      <w:r w:rsidRPr="00FE4F19">
        <w:t xml:space="preserve">"Recently I worked on a common storage sizing issue on a production LPAR. The health check ASM_PLPA_COMMON_SIZE was flagging ILRH0105E — we were sitting at about ninety-three percent of the recommended size. When I looked at the actual configuration, the PLPA page data set was only one cylinder, a hundred and seventy-nine slots, and it was a hundred percent full. So at every IPL, PLPA was spilling over into the COMMON page data set — you could see the ILR005E message confirming it. The interesting part came when I ran IEHLIST against the volume. PLPA ended at cylinder fifteen and COMMON started at cylinder seventeen — so there was a gap, the extents weren't contiguous, which meant we couldn't simply extend in place. There were also two opposing views internally: one to enlarge PLPA substantially onto its own dedicated volume, and another to keep the small-PLPA-with-overflow design deliberately. I documented both positions with the actual slot </w:t>
      </w:r>
      <w:r w:rsidRPr="00FE4F19">
        <w:lastRenderedPageBreak/>
        <w:t>data and the extent layout, and gave a recommendation ahead of the scheduled IPL, because a page data set change only takes effect at IPL."</w:t>
      </w:r>
    </w:p>
    <w:p w14:paraId="0AED9567" w14:textId="77777777" w:rsidR="00FE4F19" w:rsidRPr="00FE4F19" w:rsidRDefault="00FE4F19" w:rsidP="00FE4F19">
      <w:r w:rsidRPr="00FE4F19">
        <w:rPr>
          <w:b/>
          <w:bCs/>
        </w:rPr>
        <w:t>If probed:</w:t>
      </w:r>
    </w:p>
    <w:p w14:paraId="57894B76" w14:textId="77777777" w:rsidR="00FE4F19" w:rsidRPr="00FE4F19" w:rsidRDefault="00FE4F19" w:rsidP="00FE4F19">
      <w:pPr>
        <w:numPr>
          <w:ilvl w:val="0"/>
          <w:numId w:val="2"/>
        </w:numPr>
      </w:pPr>
      <w:r w:rsidRPr="00FE4F19">
        <w:t>Spill-over isn't fatal, but it costs paging performance because PLPA pages then compete with common storage in the same data set.</w:t>
      </w:r>
    </w:p>
    <w:p w14:paraId="4920CCCD" w14:textId="77777777" w:rsidR="00FE4F19" w:rsidRPr="00FE4F19" w:rsidRDefault="00FE4F19" w:rsidP="00FE4F19">
      <w:pPr>
        <w:numPr>
          <w:ilvl w:val="0"/>
          <w:numId w:val="2"/>
        </w:numPr>
      </w:pPr>
      <w:r w:rsidRPr="00FE4F19">
        <w:t>Any PLPA/COMMON resize requires a new data set defined in IEASYSxx and an IPL with CLPA.</w:t>
      </w:r>
    </w:p>
    <w:p w14:paraId="0A5DB3A3" w14:textId="77777777" w:rsidR="00FE4F19" w:rsidRPr="00FE4F19" w:rsidRDefault="00FE4F19" w:rsidP="00FE4F19">
      <w:r w:rsidRPr="00FE4F19">
        <w:pict w14:anchorId="0DC6D7FD">
          <v:rect id="_x0000_i1080" style="width:0;height:1.5pt" o:hralign="center" o:hrstd="t" o:hr="t" fillcolor="#a0a0a0" stroked="f"/>
        </w:pict>
      </w:r>
    </w:p>
    <w:p w14:paraId="47C11B8D" w14:textId="77777777" w:rsidR="00FE4F19" w:rsidRPr="00FE4F19" w:rsidRDefault="00FE4F19" w:rsidP="00FE4F19">
      <w:pPr>
        <w:rPr>
          <w:b/>
          <w:bCs/>
        </w:rPr>
      </w:pPr>
      <w:r w:rsidRPr="00FE4F19">
        <w:rPr>
          <w:b/>
          <w:bCs/>
        </w:rPr>
        <w:t>3. DB2 V11 to V12 Upgrade — Archive Log Exhaustion (Post-Upgrade Outage)</w:t>
      </w:r>
    </w:p>
    <w:p w14:paraId="564AD7EC" w14:textId="77777777" w:rsidR="00FE4F19" w:rsidRPr="00FE4F19" w:rsidRDefault="00FE4F19" w:rsidP="00FE4F19">
      <w:r w:rsidRPr="00FE4F19">
        <w:rPr>
          <w:b/>
          <w:bCs/>
        </w:rPr>
        <w:t>Spoken answer:</w:t>
      </w:r>
    </w:p>
    <w:p w14:paraId="104A6190" w14:textId="77777777" w:rsidR="00FE4F19" w:rsidRPr="00FE4F19" w:rsidRDefault="00FE4F19" w:rsidP="00FE4F19">
      <w:r w:rsidRPr="00FE4F19">
        <w:t>"This is the one I usually lead with, because it's a real failure and I owned the root cause analysis. We upgraded a production DB2 subsystem from V11 to V12. The upgrade itself went cleanly and we signed off. About forty-four hours later, batch jobs started failing — IEC030I B37-04 abends and DSNJ128I messages. We had run out of archive log space.</w:t>
      </w:r>
    </w:p>
    <w:p w14:paraId="108D8936" w14:textId="77777777" w:rsidR="00FE4F19" w:rsidRPr="00FE4F19" w:rsidRDefault="00FE4F19" w:rsidP="00FE4F19">
      <w:r w:rsidRPr="00FE4F19">
        <w:t>The root cause was subtle. During the upgrade, the ZPARM job was extracted using the IBM-supplied template member, DSNTIJUZ, rather than the site's actual production ZPARM. The template carried IBM's default primary and secondary space quantities for archive logs, which were far smaller than what production volumes actually needed. So the parameters looked valid — nothing failed at upgrade time — the sizing was simply wrong, and it only surfaced once enough log volume had accumulated.</w:t>
      </w:r>
    </w:p>
    <w:p w14:paraId="20D5A36D" w14:textId="77777777" w:rsidR="00FE4F19" w:rsidRPr="00FE4F19" w:rsidRDefault="00FE4F19" w:rsidP="00FE4F19">
      <w:r w:rsidRPr="00FE4F19">
        <w:t>To recover, we added a new active log data set and applied the corrected space parameters through a dynamic sysparm reload, so we didn't need an outage to fix it. I then wrote the formal RCA. I was deliberate about tone there — the gap was in the process, not in any one person's work, so the document identified the missing verification step rather than assigning blame. The corrective action was a mandatory ZPARM comparison — template versus production — as a signed-off step in every upgrade runbook, and I built an Excel comparison workbook to make that repeatable."</w:t>
      </w:r>
    </w:p>
    <w:p w14:paraId="3EEB5906" w14:textId="77777777" w:rsidR="00FE4F19" w:rsidRPr="00FE4F19" w:rsidRDefault="00FE4F19" w:rsidP="00FE4F19">
      <w:r w:rsidRPr="00FE4F19">
        <w:rPr>
          <w:b/>
          <w:bCs/>
        </w:rPr>
        <w:t>If probed:</w:t>
      </w:r>
    </w:p>
    <w:p w14:paraId="65C31F82" w14:textId="77777777" w:rsidR="00FE4F19" w:rsidRPr="00FE4F19" w:rsidRDefault="00FE4F19" w:rsidP="00FE4F19">
      <w:pPr>
        <w:numPr>
          <w:ilvl w:val="0"/>
          <w:numId w:val="3"/>
        </w:numPr>
      </w:pPr>
      <w:r w:rsidRPr="00FE4F19">
        <w:t>B37-04 = out of space on secondary extents; DSNJ128I indicates the archive log offload failed.</w:t>
      </w:r>
    </w:p>
    <w:p w14:paraId="099CA063" w14:textId="77777777" w:rsidR="00FE4F19" w:rsidRPr="00FE4F19" w:rsidRDefault="00FE4F19" w:rsidP="00FE4F19">
      <w:pPr>
        <w:numPr>
          <w:ilvl w:val="0"/>
          <w:numId w:val="3"/>
        </w:numPr>
      </w:pPr>
      <w:r w:rsidRPr="00FE4F19">
        <w:t>Dynamic reload via SET SYSPARM avoided a subsystem restart.</w:t>
      </w:r>
    </w:p>
    <w:p w14:paraId="58C1A77E" w14:textId="77777777" w:rsidR="00FE4F19" w:rsidRPr="00FE4F19" w:rsidRDefault="00FE4F19" w:rsidP="00FE4F19">
      <w:pPr>
        <w:numPr>
          <w:ilvl w:val="0"/>
          <w:numId w:val="3"/>
        </w:numPr>
      </w:pPr>
      <w:r w:rsidRPr="00FE4F19">
        <w:lastRenderedPageBreak/>
        <w:t>Also handled the APPLCOMPAT move off V11R1 to function level V12R1M500 in DSN6SPRM as part of the same programme.</w:t>
      </w:r>
    </w:p>
    <w:p w14:paraId="18436916" w14:textId="77777777" w:rsidR="00FE4F19" w:rsidRPr="00FE4F19" w:rsidRDefault="00FE4F19" w:rsidP="00FE4F19">
      <w:r w:rsidRPr="00FE4F19">
        <w:pict w14:anchorId="2058B64A">
          <v:rect id="_x0000_i1081" style="width:0;height:1.5pt" o:hralign="center" o:hrstd="t" o:hr="t" fillcolor="#a0a0a0" stroked="f"/>
        </w:pict>
      </w:r>
    </w:p>
    <w:p w14:paraId="6D234270" w14:textId="77777777" w:rsidR="00FE4F19" w:rsidRPr="00FE4F19" w:rsidRDefault="00FE4F19" w:rsidP="00FE4F19">
      <w:pPr>
        <w:rPr>
          <w:b/>
          <w:bCs/>
        </w:rPr>
      </w:pPr>
      <w:r w:rsidRPr="00FE4F19">
        <w:rPr>
          <w:b/>
          <w:bCs/>
        </w:rPr>
        <w:t>4. OMEGAMON 5.3 Incompatible with DB2 V12</w:t>
      </w:r>
    </w:p>
    <w:p w14:paraId="7CB8AD88" w14:textId="77777777" w:rsidR="00FE4F19" w:rsidRPr="00FE4F19" w:rsidRDefault="00FE4F19" w:rsidP="00FE4F19">
      <w:r w:rsidRPr="00FE4F19">
        <w:rPr>
          <w:b/>
          <w:bCs/>
        </w:rPr>
        <w:t>Spoken answer:</w:t>
      </w:r>
    </w:p>
    <w:p w14:paraId="53E63B82" w14:textId="77777777" w:rsidR="00FE4F19" w:rsidRPr="00FE4F19" w:rsidRDefault="00FE4F19" w:rsidP="00FE4F19">
      <w:r w:rsidRPr="00FE4F19">
        <w:t>"On the same programme, after upgrading another subsystem to DB2 V12, OMEGAMON started throwing a version-incompatible error and monitoring effectively went dark. I first assumed it was a bind or a parameter issue, so I went through the advised values and confirmed they were all in place — the error persisted. Then I went down the maintenance route. I traced two relevant APARs, PK67404 and its follow-on PK73120, but both were from 2008 and had been superseded by later maintenance that was already applied. What I eventually established, after a fairly exhaustive search, was that there is no PTF that makes OMEGAMON 5.3 support DB2 V12, and IBM doesn't publish a clean support matrix for that specific combination.</w:t>
      </w:r>
    </w:p>
    <w:p w14:paraId="4285C2DE" w14:textId="77777777" w:rsidR="00FE4F19" w:rsidRPr="00FE4F19" w:rsidRDefault="00FE4F19" w:rsidP="00FE4F19">
      <w:r w:rsidRPr="00FE4F19">
        <w:t>So I stopped chasing a fix that didn't exist, and told the client plainly that the only viable path was to complete the z/OS upgrade first and then install OMEGAMON 6.1, which does support V12. The lesson I carry from that one is that monitoring and tooling compatibility needs to be validated in the pre-upgrade assessment, not discovered afterwards."</w:t>
      </w:r>
    </w:p>
    <w:p w14:paraId="209193EB" w14:textId="77777777" w:rsidR="00FE4F19" w:rsidRPr="00FE4F19" w:rsidRDefault="00FE4F19" w:rsidP="00FE4F19">
      <w:r w:rsidRPr="00FE4F19">
        <w:pict w14:anchorId="06560343">
          <v:rect id="_x0000_i1082" style="width:0;height:1.5pt" o:hralign="center" o:hrstd="t" o:hr="t" fillcolor="#a0a0a0" stroked="f"/>
        </w:pict>
      </w:r>
    </w:p>
    <w:p w14:paraId="0BE46CF9" w14:textId="77777777" w:rsidR="00FE4F19" w:rsidRPr="00FE4F19" w:rsidRDefault="00FE4F19" w:rsidP="00FE4F19">
      <w:pPr>
        <w:rPr>
          <w:b/>
          <w:bCs/>
        </w:rPr>
      </w:pPr>
      <w:r w:rsidRPr="00FE4F19">
        <w:rPr>
          <w:b/>
          <w:bCs/>
        </w:rPr>
        <w:t>5. z/OS V2.2 to V3.1 Upgrade — The Driving System Problem</w:t>
      </w:r>
    </w:p>
    <w:p w14:paraId="553554B0" w14:textId="77777777" w:rsidR="00FE4F19" w:rsidRPr="00FE4F19" w:rsidRDefault="00FE4F19" w:rsidP="00FE4F19">
      <w:r w:rsidRPr="00FE4F19">
        <w:rPr>
          <w:b/>
          <w:bCs/>
        </w:rPr>
        <w:t>Spoken answer:</w:t>
      </w:r>
    </w:p>
    <w:p w14:paraId="79FEC1AB" w14:textId="77777777" w:rsidR="00FE4F19" w:rsidRPr="00FE4F19" w:rsidRDefault="00FE4F19" w:rsidP="00FE4F19">
      <w:r w:rsidRPr="00FE4F19">
        <w:t>"The largest piece of work I've handled recently is a z/OS V2.2 to V3.1 upgrade across three LPARs, with a CICS Transaction Server 5.2 to 6.2 upgrade in the same window.</w:t>
      </w:r>
    </w:p>
    <w:p w14:paraId="3D58C63E" w14:textId="77777777" w:rsidR="00FE4F19" w:rsidRPr="00FE4F19" w:rsidRDefault="00FE4F19" w:rsidP="00FE4F19">
      <w:r w:rsidRPr="00FE4F19">
        <w:t>The first real obstacle was the driving system. z/OS 3.1 has a minimum driving-system requirement, and the client's environment was at 2.2 — so we couldn't install from what we had. The install was CBPDO, not ServerPac, and the client had ruled out using z/OSMF. The solution was to bring in an IBM-supplied Custom-Built Offering driver at the 2.5 level, restore it onto a spare LPAR, IPL it, and then use that system's libraries to drive the migration for the other two LPARs.</w:t>
      </w:r>
    </w:p>
    <w:p w14:paraId="11B9FB96" w14:textId="77777777" w:rsidR="00FE4F19" w:rsidRPr="00FE4F19" w:rsidRDefault="00FE4F19" w:rsidP="00FE4F19">
      <w:r w:rsidRPr="00FE4F19">
        <w:t xml:space="preserve">Getting that driver up was its own set of problems. The first IPL attempt reported a successful load and then went straight into a disabled wait, PSW ending in 031 — that's a catalog problem, the system couldn't locate its master catalog. That turned out to trace back to the volume rename that happened during the restore. Once past that, the IPL </w:t>
      </w:r>
      <w:r w:rsidRPr="00FE4F19">
        <w:lastRenderedPageBreak/>
        <w:t>stopped on an outstanding ICH502A WTOR asking for the RACF primary data set name, which was blocking JES2 from starting entirely, and then JES2 itself sat on $HASP426 waiting for start options. I worked through the cold-start sequence — reply COLD NOREQ, confirm on $HASP441, then $HASP420 — and brought the system fully up. It's now running with OMVS initialised and no outstanding WTORs, and we're on track for the target LPAR by end of August."</w:t>
      </w:r>
    </w:p>
    <w:p w14:paraId="26F572C6" w14:textId="77777777" w:rsidR="00FE4F19" w:rsidRPr="00FE4F19" w:rsidRDefault="00FE4F19" w:rsidP="00FE4F19">
      <w:r w:rsidRPr="00FE4F19">
        <w:rPr>
          <w:b/>
          <w:bCs/>
        </w:rPr>
        <w:t>If probed:</w:t>
      </w:r>
    </w:p>
    <w:p w14:paraId="3140E222" w14:textId="77777777" w:rsidR="00FE4F19" w:rsidRPr="00FE4F19" w:rsidRDefault="00FE4F19" w:rsidP="00FE4F19">
      <w:pPr>
        <w:numPr>
          <w:ilvl w:val="0"/>
          <w:numId w:val="4"/>
        </w:numPr>
      </w:pPr>
      <w:r w:rsidRPr="00FE4F19">
        <w:t>Copied the client's production IODF onto the driver's SYSRES so the driver could see the real device configuration.</w:t>
      </w:r>
    </w:p>
    <w:p w14:paraId="213001C7" w14:textId="77777777" w:rsidR="00FE4F19" w:rsidRPr="00FE4F19" w:rsidRDefault="00FE4F19" w:rsidP="00FE4F19">
      <w:pPr>
        <w:numPr>
          <w:ilvl w:val="0"/>
          <w:numId w:val="4"/>
        </w:numPr>
      </w:pPr>
      <w:r w:rsidRPr="00FE4F19">
        <w:t>IODF was validation-only for this project — no hardware definition changes in scope.</w:t>
      </w:r>
    </w:p>
    <w:p w14:paraId="49C0F773" w14:textId="77777777" w:rsidR="00FE4F19" w:rsidRPr="00FE4F19" w:rsidRDefault="00FE4F19" w:rsidP="00FE4F19">
      <w:pPr>
        <w:numPr>
          <w:ilvl w:val="0"/>
          <w:numId w:val="4"/>
        </w:numPr>
      </w:pPr>
      <w:r w:rsidRPr="00FE4F19">
        <w:t>Many devices came up IEA311I UNLABELED DASD and were taken offline; expected on a restored driver, handled with suppression.</w:t>
      </w:r>
    </w:p>
    <w:p w14:paraId="0AE1CD8C" w14:textId="77777777" w:rsidR="00FE4F19" w:rsidRPr="00FE4F19" w:rsidRDefault="00FE4F19" w:rsidP="00FE4F19">
      <w:r w:rsidRPr="00FE4F19">
        <w:pict w14:anchorId="2CC7D4AB">
          <v:rect id="_x0000_i1083" style="width:0;height:1.5pt" o:hralign="center" o:hrstd="t" o:hr="t" fillcolor="#a0a0a0" stroked="f"/>
        </w:pict>
      </w:r>
    </w:p>
    <w:p w14:paraId="13973460" w14:textId="77777777" w:rsidR="00FE4F19" w:rsidRPr="00FE4F19" w:rsidRDefault="00FE4F19" w:rsidP="00FE4F19">
      <w:pPr>
        <w:rPr>
          <w:b/>
          <w:bCs/>
        </w:rPr>
      </w:pPr>
      <w:r w:rsidRPr="00FE4F19">
        <w:rPr>
          <w:b/>
          <w:bCs/>
        </w:rPr>
        <w:t>6. Production Hang — Device Reserve and Catalog Contention</w:t>
      </w:r>
    </w:p>
    <w:p w14:paraId="2AC1096A" w14:textId="77777777" w:rsidR="00FE4F19" w:rsidRPr="00FE4F19" w:rsidRDefault="00FE4F19" w:rsidP="00FE4F19">
      <w:r w:rsidRPr="00FE4F19">
        <w:rPr>
          <w:b/>
          <w:bCs/>
        </w:rPr>
        <w:t>Spoken answer:</w:t>
      </w:r>
    </w:p>
    <w:p w14:paraId="4A92E65F" w14:textId="77777777" w:rsidR="00FE4F19" w:rsidRPr="00FE4F19" w:rsidRDefault="00FE4F19" w:rsidP="00FE4F19">
      <w:r w:rsidRPr="00FE4F19">
        <w:t>"One overnight, users reported that ISPF 3.4 dataset searches were hanging on the test LPAR. When I looked at production, I saw IOS071I START PENDING on a device, and an IOS431I showing a reserve held by SYSTEM=UNKNOWN — that's the signal that something outside the sysplex is holding the device. Alongside that there was SYSIGGV2 contention on the HSM and RMM catalogs, which is why the dataset searches were hanging: they were queued behind a catalog serialisation.</w:t>
      </w:r>
    </w:p>
    <w:p w14:paraId="009CB391" w14:textId="77777777" w:rsidR="00FE4F19" w:rsidRPr="00FE4F19" w:rsidRDefault="00FE4F19" w:rsidP="00FE4F19">
      <w:r w:rsidRPr="00FE4F19">
        <w:t>The important discipline there was not to break the reserve, because forcing it off can corrupt a catalog. I escalated with the evidence, and the client's storage team confirmed it was a PPRC replication communication issue at the hardware level. Once the link recovered, the reserve cleared and contention drained on its own. My takeaway was that SYSIGGV2 contention is almost always a symptom — you have to find what's holding it, not kill the waiters."</w:t>
      </w:r>
    </w:p>
    <w:p w14:paraId="16A1681E" w14:textId="77777777" w:rsidR="00FE4F19" w:rsidRPr="00FE4F19" w:rsidRDefault="00FE4F19" w:rsidP="00FE4F19">
      <w:r w:rsidRPr="00FE4F19">
        <w:pict w14:anchorId="093667DC">
          <v:rect id="_x0000_i1084" style="width:0;height:1.5pt" o:hralign="center" o:hrstd="t" o:hr="t" fillcolor="#a0a0a0" stroked="f"/>
        </w:pict>
      </w:r>
    </w:p>
    <w:p w14:paraId="49240158" w14:textId="77777777" w:rsidR="00FE4F19" w:rsidRPr="00FE4F19" w:rsidRDefault="00FE4F19" w:rsidP="00FE4F19">
      <w:pPr>
        <w:rPr>
          <w:b/>
          <w:bCs/>
        </w:rPr>
      </w:pPr>
      <w:r w:rsidRPr="00FE4F19">
        <w:rPr>
          <w:b/>
          <w:bCs/>
        </w:rPr>
        <w:t>7. IBM DevOps Deploy (UCD) — Agent Configuration on z/OS</w:t>
      </w:r>
    </w:p>
    <w:p w14:paraId="05546606" w14:textId="77777777" w:rsidR="00FE4F19" w:rsidRPr="00FE4F19" w:rsidRDefault="00FE4F19" w:rsidP="00FE4F19">
      <w:r w:rsidRPr="00FE4F19">
        <w:rPr>
          <w:b/>
          <w:bCs/>
        </w:rPr>
        <w:t>Spoken answer:</w:t>
      </w:r>
    </w:p>
    <w:p w14:paraId="11DAB645" w14:textId="77777777" w:rsidR="00FE4F19" w:rsidRPr="00FE4F19" w:rsidRDefault="00FE4F19" w:rsidP="00FE4F19">
      <w:r w:rsidRPr="00FE4F19">
        <w:lastRenderedPageBreak/>
        <w:t>"I produced the operational runbook for renaming a UCD agent in a z/OS environment. It sounds like a trivial task, but the agent name is the identity the server uses for everything — it's carried in the agent configuration, it's what the server's agent registry keys on, and it's referenced in resource tree mappings and component-to-agent bindings. So a rename done casually leaves you with an orphaned entry on the server, a fresh unmapped agent, and every deployment targeting that resource silently broken.</w:t>
      </w:r>
    </w:p>
    <w:p w14:paraId="0E8F307D" w14:textId="77777777" w:rsidR="00FE4F19" w:rsidRPr="00FE4F19" w:rsidRDefault="00FE4F19" w:rsidP="00FE4F19">
      <w:r w:rsidRPr="00FE4F19">
        <w:t>What I built was a sequenced procedure: stop the agent cleanly, back up the configuration, update the name in the agent properties, clear the stale registration on the server side, restart, verify the agent shows online under the new name, and then re-map the resource tree entries before running a verification deployment. The value of the runbook was that it made an otherwise risky change repeatable by an operator rather than requiring the person who set it up originally."</w:t>
      </w:r>
    </w:p>
    <w:p w14:paraId="2643E076" w14:textId="77777777" w:rsidR="00FE4F19" w:rsidRPr="00FE4F19" w:rsidRDefault="00FE4F19" w:rsidP="00FE4F19">
      <w:r w:rsidRPr="00FE4F19">
        <w:rPr>
          <w:b/>
          <w:bCs/>
        </w:rPr>
        <w:t>Note to self:</w:t>
      </w:r>
      <w:r w:rsidRPr="00FE4F19">
        <w:t xml:space="preserve"> my notes cover the </w:t>
      </w:r>
      <w:r w:rsidRPr="00FE4F19">
        <w:rPr>
          <w:i/>
          <w:iCs/>
        </w:rPr>
        <w:t>agent rename</w:t>
      </w:r>
      <w:r w:rsidRPr="00FE4F19">
        <w:t xml:space="preserve"> runbook. If you want the full </w:t>
      </w:r>
      <w:r w:rsidRPr="00FE4F19">
        <w:rPr>
          <w:b/>
          <w:bCs/>
        </w:rPr>
        <w:t>UCD installation</w:t>
      </w:r>
      <w:r w:rsidRPr="00FE4F19">
        <w:t xml:space="preserve"> story instead — JVM/USS prerequisites, agent-to-server communication, certificate exchange — tell me and I'll write that section properly.</w:t>
      </w:r>
    </w:p>
    <w:p w14:paraId="1506D96C" w14:textId="77777777" w:rsidR="00FE4F19" w:rsidRPr="00FE4F19" w:rsidRDefault="00FE4F19" w:rsidP="00FE4F19">
      <w:r w:rsidRPr="00FE4F19">
        <w:pict w14:anchorId="073B1E32">
          <v:rect id="_x0000_i1085" style="width:0;height:1.5pt" o:hralign="center" o:hrstd="t" o:hr="t" fillcolor="#a0a0a0" stroked="f"/>
        </w:pict>
      </w:r>
    </w:p>
    <w:p w14:paraId="42CFD3CF" w14:textId="77777777" w:rsidR="00FE4F19" w:rsidRPr="00FE4F19" w:rsidRDefault="00FE4F19" w:rsidP="00FE4F19">
      <w:pPr>
        <w:rPr>
          <w:b/>
          <w:bCs/>
        </w:rPr>
      </w:pPr>
      <w:r w:rsidRPr="00FE4F19">
        <w:rPr>
          <w:b/>
          <w:bCs/>
        </w:rPr>
        <w:t>8. Tivoli Output Manager — RACF Access Level (P1 Case)</w:t>
      </w:r>
    </w:p>
    <w:p w14:paraId="39FD824B" w14:textId="77777777" w:rsidR="00FE4F19" w:rsidRPr="00FE4F19" w:rsidRDefault="00FE4F19" w:rsidP="00FE4F19">
      <w:r w:rsidRPr="00FE4F19">
        <w:rPr>
          <w:b/>
          <w:bCs/>
        </w:rPr>
        <w:t>Spoken answer:</w:t>
      </w:r>
    </w:p>
    <w:p w14:paraId="4D7C45C5" w14:textId="77777777" w:rsidR="00FE4F19" w:rsidRPr="00FE4F19" w:rsidRDefault="00FE4F19" w:rsidP="00FE4F19">
      <w:r w:rsidRPr="00FE4F19">
        <w:t>"A client migrating off CA-View and Deliver onto IBM Tivoli Output Manager hit a hard blocker — TOM would not display or print any reports. It was raised as a Severity 1 case. Security had already granted ALTER access on the report resource profile, and the natural assumption is that ALTER is the highest access level, so the permission must be fine.</w:t>
      </w:r>
    </w:p>
    <w:p w14:paraId="338D7E31" w14:textId="77777777" w:rsidR="00FE4F19" w:rsidRPr="00FE4F19" w:rsidRDefault="00FE4F19" w:rsidP="00FE4F19">
      <w:r w:rsidRPr="00FE4F19">
        <w:t>That assumption was wrong for this product. TOM requires CONTROL access on that particular resource, and ALTER — despite ranking higher in the usual RACF hierarchy for data sets — does not satisfy the check the product performs on that general resource class. I identified that, confirmed it against the IBM support position, and had the security team change the profile from ALTER to CONTROL. The general lesson is that for general resource classes, you go by what the product documents it checks for, not by the data set access hierarchy you carry in your head."</w:t>
      </w:r>
    </w:p>
    <w:p w14:paraId="562EFFA8" w14:textId="77777777" w:rsidR="00FE4F19" w:rsidRPr="00FE4F19" w:rsidRDefault="00FE4F19" w:rsidP="00FE4F19">
      <w:r w:rsidRPr="00FE4F19">
        <w:pict w14:anchorId="02020B48">
          <v:rect id="_x0000_i1086" style="width:0;height:1.5pt" o:hralign="center" o:hrstd="t" o:hr="t" fillcolor="#a0a0a0" stroked="f"/>
        </w:pict>
      </w:r>
    </w:p>
    <w:p w14:paraId="6412B269" w14:textId="77777777" w:rsidR="00FE4F19" w:rsidRPr="00FE4F19" w:rsidRDefault="00FE4F19" w:rsidP="00FE4F19">
      <w:pPr>
        <w:rPr>
          <w:b/>
          <w:bCs/>
        </w:rPr>
      </w:pPr>
      <w:r w:rsidRPr="00FE4F19">
        <w:rPr>
          <w:b/>
          <w:bCs/>
        </w:rPr>
        <w:t>9. DB2 SQLCODE -904 During Table Space Creation</w:t>
      </w:r>
    </w:p>
    <w:p w14:paraId="3C5352F1" w14:textId="77777777" w:rsidR="00FE4F19" w:rsidRPr="00FE4F19" w:rsidRDefault="00FE4F19" w:rsidP="00FE4F19">
      <w:r w:rsidRPr="00FE4F19">
        <w:rPr>
          <w:b/>
          <w:bCs/>
        </w:rPr>
        <w:t>Spoken answer:</w:t>
      </w:r>
    </w:p>
    <w:p w14:paraId="63A1B77F" w14:textId="77777777" w:rsidR="00FE4F19" w:rsidRPr="00FE4F19" w:rsidRDefault="00FE4F19" w:rsidP="00FE4F19">
      <w:r w:rsidRPr="00FE4F19">
        <w:lastRenderedPageBreak/>
        <w:t>"A shorter one, but it shows the diagnostic method. A developer hit SQLCODE -904 with reason code 00D70025 on a CREATE TABLESPACE. -904 just means unavailable resource, which on its own tells you nothing — the reason code is where the answer is. That particular code points to a failure creating the underlying VSAM page set, so the problem wasn't DB2 logic at all, it was storage: the data set couldn't be allocated on the target storage group. Once I framed it that way, it resolved quickly. My general point with -904 is always the same — read the reason code and the resource name in the message, don't start by looking at the SQL."</w:t>
      </w:r>
    </w:p>
    <w:p w14:paraId="4E097C12" w14:textId="77777777" w:rsidR="00FE4F19" w:rsidRPr="00FE4F19" w:rsidRDefault="00FE4F19" w:rsidP="00FE4F19">
      <w:r w:rsidRPr="00FE4F19">
        <w:pict w14:anchorId="23777597">
          <v:rect id="_x0000_i1087" style="width:0;height:1.5pt" o:hralign="center" o:hrstd="t" o:hr="t" fillcolor="#a0a0a0" stroked="f"/>
        </w:pict>
      </w:r>
    </w:p>
    <w:p w14:paraId="5CE99ED2" w14:textId="77777777" w:rsidR="00FE4F19" w:rsidRPr="00FE4F19" w:rsidRDefault="00FE4F19" w:rsidP="00FE4F19">
      <w:pPr>
        <w:rPr>
          <w:b/>
          <w:bCs/>
        </w:rPr>
      </w:pPr>
      <w:r w:rsidRPr="00FE4F19">
        <w:rPr>
          <w:b/>
          <w:bCs/>
        </w:rPr>
        <w:t>10. Reporting Without the Expected Tooling</w:t>
      </w:r>
    </w:p>
    <w:p w14:paraId="097EC7CB" w14:textId="77777777" w:rsidR="00FE4F19" w:rsidRPr="00FE4F19" w:rsidRDefault="00FE4F19" w:rsidP="00FE4F19">
      <w:r w:rsidRPr="00FE4F19">
        <w:rPr>
          <w:b/>
          <w:bCs/>
        </w:rPr>
        <w:t>Spoken answer:</w:t>
      </w:r>
    </w:p>
    <w:p w14:paraId="5FC360A1" w14:textId="77777777" w:rsidR="00FE4F19" w:rsidRPr="00FE4F19" w:rsidRDefault="00FE4F19" w:rsidP="00FE4F19">
      <w:r w:rsidRPr="00FE4F19">
        <w:t>"A current piece of work: the client needs SQL incompatibility reporting to validate application behaviour after a DB2 version change. The normal route is OMEGAMON Performance Expert, which they don't have licensed. So instead I'm collecting SMF type 102 records with IFCID 376 — that's the trace that records incompatible SQL — and building the extraction and reporting from the raw SMF data directly. It's more work than clicking a report, but it gets the client the same answer without a new licence, and it means I actually understand what the record contains."</w:t>
      </w:r>
    </w:p>
    <w:p w14:paraId="1CFA383E" w14:textId="77777777" w:rsidR="008C2C7C" w:rsidRDefault="008C2C7C"/>
    <w:sectPr w:rsidR="008C2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474"/>
    <w:multiLevelType w:val="multilevel"/>
    <w:tmpl w:val="5FA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66C3"/>
    <w:multiLevelType w:val="multilevel"/>
    <w:tmpl w:val="1D3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766AC"/>
    <w:multiLevelType w:val="multilevel"/>
    <w:tmpl w:val="3EE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80445"/>
    <w:multiLevelType w:val="multilevel"/>
    <w:tmpl w:val="CFE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75221">
    <w:abstractNumId w:val="3"/>
  </w:num>
  <w:num w:numId="2" w16cid:durableId="277878768">
    <w:abstractNumId w:val="0"/>
  </w:num>
  <w:num w:numId="3" w16cid:durableId="1450050500">
    <w:abstractNumId w:val="1"/>
  </w:num>
  <w:num w:numId="4" w16cid:durableId="257638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3A"/>
    <w:rsid w:val="000452FE"/>
    <w:rsid w:val="00242D3E"/>
    <w:rsid w:val="002B2587"/>
    <w:rsid w:val="004B7C3A"/>
    <w:rsid w:val="008C2C7C"/>
    <w:rsid w:val="00D52EC7"/>
    <w:rsid w:val="00FE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95E4"/>
  <w15:chartTrackingRefBased/>
  <w15:docId w15:val="{90659297-F4C9-4CA6-920F-3EC3B9A3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C3A"/>
    <w:rPr>
      <w:rFonts w:eastAsiaTheme="majorEastAsia" w:cstheme="majorBidi"/>
      <w:color w:val="272727" w:themeColor="text1" w:themeTint="D8"/>
    </w:rPr>
  </w:style>
  <w:style w:type="paragraph" w:styleId="Title">
    <w:name w:val="Title"/>
    <w:basedOn w:val="Normal"/>
    <w:next w:val="Normal"/>
    <w:link w:val="TitleChar"/>
    <w:uiPriority w:val="10"/>
    <w:qFormat/>
    <w:rsid w:val="004B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C3A"/>
    <w:pPr>
      <w:spacing w:before="160"/>
      <w:jc w:val="center"/>
    </w:pPr>
    <w:rPr>
      <w:i/>
      <w:iCs/>
      <w:color w:val="404040" w:themeColor="text1" w:themeTint="BF"/>
    </w:rPr>
  </w:style>
  <w:style w:type="character" w:customStyle="1" w:styleId="QuoteChar">
    <w:name w:val="Quote Char"/>
    <w:basedOn w:val="DefaultParagraphFont"/>
    <w:link w:val="Quote"/>
    <w:uiPriority w:val="29"/>
    <w:rsid w:val="004B7C3A"/>
    <w:rPr>
      <w:i/>
      <w:iCs/>
      <w:color w:val="404040" w:themeColor="text1" w:themeTint="BF"/>
    </w:rPr>
  </w:style>
  <w:style w:type="paragraph" w:styleId="ListParagraph">
    <w:name w:val="List Paragraph"/>
    <w:basedOn w:val="Normal"/>
    <w:uiPriority w:val="34"/>
    <w:qFormat/>
    <w:rsid w:val="004B7C3A"/>
    <w:pPr>
      <w:ind w:left="720"/>
      <w:contextualSpacing/>
    </w:pPr>
  </w:style>
  <w:style w:type="character" w:styleId="IntenseEmphasis">
    <w:name w:val="Intense Emphasis"/>
    <w:basedOn w:val="DefaultParagraphFont"/>
    <w:uiPriority w:val="21"/>
    <w:qFormat/>
    <w:rsid w:val="004B7C3A"/>
    <w:rPr>
      <w:i/>
      <w:iCs/>
      <w:color w:val="0F4761" w:themeColor="accent1" w:themeShade="BF"/>
    </w:rPr>
  </w:style>
  <w:style w:type="paragraph" w:styleId="IntenseQuote">
    <w:name w:val="Intense Quote"/>
    <w:basedOn w:val="Normal"/>
    <w:next w:val="Normal"/>
    <w:link w:val="IntenseQuoteChar"/>
    <w:uiPriority w:val="30"/>
    <w:qFormat/>
    <w:rsid w:val="004B7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C3A"/>
    <w:rPr>
      <w:i/>
      <w:iCs/>
      <w:color w:val="0F4761" w:themeColor="accent1" w:themeShade="BF"/>
    </w:rPr>
  </w:style>
  <w:style w:type="character" w:styleId="IntenseReference">
    <w:name w:val="Intense Reference"/>
    <w:basedOn w:val="DefaultParagraphFont"/>
    <w:uiPriority w:val="32"/>
    <w:qFormat/>
    <w:rsid w:val="004B7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1788</Words>
  <Characters>10195</Characters>
  <Application>Microsoft Office Word</Application>
  <DocSecurity>0</DocSecurity>
  <Lines>84</Lines>
  <Paragraphs>23</Paragraphs>
  <ScaleCrop>false</ScaleCrop>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Sait Ismail</dc:creator>
  <cp:keywords/>
  <dc:description/>
  <cp:lastModifiedBy>Yousuf Sait Ismail</cp:lastModifiedBy>
  <cp:revision>2</cp:revision>
  <dcterms:created xsi:type="dcterms:W3CDTF">2026-08-07T16:29:00Z</dcterms:created>
  <dcterms:modified xsi:type="dcterms:W3CDTF">2026-08-07T16:30:00Z</dcterms:modified>
</cp:coreProperties>
</file>