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유지보수 계약 개요</w:t>
      </w:r>
    </w:p>
    <w:p>
      <w:r>
        <w:t>본 문서는 2026년도 유지보수 수행사 선정 기준을 요약한다.</w:t>
      </w:r>
    </w:p>
    <w:p>
      <w:pPr>
        <w:pStyle w:val="IntenseQuote"/>
      </w:pPr>
      <w:r>
        <w:t>평가 항목</w:t>
      </w:r>
    </w:p>
    <w:p>
      <w:pPr>
        <w:pStyle w:val="ListBullet"/>
      </w:pPr>
      <w:r>
        <w:t>기술역량 평가</w:t>
      </w:r>
    </w:p>
    <w:p>
      <w:pPr>
        <w:pStyle w:val="ListBullet"/>
      </w:pPr>
      <w:r>
        <w:t>가격 적정성 검토</w:t>
      </w:r>
    </w:p>
    <w:p>
      <w:pPr>
        <w:pStyle w:val="ListBullet"/>
      </w:pPr>
      <w:r>
        <w:t>사후지원 체계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배점</w:t>
            </w:r>
          </w:p>
        </w:tc>
      </w:tr>
      <w:tr>
        <w:tc>
          <w:tcPr>
            <w:tcW w:type="dxa" w:w="4320"/>
          </w:tcPr>
          <w:p>
            <w:r>
              <w:t>기술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가격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지원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r>
        <w:t>문서 끝 표식 ZZ-마감블록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