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Matriz de Compromiso de los Interesados</w:t>
      </w:r>
    </w:p>
    <w:p>
      <w:pPr>
        <w:jc w:val="center"/>
      </w:pPr>
      <w:r>
        <w:rPr>
          <w:i/>
          <w:color w:val="555555"/>
          <w:sz w:val="26"/>
        </w:rPr>
        <w:t>Stakeholder Engagement Assessment Matrix — Expansión LTE B41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20 · Acompaña a Matriz-Compromiso-Interesados.xlsx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Subcompetencia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3.3 Gestión de Involucrados (+ 3.1, 1.2)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Evaluar el nivel de compromiso (engagement) actual de cada stakeholder vs el nivel deseado, identificar gaps y definir estrategias accionables para cerrarlos. Instrumento operativo de la subcompetencia 3.3 Gestión de Involucrados.</w:t>
      </w:r>
    </w:p>
    <w:p>
      <w:pPr>
        <w:pStyle w:val="Heading1"/>
      </w:pPr>
      <w:r>
        <w:t>2. Escala PMBOK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Desconocedor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 sabe del proyecto.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Sabe pero se opone.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Sabe pero indiferente.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Favorable y coopera.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Activamente promueve.</w:t>
            </w:r>
          </w:p>
        </w:tc>
      </w:tr>
    </w:tbl>
    <w:p>
      <w:pPr>
        <w:pStyle w:val="Heading1"/>
      </w:pPr>
      <w:r>
        <w:t>3. Metodología</w:t>
      </w:r>
    </w:p>
    <w:p>
      <w:pPr>
        <w:pStyle w:val="ListBullet"/>
      </w:pPr>
      <w:r>
        <w:rPr>
          <w:sz w:val="22"/>
        </w:rPr>
        <w:t>Levantamiento inicial: Carlos evalúa el nivel actual de cada stakeholder al kickoff.</w:t>
      </w:r>
    </w:p>
    <w:p>
      <w:pPr>
        <w:pStyle w:val="ListBullet"/>
      </w:pPr>
      <w:r>
        <w:rPr>
          <w:sz w:val="22"/>
        </w:rPr>
        <w:t>Validación cruzada: Eduardo revisa stakeholders compartidos (cuadrillas, Fernando, Ricardo Mendoza, NOC).</w:t>
      </w:r>
    </w:p>
    <w:p>
      <w:pPr>
        <w:pStyle w:val="ListBullet"/>
      </w:pPr>
      <w:r>
        <w:rPr>
          <w:sz w:val="22"/>
        </w:rPr>
        <w:t>Nivel deseado: 4 (Apoyador) por defecto para Alta Influencia/Alto Interés; 3 (Neutral) para los demás.</w:t>
      </w:r>
    </w:p>
    <w:p>
      <w:pPr>
        <w:pStyle w:val="ListBullet"/>
      </w:pPr>
      <w:r>
        <w:rPr>
          <w:sz w:val="22"/>
        </w:rPr>
        <w:t>Gap Δ = D deseado − D actual. Δ ≥ 2 requiere estrategia explícita con owner y cadencia.</w:t>
      </w:r>
    </w:p>
    <w:p>
      <w:pPr>
        <w:pStyle w:val="ListBullet"/>
      </w:pPr>
      <w:r>
        <w:rPr>
          <w:sz w:val="22"/>
        </w:rPr>
        <w:t>Cadencia: kickoff (sem 1), retro Golden Cluster (sem 4), mitad (sem 6), cierre (sem 8).</w:t>
      </w:r>
    </w:p>
    <w:p>
      <w:pPr>
        <w:pStyle w:val="Heading1"/>
      </w:pPr>
      <w:r>
        <w:t>4. Matriz (snapshot semana 1)</w:t>
      </w:r>
    </w:p>
    <w:p>
      <w:r>
        <w:rPr>
          <w:b w:val="0"/>
          <w:i/>
          <w:color w:val="777777"/>
          <w:sz w:val="18"/>
        </w:rPr>
        <w:t>🔶 Los niveles ACTUAL son una lectura inicial al kickoff; Carlos los ajusta tras observar las primeras interacciones.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Deseado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Estrategia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Customer Project Manager (CPM)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Mantener alineación; participa en daily y reunión semanal de peers.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NPM (Carlos)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Auto-evaluación en cada retrospectiva.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Customer Success Manager (CSM)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Sync semanal con Carlos para alinear narrativa hacia Telemóvil Costa Rica.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Implementation Manager (Eduardo)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Co-facilitar reunión semanal de peers.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Integration Engineers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Co-creación de DoD y Acuerdo de Equipo en kickoff.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Optimization Engineers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Patricia (junior) con mentoría de Marco.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PMO Ericsson regional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Reporte semanal de KPIs en formato del PMO.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Managed Services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Notificación post-aceptación para monitoreo continuo.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Roberto — RAN Engineering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Canal directo; invitar a Retrospectiva del Golden Cluster.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Marcela — Planning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Invitarla a sesión semanal de re-priorización.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Patricia — Quality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Participación desde Golden Cluster; co-construir DoD calidad.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Fernando — O&amp;M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Handover formal por sitio; coordinación con NOC.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Ricardo Mendoza — Acceptance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Sesión semanal de aceptación batch; bitácora compartida.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NOC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Coordinación pre-ventana; monitoreo conjunto post-integración.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Gerencia / Sponsors Telemóvil Costa Rica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Reporte ejecutivo bi-semanal.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Cuadrillas de campo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Inclusión en daily kanban; reconocimiento semanal.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Tower companies CR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Coordinación de accesos vía CPM.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Operador eléctrico (ICE/CNFL)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Solicitudes vía Implementation Team.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SUTEL (regulador CR)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Cumplimiento normativo por Telemóvil Costa Rica.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Suscriptores móviles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Usuario final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Notificaciones vía Telemóvil Costa Rica; beneficio indirecto.</w:t>
            </w:r>
          </w:p>
        </w:tc>
      </w:tr>
    </w:tbl>
    <w:p>
      <w:pPr>
        <w:pStyle w:val="Heading1"/>
      </w:pPr>
      <w:r>
        <w:t>5. Stakeholders con gap prioritario (Δ ≥ 2)</w:t>
      </w:r>
    </w:p>
    <w:p>
      <w:r>
        <w:rPr>
          <w:b/>
          <w:i w:val="0"/>
          <w:sz w:val="22"/>
        </w:rPr>
        <w:t>Total: 7 stakeholders con gap ≥ 2. Foco prioritario.</w:t>
      </w:r>
    </w:p>
    <w:p>
      <w:pPr>
        <w:pStyle w:val="Heading2"/>
      </w:pPr>
      <w:r>
        <w:t>5.5  Integration Engineers  (Interno Ericsson)</w:t>
      </w:r>
    </w:p>
    <w:p>
      <w:r>
        <w:rPr>
          <w:b/>
          <w:i w:val="0"/>
          <w:sz w:val="20"/>
        </w:rPr>
        <w:t>Actual: Neutral → Deseado: Líder. Gap: Δ = 2.</w:t>
      </w:r>
    </w:p>
    <w:p>
      <w:r>
        <w:rPr>
          <w:b w:val="0"/>
          <w:i w:val="0"/>
          <w:sz w:val="22"/>
        </w:rPr>
        <w:t>Estrategia: Co-creación de DoD y Acuerdo de Equipo en kickoff.</w:t>
      </w:r>
    </w:p>
    <w:p>
      <w:pPr>
        <w:pStyle w:val="Heading2"/>
      </w:pPr>
      <w:r>
        <w:t>5.8  Managed Services  (Interno Ericsson)</w:t>
      </w:r>
    </w:p>
    <w:p>
      <w:r>
        <w:rPr>
          <w:b/>
          <w:i w:val="0"/>
          <w:sz w:val="20"/>
        </w:rPr>
        <w:t>Actual: Desconocedor → Deseado: Neutral. Gap: Δ = 2.</w:t>
      </w:r>
    </w:p>
    <w:p>
      <w:r>
        <w:rPr>
          <w:b w:val="0"/>
          <w:i w:val="0"/>
          <w:sz w:val="22"/>
        </w:rPr>
        <w:t>Estrategia: Notificación post-aceptación para monitoreo continuo.</w:t>
      </w:r>
    </w:p>
    <w:p>
      <w:pPr>
        <w:pStyle w:val="Heading2"/>
      </w:pPr>
      <w:r>
        <w:t>5.9  Roberto — RAN Engineering Telemóvil Costa Rica  (Cliente)</w:t>
      </w:r>
    </w:p>
    <w:p>
      <w:r>
        <w:rPr>
          <w:b/>
          <w:i w:val="0"/>
          <w:sz w:val="20"/>
        </w:rPr>
        <w:t>Actual: Neutral → Deseado: Líder. Gap: Δ = 2.</w:t>
      </w:r>
    </w:p>
    <w:p>
      <w:r>
        <w:rPr>
          <w:b w:val="0"/>
          <w:i w:val="0"/>
          <w:sz w:val="22"/>
        </w:rPr>
        <w:t>Estrategia: Canal directo; invitar a Retrospectiva del Golden Cluster.</w:t>
      </w:r>
    </w:p>
    <w:p>
      <w:pPr>
        <w:pStyle w:val="Heading2"/>
      </w:pPr>
      <w:r>
        <w:t>5.11  Patricia — Quality Telemóvil Costa Rica  (Cliente)</w:t>
      </w:r>
    </w:p>
    <w:p>
      <w:r>
        <w:rPr>
          <w:b/>
          <w:i w:val="0"/>
          <w:sz w:val="20"/>
        </w:rPr>
        <w:t>Actual: Neutral → Deseado: Líder. Gap: Δ = 2.</w:t>
      </w:r>
    </w:p>
    <w:p>
      <w:r>
        <w:rPr>
          <w:b w:val="0"/>
          <w:i w:val="0"/>
          <w:sz w:val="22"/>
        </w:rPr>
        <w:t>Estrategia: Participación desde Golden Cluster; co-construir DoD calidad.</w:t>
      </w:r>
    </w:p>
    <w:p>
      <w:pPr>
        <w:pStyle w:val="Heading2"/>
      </w:pPr>
      <w:r>
        <w:t>5.13  Ricardo Mendoza — Acceptance Telemóvil Costa Rica  (Cliente)</w:t>
      </w:r>
    </w:p>
    <w:p>
      <w:r>
        <w:rPr>
          <w:b/>
          <w:i w:val="0"/>
          <w:sz w:val="20"/>
        </w:rPr>
        <w:t>Actual: Neutral → Deseado: Líder. Gap: Δ = 2.</w:t>
      </w:r>
    </w:p>
    <w:p>
      <w:r>
        <w:rPr>
          <w:b w:val="0"/>
          <w:i w:val="0"/>
          <w:sz w:val="22"/>
        </w:rPr>
        <w:t>Estrategia: Sesión semanal de aceptación batch; bitácora compartida.</w:t>
      </w:r>
    </w:p>
    <w:p>
      <w:pPr>
        <w:pStyle w:val="Heading2"/>
      </w:pPr>
      <w:r>
        <w:t>5.14  NOC Telemóvil Costa Rica  (Cliente)</w:t>
      </w:r>
    </w:p>
    <w:p>
      <w:r>
        <w:rPr>
          <w:b/>
          <w:i w:val="0"/>
          <w:sz w:val="20"/>
        </w:rPr>
        <w:t>Actual: Resistente → Deseado: Apoyador. Gap: Δ = 2.</w:t>
      </w:r>
    </w:p>
    <w:p>
      <w:r>
        <w:rPr>
          <w:b w:val="0"/>
          <w:i w:val="0"/>
          <w:sz w:val="22"/>
        </w:rPr>
        <w:t>Estrategia: Coordinación pre-ventana; monitoreo conjunto post-integración.</w:t>
      </w:r>
    </w:p>
    <w:p>
      <w:pPr>
        <w:pStyle w:val="Heading2"/>
      </w:pPr>
      <w:r>
        <w:t>5.16  Cuadrillas de campo  (Tercero)</w:t>
      </w:r>
    </w:p>
    <w:p>
      <w:r>
        <w:rPr>
          <w:b/>
          <w:i w:val="0"/>
          <w:sz w:val="20"/>
        </w:rPr>
        <w:t>Actual: Neutral → Deseado: Líder. Gap: Δ = 2.</w:t>
      </w:r>
    </w:p>
    <w:p>
      <w:r>
        <w:rPr>
          <w:b w:val="0"/>
          <w:i w:val="0"/>
          <w:sz w:val="22"/>
        </w:rPr>
        <w:t>Estrategia: Inclusión en daily kanban; reconocimiento semanal.</w:t>
      </w:r>
    </w:p>
    <w:p>
      <w:pPr>
        <w:pStyle w:val="Heading1"/>
      </w:pPr>
      <w:r>
        <w:t>6. Mapeo de subcompetencias APL</w:t>
      </w:r>
    </w:p>
    <w:p>
      <w:pPr>
        <w:pStyle w:val="ListBullet"/>
      </w:pPr>
      <w:r>
        <w:rPr>
          <w:sz w:val="22"/>
        </w:rPr>
        <w:t>3.3 Gestión de Involucrados — instrumento operativo para mover stakeholders al nivel deseado.</w:t>
      </w:r>
    </w:p>
    <w:p>
      <w:pPr>
        <w:pStyle w:val="ListBullet"/>
      </w:pPr>
      <w:r>
        <w:rPr>
          <w:sz w:val="22"/>
        </w:rPr>
        <w:t>3.1 Liderazgo Colaborativo — Carlos facilita el cambio de compromiso, no lo impone.</w:t>
      </w:r>
    </w:p>
    <w:p>
      <w:pPr>
        <w:pStyle w:val="ListBullet"/>
      </w:pPr>
      <w:r>
        <w:rPr>
          <w:sz w:val="22"/>
        </w:rPr>
        <w:t>1.2 Detección de Riesgos — un gap Δ ≥ 2 sostenido es un riesgo de involucramiento.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