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2"/>
        </w:rPr>
        <w:t>Mapa de Stakeholders</w:t>
      </w:r>
    </w:p>
    <w:p>
      <w:pPr>
        <w:jc w:val="center"/>
      </w:pPr>
      <w:r>
        <w:rPr>
          <w:i/>
          <w:color w:val="555555"/>
          <w:sz w:val="28"/>
        </w:rPr>
        <w:t>Identificación, clasificación y estrategia de involucramiento — Expansión LTE B41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Cliente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Liberty Panamá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Proyecto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Optimización ágil del despliegue de Expansión para 23 sitios LTE banda 41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Participante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Carlos Emmanuel Ramírez Castañón — Network Performance Manager, Ericsson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Entregable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Plan de Trabajo APL — Semana 1, fila 20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v1.0 — kickoff</w:t>
            </w:r>
          </w:p>
        </w:tc>
      </w:tr>
    </w:tbl>
    <w:p>
      <w:r>
        <w:t>______________________________________________________________________</w:t>
      </w:r>
    </w:p>
    <w:p>
      <w:pPr>
        <w:pStyle w:val="Heading1"/>
      </w:pPr>
      <w:r>
        <w:t>1. Propósito</w:t>
      </w:r>
    </w:p>
    <w:p>
      <w:r>
        <w:rPr>
          <w:b w:val="0"/>
          <w:i w:val="0"/>
          <w:sz w:val="22"/>
        </w:rPr>
        <w:t>Identificar a todos los grupos de interés del proyecto de Expansión LTE B41, clasificarlos por nivel de influencia e interés, y definir la estrategia de comunicación e involucramiento. Este documento da soporte a la subcompetencia 3.3 Gestión de Involucrados y establece el canal de validación semanal con el cliente.</w:t>
      </w:r>
    </w:p>
    <w:p>
      <w:pPr>
        <w:pStyle w:val="Heading1"/>
      </w:pPr>
      <w:r>
        <w:t>2. Tabla resumen de stakeholders</w:t>
      </w:r>
    </w:p>
    <w:p>
      <w:pPr>
        <w:pStyle w:val="Heading2"/>
      </w:pPr>
      <w:r>
        <w:t>2.1 Internos — Ericsson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Interés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Influencia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Estrategia de involucramiento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Preocupaciones clave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Customer Project Manager (CPM)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Reportes diarios; participación en daily Kanban; escalación de bloqueos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Cumplimiento de timeline, márgenes, riesgos comerciales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Network Performance Manager (Carlos)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Owner del Kanban y de métricas; lidera retrospectivas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FTR, validación de KPIs, propagación de errores entre sitios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Integration Engineers (RAN)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Daily standup; aceptación de FTR; co-creación de DoD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Disponibilidad de HW, ventanas, calidad de pre-checks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Implementation Team / Site Engineers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Comunicación directa con cuadrillas; reporte de readiness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Permisos, energía, acceso a sitios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Customer Solutions Manager (CSM)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Sync semanal; gestión de expectativas con Liberty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Relación comercial, escalaciones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PMO Ericsson regional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Reporte semanal de estatus y KPIs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Visibilidad de portafolio, métricas comparables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Managed Services (si aplica)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Bajo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Notificación post-aceptación para operación continua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Estabilidad operativa post-handover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2"/>
      </w:pPr>
      <w:r>
        <w:t>2.2 Externos — Cliente (Liberty Panamá)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Interés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Influencia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Estrategia de involucramiento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Preocupaciones clave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RAN Engineering Liberty (Roberto)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Validación técnica semanal; revisión de parámetros pre-integración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Calidad de configuración, alineación con templates de red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NOC Liberty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Notificación pre/post integración; revisión de alarmas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Estabilidad de red durante ventanas de mantenimiento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Acceptance Team Liberty (Ricardo Mendoza)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Sesión formal de aceptación por sitio; reporte de KPIs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Cumplimiento de criterios contractuales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Quality Liberty (Patricia)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Validación de KPIs y calidad de aceptación; participación en retros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Calidad sostenida, periodo extendido de validación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Planning / Capacity Liberty (Marcela)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Sync inicial para priorización por congestión; aportes en re-priorización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Cobertura de zonas más críticas primero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O&amp;M Liberty (Fernando)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Handover post-aceptación; coordinación con NOC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Sitio entregado a operación sin pendientes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Gerencia / Sponsors Liberty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Bajo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Reporte ejecutivo bi-semanal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Avance global, ROI, riesgos altos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2"/>
      </w:pPr>
      <w:r>
        <w:t>2.3 Externos — Proveedores y terceros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Interés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Influencia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Estrategia de involucramiento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Preocupaciones clave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Cuadrillas de campo subcontratadas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Daily de coordinación; check-in/check-out por sitio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Logística, materiales, seguridad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Tower companies (propietarios de torres en Panamá)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Coordinación de accesos vía CPM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Ventanas de acceso, peso estructural, daños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Operador eléctrico local (ENSA / EDEMET / EDECHI)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Solicitudes de energía vía equipo de Implementation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Tiempos de conexión, capacidad disponible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ASEP (regulador panameño)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Bajo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Cumplimiento de normativa por parte de Liberty (Ericsson como ejecutor técnico)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Cumplimiento de licencia espectral B41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2"/>
      </w:pPr>
      <w:r>
        <w:t>2.4 Externos — Usuarios finales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Interés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Influencia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Estrategia de involucramiento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Preocupaciones clave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Suscriptores móviles en zonas afectadas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Indirecto vía Liberty (notificaciones de mantenimiento si aplica)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Continuidad del servicio durante integración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1"/>
      </w:pPr>
      <w:r>
        <w:t>3. Matriz Poder / Interés</w:t>
      </w:r>
    </w:p>
    <w:p>
      <w:r>
        <w:rPr>
          <w:b w:val="0"/>
          <w:i w:val="0"/>
          <w:sz w:val="22"/>
        </w:rPr>
        <w:t>Clasificación de stakeholders en los cuatro cuadrantes clásicos:</w:t>
      </w:r>
    </w:p>
    <w:p>
      <w:pPr>
        <w:pStyle w:val="Heading2"/>
      </w:pPr>
      <w:r>
        <w:t>3.1 Alto Poder + Alto Interés — Gestionar de cerca</w:t>
      </w:r>
    </w:p>
    <w:p>
      <w:pPr>
        <w:pStyle w:val="ListBullet"/>
      </w:pPr>
      <w:r>
        <w:rPr>
          <w:sz w:val="22"/>
        </w:rPr>
        <w:t>Customer Project Manager Ericsson</w:t>
      </w:r>
    </w:p>
    <w:p>
      <w:pPr>
        <w:pStyle w:val="ListBullet"/>
      </w:pPr>
      <w:r>
        <w:rPr>
          <w:sz w:val="22"/>
        </w:rPr>
        <w:t>Network Performance Manager (Carlos)</w:t>
      </w:r>
    </w:p>
    <w:p>
      <w:pPr>
        <w:pStyle w:val="ListBullet"/>
      </w:pPr>
      <w:r>
        <w:rPr>
          <w:sz w:val="22"/>
        </w:rPr>
        <w:t>Customer Solutions Manager</w:t>
      </w:r>
    </w:p>
    <w:p>
      <w:pPr>
        <w:pStyle w:val="ListBullet"/>
      </w:pPr>
      <w:r>
        <w:rPr>
          <w:sz w:val="22"/>
        </w:rPr>
        <w:t>RAN Engineering Liberty</w:t>
      </w:r>
    </w:p>
    <w:p>
      <w:pPr>
        <w:pStyle w:val="ListBullet"/>
      </w:pPr>
      <w:r>
        <w:rPr>
          <w:sz w:val="22"/>
        </w:rPr>
        <w:t>Acceptance Team Liberty</w:t>
      </w:r>
    </w:p>
    <w:p>
      <w:pPr>
        <w:pStyle w:val="ListBullet"/>
      </w:pPr>
      <w:r>
        <w:rPr>
          <w:sz w:val="22"/>
        </w:rPr>
        <w:t>NOC Liberty</w:t>
      </w:r>
    </w:p>
    <w:p>
      <w:pPr>
        <w:pStyle w:val="ListBullet"/>
      </w:pPr>
      <w:r>
        <w:rPr>
          <w:sz w:val="22"/>
        </w:rPr>
        <w:t>Quality Liberty</w:t>
      </w:r>
    </w:p>
    <w:p>
      <w:r>
        <w:rPr>
          <w:b w:val="0"/>
          <w:i/>
          <w:sz w:val="20"/>
        </w:rPr>
        <w:t>Estrategia: Comunicación continua, daily/weekly syncs, involucramiento en decisiones clave.</w:t>
      </w:r>
    </w:p>
    <w:p>
      <w:pPr>
        <w:pStyle w:val="Heading2"/>
      </w:pPr>
      <w:r>
        <w:t>3.2 Alto Poder + Bajo Interés — Mantener satisfechos</w:t>
      </w:r>
    </w:p>
    <w:p>
      <w:pPr>
        <w:pStyle w:val="ListBullet"/>
      </w:pPr>
      <w:r>
        <w:rPr>
          <w:sz w:val="22"/>
        </w:rPr>
        <w:t>Gerencia / Sponsors Liberty</w:t>
      </w:r>
    </w:p>
    <w:p>
      <w:pPr>
        <w:pStyle w:val="ListBullet"/>
      </w:pPr>
      <w:r>
        <w:rPr>
          <w:sz w:val="22"/>
        </w:rPr>
        <w:t>PMO Ericsson regional</w:t>
      </w:r>
    </w:p>
    <w:p>
      <w:pPr>
        <w:pStyle w:val="ListBullet"/>
      </w:pPr>
      <w:r>
        <w:rPr>
          <w:sz w:val="22"/>
        </w:rPr>
        <w:t>Planning / Capacity Liberty</w:t>
      </w:r>
    </w:p>
    <w:p>
      <w:pPr>
        <w:pStyle w:val="ListBullet"/>
      </w:pPr>
      <w:r>
        <w:rPr>
          <w:sz w:val="22"/>
        </w:rPr>
        <w:t>O&amp;M Liberty</w:t>
      </w:r>
    </w:p>
    <w:p>
      <w:r>
        <w:rPr>
          <w:b w:val="0"/>
          <w:i/>
          <w:sz w:val="20"/>
        </w:rPr>
        <w:t>Estrategia: Reporte ejecutivo periódico; no saturar con detalle operativo; escalar solo lo relevante.</w:t>
      </w:r>
    </w:p>
    <w:p>
      <w:pPr>
        <w:pStyle w:val="Heading2"/>
      </w:pPr>
      <w:r>
        <w:t>3.3 Bajo Poder + Alto Interés — Mantener informados</w:t>
      </w:r>
    </w:p>
    <w:p>
      <w:pPr>
        <w:pStyle w:val="ListBullet"/>
      </w:pPr>
      <w:r>
        <w:rPr>
          <w:sz w:val="22"/>
        </w:rPr>
        <w:t>Integration Engineers</w:t>
      </w:r>
    </w:p>
    <w:p>
      <w:pPr>
        <w:pStyle w:val="ListBullet"/>
      </w:pPr>
      <w:r>
        <w:rPr>
          <w:sz w:val="22"/>
        </w:rPr>
        <w:t>Implementation Team</w:t>
      </w:r>
    </w:p>
    <w:p>
      <w:pPr>
        <w:pStyle w:val="ListBullet"/>
      </w:pPr>
      <w:r>
        <w:rPr>
          <w:sz w:val="22"/>
        </w:rPr>
        <w:t>Cuadrillas de campo</w:t>
      </w:r>
    </w:p>
    <w:p>
      <w:pPr>
        <w:pStyle w:val="ListBullet"/>
      </w:pPr>
      <w:r>
        <w:rPr>
          <w:sz w:val="22"/>
        </w:rPr>
        <w:t>Suscriptores finales (vía Liberty)</w:t>
      </w:r>
    </w:p>
    <w:p>
      <w:r>
        <w:rPr>
          <w:b w:val="0"/>
          <w:i/>
          <w:sz w:val="20"/>
        </w:rPr>
        <w:t>Estrategia: Información transparente, tablero Kanban accesible, comunicación frecuente sobre estatus.</w:t>
      </w:r>
    </w:p>
    <w:p>
      <w:pPr>
        <w:pStyle w:val="Heading2"/>
      </w:pPr>
      <w:r>
        <w:t>3.4 Bajo Poder + Bajo Interés — Monitorear</w:t>
      </w:r>
    </w:p>
    <w:p>
      <w:pPr>
        <w:pStyle w:val="ListBullet"/>
      </w:pPr>
      <w:r>
        <w:rPr>
          <w:sz w:val="22"/>
        </w:rPr>
        <w:t>Managed Services</w:t>
      </w:r>
    </w:p>
    <w:p>
      <w:pPr>
        <w:pStyle w:val="ListBullet"/>
      </w:pPr>
      <w:r>
        <w:rPr>
          <w:sz w:val="22"/>
        </w:rPr>
        <w:t>ASEP</w:t>
      </w:r>
    </w:p>
    <w:p>
      <w:pPr>
        <w:pStyle w:val="ListBullet"/>
      </w:pPr>
      <w:r>
        <w:rPr>
          <w:sz w:val="22"/>
        </w:rPr>
        <w:t>Operador eléctrico</w:t>
      </w:r>
    </w:p>
    <w:p>
      <w:pPr>
        <w:pStyle w:val="ListBullet"/>
      </w:pPr>
      <w:r>
        <w:rPr>
          <w:sz w:val="22"/>
        </w:rPr>
        <w:t>Tower companies (a nivel ejecutivo)</w:t>
      </w:r>
    </w:p>
    <w:p>
      <w:r>
        <w:rPr>
          <w:b w:val="0"/>
          <w:i/>
          <w:sz w:val="20"/>
        </w:rPr>
        <w:t>Estrategia: Cumplimiento de obligaciones contractuales/regulatorias; comunicación bajo demanda.</w:t>
      </w:r>
    </w:p>
    <w:p>
      <w:pPr>
        <w:pStyle w:val="Heading1"/>
      </w:pPr>
      <w:r>
        <w:t>4. Narrativa de los 5 stakeholders críticos</w:t>
      </w:r>
    </w:p>
    <w:p>
      <w:pPr>
        <w:pStyle w:val="Heading2"/>
      </w:pPr>
      <w:r>
        <w:t>4.1 RAN Engineering Liberty (Roberto)</w:t>
      </w:r>
    </w:p>
    <w:p>
      <w:r>
        <w:rPr>
          <w:b w:val="0"/>
          <w:i w:val="0"/>
          <w:sz w:val="22"/>
        </w:rPr>
        <w:t>Es el contraparte técnico directo de Carlos. Define los templates de parámetros, valida la configuración pre-integración y aprueba las desviaciones técnicas.</w:t>
      </w:r>
    </w:p>
    <w:p>
      <w:r>
        <w:rPr>
          <w:b/>
          <w:i w:val="0"/>
          <w:sz w:val="20"/>
        </w:rPr>
        <w:t>Riesgo de no involucrarlo bien: rechazo de aceptación tardía por desviaciones de template, generando re-trabajo masivo.</w:t>
      </w:r>
    </w:p>
    <w:p>
      <w:r>
        <w:rPr>
          <w:b w:val="0"/>
          <w:i w:val="0"/>
          <w:sz w:val="22"/>
        </w:rPr>
        <w:t>Estrategia: reunión técnica semanal de 30 minutos, revisión conjunta de configuraciones del próximo batch de sitios antes de la integración, escalación rápida ante dudas de parametrización.</w:t>
      </w:r>
    </w:p>
    <w:p>
      <w:pPr>
        <w:pStyle w:val="Heading2"/>
      </w:pPr>
      <w:r>
        <w:t>4.2 NOC Liberty</w:t>
      </w:r>
    </w:p>
    <w:p>
      <w:r>
        <w:rPr>
          <w:b w:val="0"/>
          <w:i w:val="0"/>
          <w:sz w:val="22"/>
        </w:rPr>
        <w:t>Es quien detecta alarmas en tiempo real durante y post-integración.</w:t>
      </w:r>
    </w:p>
    <w:p>
      <w:r>
        <w:rPr>
          <w:b/>
          <w:i w:val="0"/>
          <w:sz w:val="20"/>
        </w:rPr>
        <w:t>Riesgo: ruido de alarmas no coordinadas durante ventanas de mantenimiento puede generar percepción de inestabilidad incluso si todo está bajo control.</w:t>
      </w:r>
    </w:p>
    <w:p>
      <w:r>
        <w:rPr>
          <w:b w:val="0"/>
          <w:i w:val="0"/>
          <w:sz w:val="22"/>
        </w:rPr>
        <w:t>Estrategia: coordinación pre-mantenimiento (correo + llamada), ventana de monitoreo conjunta post-integración (primera hora), criterios pre-acordados sobre qué alarmas son 'esperadas' durante la integración.</w:t>
      </w:r>
    </w:p>
    <w:p>
      <w:pPr>
        <w:pStyle w:val="Heading2"/>
      </w:pPr>
      <w:r>
        <w:t>4.3 Customer Project Manager (Ericsson)</w:t>
      </w:r>
    </w:p>
    <w:p>
      <w:r>
        <w:rPr>
          <w:b w:val="0"/>
          <w:i w:val="0"/>
          <w:sz w:val="22"/>
        </w:rPr>
        <w:t>Es el integrador de todas las dependencias internas y externas.</w:t>
      </w:r>
    </w:p>
    <w:p>
      <w:r>
        <w:rPr>
          <w:b/>
          <w:i w:val="0"/>
          <w:sz w:val="20"/>
        </w:rPr>
        <w:t>Riesgo: sin alineación con Carlos como NPM, las priorizaciones comerciales pueden contradecir la lógica de calidad técnica (e.g., empujar un sitio sin validación de KPIs por presión de cliente).</w:t>
      </w:r>
    </w:p>
    <w:p>
      <w:r>
        <w:rPr>
          <w:b w:val="0"/>
          <w:i w:val="0"/>
          <w:sz w:val="22"/>
        </w:rPr>
        <w:t>Estrategia: Carlos y CPM acuerdan un DoD compartido donde ningún sitio se 'cierra' sin validación de performance, incluso bajo presión.</w:t>
      </w:r>
    </w:p>
    <w:p>
      <w:pPr>
        <w:pStyle w:val="Heading2"/>
      </w:pPr>
      <w:r>
        <w:t>4.4 Integration Engineers (Ericsson)</w:t>
      </w:r>
    </w:p>
    <w:p>
      <w:r>
        <w:rPr>
          <w:b w:val="0"/>
          <w:i w:val="0"/>
          <w:sz w:val="22"/>
        </w:rPr>
        <w:t>Son quienes ejecutan la integración técnica.</w:t>
      </w:r>
    </w:p>
    <w:p>
      <w:r>
        <w:rPr>
          <w:b/>
          <w:i w:val="0"/>
          <w:sz w:val="20"/>
        </w:rPr>
        <w:t>Riesgo: sin protocolos claros de FTR, pueden marcar sitios como 'completos' que aún tienen issues menores, contaminando las métricas.</w:t>
      </w:r>
    </w:p>
    <w:p>
      <w:r>
        <w:rPr>
          <w:b w:val="0"/>
          <w:i w:val="0"/>
          <w:sz w:val="22"/>
        </w:rPr>
        <w:t>Estrategia: acuerdo de equipo (subcompetencia 3.2) donde 'completo' significa FTR validado por Carlos, no solo configuración aplicada. Comunicación abierta de problemas sin penalización.</w:t>
      </w:r>
    </w:p>
    <w:p>
      <w:pPr>
        <w:pStyle w:val="Heading2"/>
      </w:pPr>
      <w:r>
        <w:t>4.5 Acceptance Team Liberty (Ricardo Mendoza)</w:t>
      </w:r>
    </w:p>
    <w:p>
      <w:r>
        <w:rPr>
          <w:b w:val="0"/>
          <w:i w:val="0"/>
          <w:sz w:val="22"/>
        </w:rPr>
        <w:t>Da el sign-off formal de cada sitio.</w:t>
      </w:r>
    </w:p>
    <w:p>
      <w:r>
        <w:rPr>
          <w:b/>
          <w:i w:val="0"/>
          <w:sz w:val="20"/>
        </w:rPr>
        <w:t>Riesgo: criterios de aceptación ambiguos generan disputas y demoras.</w:t>
      </w:r>
    </w:p>
    <w:p>
      <w:r>
        <w:rPr>
          <w:b w:val="0"/>
          <w:i w:val="0"/>
          <w:sz w:val="22"/>
        </w:rPr>
        <w:t>Estrategia: criterios de aceptación documentados y firmados al inicio del proyecto, alineados con la DoD. Aceptación semanal en batch (no sitio por sitio) para reducir fricción.</w:t>
      </w:r>
    </w:p>
    <w:p>
      <w:pPr>
        <w:pStyle w:val="Heading1"/>
      </w:pPr>
      <w:r>
        <w:t>5. Plan de comunicación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Audiencia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Contenido</w:t>
            </w:r>
          </w:p>
        </w:tc>
        <w:tc>
          <w:tcPr>
            <w:tcW w:type="dxa" w:w="1930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Diario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Equipo Ericsson (integración + Carlos + CPM)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Daily Kanban (15 min)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Estatus de sitios, bloqueos, próximos pasos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CPM facilita; Carlos contribuye con KPIs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Semanal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RAN Engineering Liberty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Reunión técnica (30 min)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Revisión de batch próximo y hallazgos del anterior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Carlos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Semanal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Acceptance Team Liberty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Sesión de aceptación (60 min)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Aceptación formal de sitios completados en la semana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Carlos + CPM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Semanal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NOC Liberty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Coordinación de ventanas + sync de alarmas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Calendario de integraciones, criterios de alarmas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Implementation Team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Bi-semanal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Gerencia Liberty + Sponsors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Reporte ejecutivo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Avance global, FTR, riesgos, próximos hitos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CSM + Carlos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sz w:val="20"/>
              </w:rPr>
              <w:t>Continuo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Cuadrillas de campo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WhatsApp/canal directo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Check-in/check-out, materiales, blockers</w:t>
            </w:r>
          </w:p>
        </w:tc>
        <w:tc>
          <w:tcPr>
            <w:tcW w:type="dxa" w:w="1930"/>
          </w:tcPr>
          <w:p>
            <w:r/>
            <w:r>
              <w:rPr>
                <w:sz w:val="20"/>
              </w:rPr>
              <w:t>Implementation Team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pStyle w:val="Heading1"/>
      </w:pPr>
      <w:r>
        <w:t>6. Acuerdo de comunicación con el cliente</w:t>
      </w:r>
    </w:p>
    <w:p>
      <w:r>
        <w:rPr>
          <w:b w:val="0"/>
          <w:i w:val="0"/>
          <w:sz w:val="22"/>
        </w:rPr>
        <w:t>Como parte del enfoque ágil, se establece un canal directo Carlos ↔ RAN Engineering Liberty independiente del flujo formal vía CPM, para resolver dudas técnicas rápidas sin pasar por escalación comercial. Este canal:</w:t>
      </w:r>
    </w:p>
    <w:p>
      <w:pPr>
        <w:pStyle w:val="ListBullet"/>
      </w:pPr>
      <w:r>
        <w:rPr>
          <w:sz w:val="22"/>
        </w:rPr>
        <w:t>Reduce el lead time de resolución de dudas técnicas.</w:t>
      </w:r>
    </w:p>
    <w:p>
      <w:pPr>
        <w:pStyle w:val="ListBullet"/>
      </w:pPr>
      <w:r>
        <w:rPr>
          <w:sz w:val="22"/>
        </w:rPr>
        <w:t>Construye confianza técnica entre las partes.</w:t>
      </w:r>
    </w:p>
    <w:p>
      <w:pPr>
        <w:pStyle w:val="ListBullet"/>
      </w:pPr>
      <w:r>
        <w:rPr>
          <w:sz w:val="22"/>
        </w:rPr>
        <w:t>No reemplaza la gobernanza formal, pero la complementa.</w:t>
      </w:r>
    </w:p>
    <w:p>
      <w:pPr>
        <w:pStyle w:val="ListBullet"/>
      </w:pPr>
      <w:r>
        <w:rPr>
          <w:sz w:val="22"/>
        </w:rPr>
        <w:t>Reglas claras: solo asuntos técnicos; decisiones comerciales siempre vía CPM/CSM.</w:t>
      </w:r>
    </w:p>
    <w:p>
      <w:pPr>
        <w:pStyle w:val="Heading1"/>
      </w:pPr>
      <w:r>
        <w:t>7. Bitácora de validación con el cliente</w:t>
      </w:r>
    </w:p>
    <w:p>
      <w:r>
        <w:rPr>
          <w:b w:val="0"/>
          <w:i w:val="0"/>
          <w:sz w:val="22"/>
        </w:rPr>
        <w:t>La validación semanal de aceptación con Liberty se registra en la bitácora adjunta (archivo: Bitacora-de-Validacion.xlsx). Cada sitio que llega a 'Listo para Aceptación' genera una entrada con fecha planeada, fecha real, área Liberty que firma, criterios cumplidos y observaciones.</w:t>
      </w:r>
    </w:p>
    <w:p>
      <w:pPr>
        <w:pStyle w:val="Heading1"/>
      </w:pPr>
      <w:r>
        <w:t>8. Mapeo de subcompetencias APL</w:t>
      </w:r>
    </w:p>
    <w:p>
      <w:pPr>
        <w:pStyle w:val="ListBullet"/>
      </w:pPr>
      <w:r>
        <w:rPr>
          <w:sz w:val="22"/>
        </w:rPr>
        <w:t>3.3 Gestión de Involucrados — este documento define la estrategia completa de comunicación e involucramiento con cada stakeholder, incluyendo el canal directo con Liberty y la cadencia de validación semanal.</w:t>
      </w:r>
    </w:p>
    <w:p>
      <w:pPr>
        <w:pStyle w:val="ListBullet"/>
      </w:pPr>
      <w:r>
        <w:rPr>
          <w:sz w:val="22"/>
        </w:rPr>
        <w:t>3.2 Equipo de Alto Desempeño — el acuerdo de equipo entre integración y campo (documento separado) es el mecanismo de cohesión interno.</w:t>
      </w:r>
    </w:p>
    <w:p>
      <w:pPr>
        <w:pStyle w:val="ListBullet"/>
      </w:pPr>
      <w:r>
        <w:rPr>
          <w:sz w:val="22"/>
        </w:rPr>
        <w:t>1.2 Detección y Resolución de Riesgos — la matriz Poder/Interés y la narrativa de stakeholders críticos identifican proactivamente puntos de fricción que pueden materializarse como riesgos.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rPr>
          <w:i/>
          <w:color w:val="888888"/>
          <w:sz w:val="16"/>
        </w:rPr>
        <w:t>Documento de la Semana 1 del Plan de Trabajo APL — Carlos Emmanuel Ramírez Castañón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