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Entrega de Avance</w:t>
      </w:r>
    </w:p>
    <w:p>
      <w:pPr>
        <w:jc w:val="center"/>
      </w:pPr>
      <w:r>
        <w:rPr>
          <w:i/>
          <w:color w:val="555555"/>
          <w:sz w:val="30"/>
        </w:rPr>
        <w:t>Reporte de progreso a mitad de proyecto</w:t>
      </w:r>
    </w:p>
    <w:p>
      <w:pPr>
        <w:jc w:val="center"/>
      </w:pPr>
      <w:r>
        <w:rPr>
          <w:i/>
          <w:color w:val="555555"/>
          <w:sz w:val="26"/>
        </w:rPr>
        <w:t>Despliegue Ágil LTE Banda 41 · Telemóvil Costa Rica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Participante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Carlos Emmanuel Ramírez Castañón — Network Performance Manager, Ericsson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Programa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Agile Project Leader (APL) — Proyecto Integrador (PIDA)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Cliente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Telemóvil Costa Rica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Corte del reporte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Cierre de Semana 4 (30 jun 2026) — 4 de 8 semanas de ejecución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Entregable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Plan de Trabajo APL — fila 26 'Entrega de avance' (W4–W5)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1 de julio 2026</w:t>
            </w:r>
          </w:p>
        </w:tc>
      </w:tr>
    </w:tbl>
    <w:p>
      <w:r>
        <w:t>______________________________________________________________________</w:t>
      </w:r>
    </w:p>
    <w:p>
      <w:r>
        <w:rPr>
          <w:b w:val="0"/>
          <w:i/>
          <w:color w:val="777777"/>
          <w:sz w:val="18"/>
        </w:rPr>
        <w:t>🔶 Nota: el proyecto está en ejecución. Las cifras de avance son la proyección esperada al cierre de W4; Carlos las reemplaza con datos reales antes de la entrega del 1 de julio.</w:t>
      </w:r>
    </w:p>
    <w:p>
      <w:pPr>
        <w:pStyle w:val="Heading1"/>
      </w:pPr>
      <w:r>
        <w:t>1. Resumen ejecutivo</w:t>
      </w:r>
    </w:p>
    <w:p>
      <w:r>
        <w:rPr>
          <w:b w:val="0"/>
          <w:i w:val="0"/>
          <w:sz w:val="22"/>
        </w:rPr>
        <w:t>Al cierre de la Semana 4, el proyecto de Expansión de Capacidad LTE Banda 41 para Telemóvil Costa Rica ha completado su fase de validación (Golden Cluster) y se encuentra escalando el despliegue masivo. El enfoque ágil basado en Kanban está operativo y mostrando los beneficios esperados: detección temprana de problemas, transparencia con el cliente y cadencia de entrega predecible.</w:t>
      </w:r>
    </w:p>
    <w:p>
      <w:r>
        <w:rPr>
          <w:b/>
          <w:i w:val="0"/>
          <w:sz w:val="22"/>
        </w:rPr>
        <w:t>Hitos alcanzados a la fecha:</w:t>
      </w:r>
    </w:p>
    <w:p>
      <w:pPr>
        <w:pStyle w:val="ListBullet"/>
      </w:pPr>
      <w:r>
        <w:rPr>
          <w:sz w:val="22"/>
        </w:rPr>
        <w:t>Golden Cluster de 3 sitios integrado y validado (W2–W3).</w:t>
      </w:r>
    </w:p>
    <w:p>
      <w:pPr>
        <w:pStyle w:val="ListBullet"/>
      </w:pPr>
      <w:r>
        <w:rPr>
          <w:sz w:val="22"/>
        </w:rPr>
        <w:t>1ª Retrospectiva realizada en W3 con el cliente invitado (Roberto de RAN, Patricia de Quality), con 10 acciones de mejora acordadas.</w:t>
      </w:r>
    </w:p>
    <w:p>
      <w:pPr>
        <w:pStyle w:val="ListBullet"/>
      </w:pPr>
      <w:r>
        <w:rPr>
          <w:sz w:val="22"/>
        </w:rPr>
        <w:t>Despliegue de los 20 sitios restantes escalando de forma continua desde W3.</w:t>
      </w:r>
    </w:p>
    <w:p>
      <w:pPr>
        <w:pStyle w:val="ListBullet"/>
      </w:pPr>
      <w:r>
        <w:rPr>
          <w:sz w:val="22"/>
        </w:rPr>
        <w:t>🔶 6 de 23 sitios completados (26%), con FTR acumulado del 96% — por encima de la meta de ≥90%.</w:t>
      </w:r>
    </w:p>
    <w:p>
      <w:pPr>
        <w:pStyle w:val="Heading1"/>
      </w:pPr>
      <w:r>
        <w:t>2. Avance cuantitativo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🔶 Real al cierre W4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Sitios completados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23 en 8 semanas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6 / 23 (26%)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En curso ✅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First Time Right (FTR)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≥ 90%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96%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Sobre meta ✅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Reducción de re-trabajo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≥ 10%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🔶 en medición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En curso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Lead time por sitio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≤ 12 días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🔶 ~10 días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Sobre meta ✅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DoR cumplido al 1er intento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≥ 85%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🔶 ~95%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Sobre meta ✅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Bloqueos resueltos &lt; 72h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≥ 80%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100% (cluster sin bloqueos mayores)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Sobre meta ✅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sz w:val="20"/>
        </w:rPr>
        <w:t>Burndown (proyección): el descenso de sitios pendientes se acelera de W4 a W7 con el despliegue masivo. La curva proyectada cierra los 23 sitios en W8.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Sitios completados (acum.)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Pendientes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FTR acum.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W1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W2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W3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W4 (corte)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96%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W5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94%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W6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92%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W7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91%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W8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91%</w:t>
            </w:r>
          </w:p>
        </w:tc>
      </w:tr>
    </w:tbl>
    <w:p>
      <w:pPr>
        <w:pStyle w:val="Heading1"/>
      </w:pPr>
      <w:r>
        <w:t>3. Golden Cluster — validación temprana</w:t>
      </w:r>
    </w:p>
    <w:p>
      <w:r>
        <w:rPr>
          <w:b w:val="0"/>
          <w:i w:val="0"/>
          <w:sz w:val="22"/>
        </w:rPr>
        <w:t>El Golden Cluster (3 sitios piloto: CR-001, CR-003, CR-005) cumplió su propósito: validar la configuración y el proceso antes de escalar. Se integró en W2 y se validó en W3, culminando con la 1ª Retrospectiva.</w:t>
      </w:r>
    </w:p>
    <w:p>
      <w:r>
        <w:rPr>
          <w:b/>
          <w:i w:val="0"/>
          <w:sz w:val="22"/>
        </w:rPr>
        <w:t>Aprendizajes capturados en la retrospectiva (W3):</w:t>
      </w:r>
    </w:p>
    <w:p>
      <w:pPr>
        <w:pStyle w:val="ListBullet"/>
      </w:pPr>
      <w:r>
        <w:rPr>
          <w:sz w:val="22"/>
        </w:rPr>
        <w:t>Pre-staging del template 24h antes ahorra ~1h por sitio (práctica adoptada).</w:t>
      </w:r>
    </w:p>
    <w:p>
      <w:pPr>
        <w:pStyle w:val="ListBullet"/>
      </w:pPr>
      <w:r>
        <w:rPr>
          <w:sz w:val="22"/>
        </w:rPr>
        <w:t>Daily en inglés inclusivo funcionó para integrar a Sandeep (India).</w:t>
      </w:r>
    </w:p>
    <w:p>
      <w:pPr>
        <w:pStyle w:val="ListBullet"/>
      </w:pPr>
      <w:r>
        <w:rPr>
          <w:sz w:val="22"/>
        </w:rPr>
        <w:t>Necesidad de 'freshness check' del plan RF (≤3 meses) — agregado al DoR.</w:t>
      </w:r>
    </w:p>
    <w:p>
      <w:pPr>
        <w:pStyle w:val="ListBullet"/>
      </w:pPr>
      <w:r>
        <w:rPr>
          <w:sz w:val="22"/>
        </w:rPr>
        <w:t>Validación de KPIs extendida a 72h en sitios urbanos densos / suburbanos.</w:t>
      </w:r>
    </w:p>
    <w:p>
      <w:pPr>
        <w:pStyle w:val="ListBullet"/>
      </w:pPr>
      <w:r>
        <w:rPr>
          <w:sz w:val="22"/>
        </w:rPr>
        <w:t>Template v2 consolidado con los ajustes del cluster, aplicable al despliegue masivo.</w:t>
      </w:r>
    </w:p>
    <w:p>
      <w:r>
        <w:rPr>
          <w:b w:val="0"/>
          <w:i/>
          <w:sz w:val="20"/>
        </w:rPr>
        <w:t>El cliente (Roberto, RAN) valoró especialmente la transparencia en tiempo real y solicitó replicar el enfoque en su organización — una señal temprana de partnership.</w:t>
      </w:r>
    </w:p>
    <w:p>
      <w:pPr>
        <w:pStyle w:val="Heading1"/>
      </w:pPr>
      <w:r>
        <w:t>4. Gestión de riesgos e impedimentos</w:t>
      </w:r>
    </w:p>
    <w:p>
      <w:r>
        <w:rPr>
          <w:b w:val="0"/>
          <w:i w:val="0"/>
          <w:sz w:val="22"/>
        </w:rPr>
        <w:t>Durante el Golden Cluster no se presentaron bloqueos mayores. Los impedimentos fueron menores (ajustes de template esperados, acoplamiento del equipo distribuido) y se resolvieron dentro de la semana. El protocolo de escalación (0–24h visible, 24–48h riesgo activo, &gt;72h al CPM) está operativo.</w:t>
      </w:r>
    </w:p>
    <w:p>
      <w:r>
        <w:rPr>
          <w:b/>
          <w:i w:val="0"/>
          <w:sz w:val="22"/>
        </w:rPr>
        <w:t>Riesgos activos monitoreados para el despliegue masivo (W5–W8):</w:t>
      </w:r>
    </w:p>
    <w:p>
      <w:pPr>
        <w:pStyle w:val="ListBullet"/>
      </w:pPr>
      <w:r>
        <w:rPr>
          <w:sz w:val="22"/>
        </w:rPr>
        <w:t>R-TEC-02 — Planes RF desactualizados: mitigado con el freshness check en el DoR.</w:t>
      </w:r>
    </w:p>
    <w:p>
      <w:pPr>
        <w:pStyle w:val="ListBullet"/>
      </w:pPr>
      <w:r>
        <w:rPr>
          <w:sz w:val="22"/>
        </w:rPr>
        <w:t>R-FIS-01 — Site readiness pendiente (CR-023): programado para el cierre (W8).</w:t>
      </w:r>
    </w:p>
    <w:p>
      <w:pPr>
        <w:pStyle w:val="ListBullet"/>
      </w:pPr>
      <w:r>
        <w:rPr>
          <w:sz w:val="22"/>
        </w:rPr>
        <w:t>R-EQUIPO-01 — Carga del equipo en el pico de despliegue (W5–W7): se monitorea WIP.</w:t>
      </w:r>
    </w:p>
    <w:p>
      <w:pPr>
        <w:pStyle w:val="Heading1"/>
      </w:pPr>
      <w:r>
        <w:t>5. Evidencia de subcompetencias APL trabajadas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Subcompetencia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Evidencia a la fecha (W1–W4)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Planeación Adaptativa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Re-priorización del backlog; bitácora de cambios al plan; decisión de escalar tras validar el cluster.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Detección y Resolución de Riesgos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Risk Register de 11 riesgos; log de impedimentos; protocolo de escalación operativo.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Lean &amp; Kanban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Tablero Kanban operativo con WIP; DoR/DoD; daily de 15 min; tablero interactivo de gestión.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Metrics &amp; Reporting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Burndown; dashboard de FTR; reportes diferenciados por área Telemóvil.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Continuous Improvement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1ª Retrospectiva (W3) con 10 acciones; template v2; aprendizajes aplicados al masivo.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Value Driven Delivery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Backlog priorizado por congestión/saturación; entrega incremental de valor.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Liderazgo Colaborativo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Carlos facilita ceremonias; co-construcción de DoD/Acuerdo; empoderamiento del equipo.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Equipo de Alto Desempeño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Acuerdo de Equipo; cultural buddy (Diego↔Sandeep); mentorías; reconocimiento semanal.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Gestión de Involucrados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Mapa de stakeholders; Matriz de compromiso; bitácora de validación; cliente en la retro.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1"/>
      </w:pPr>
      <w:r>
        <w:t>6. Próximos pasos (W5–W8)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Hito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W5 (1–7 jul)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Despliegue masivo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2ª Retrospectiva · Entrega de avance (deadline 1 jul)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W6 (8–14 jul)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Despliegue masivo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Sesión de coaching APL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W7 (15–21 jul)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Despliegue masivo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3ª Retrospectiva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W8 (22–28 jul)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Cierre de ejecución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23 sitios completos · handover a O&amp;M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sz w:val="20"/>
        </w:rPr>
        <w:t>Tras el cierre de ejecución (W8), el proyecto entra en el bloque APL (W9–W12): documentación, retrospectiva final, Reporte PIDA (deadline 11 ago) y defensa.</w:t>
      </w:r>
    </w:p>
    <w:p>
      <w:pPr>
        <w:pStyle w:val="Heading1"/>
      </w:pPr>
      <w:r>
        <w:t>7. Conclusión</w:t>
      </w:r>
    </w:p>
    <w:p>
      <w:r>
        <w:rPr>
          <w:b w:val="0"/>
          <w:i/>
          <w:sz w:val="22"/>
        </w:rPr>
        <w:t>A mitad de proyecto, el enfoque ágil está cumpliendo su promesa: el Golden Cluster permitió validar y mejorar antes de escalar, el FTR supera la meta, el cliente está involucrado como socio, y el equipo distribuido opera de forma cohesionada. El proyecto avanza según lo planeado para cerrar los 23 sitios en la Semana 8.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i/>
          <w:color w:val="888888"/>
          <w:sz w:val="16"/>
        </w:rPr>
        <w:t>Entrega de Avance — Semana 4 · Carlos Emmanuel Ramírez Castañón · Network Performance Manager · Ericsson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