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3A9F15" wp14:paraId="1CD76A89" wp14:textId="0C35C26D">
      <w:pPr>
        <w:pStyle w:val="Heading2"/>
        <w:spacing w:before="299" w:beforeAutospacing="off" w:after="299" w:afterAutospacing="off"/>
      </w:pPr>
      <w:r w:rsidRPr="523A9F15" w:rsidR="69728A1E">
        <w:rPr>
          <w:rFonts w:ascii="Aptos" w:hAnsi="Aptos" w:eastAsia="Aptos" w:cs="Aptos"/>
          <w:b w:val="1"/>
          <w:bCs w:val="1"/>
          <w:noProof w:val="0"/>
          <w:sz w:val="36"/>
          <w:szCs w:val="36"/>
          <w:lang w:val="pl-PL"/>
        </w:rPr>
        <w:t>Vulnerability Assessment Report</w:t>
      </w:r>
    </w:p>
    <w:p xmlns:wp14="http://schemas.microsoft.com/office/word/2010/wordml" w:rsidP="523A9F15" wp14:paraId="13DCB9D5" wp14:textId="64F9AC51">
      <w:pPr>
        <w:spacing w:before="240" w:beforeAutospacing="off" w:after="240" w:afterAutospacing="off"/>
      </w:pPr>
      <w:r w:rsidRPr="523A9F15" w:rsidR="69728A1E">
        <w:rPr>
          <w:rFonts w:ascii="Aptos" w:hAnsi="Aptos" w:eastAsia="Aptos" w:cs="Aptos"/>
          <w:b w:val="1"/>
          <w:bCs w:val="1"/>
          <w:noProof w:val="0"/>
          <w:sz w:val="24"/>
          <w:szCs w:val="24"/>
          <w:lang w:val="pl-PL"/>
        </w:rPr>
        <w:t>Date:</w:t>
      </w:r>
      <w:r w:rsidRPr="523A9F15" w:rsidR="69728A1E">
        <w:rPr>
          <w:rFonts w:ascii="Aptos" w:hAnsi="Aptos" w:eastAsia="Aptos" w:cs="Aptos"/>
          <w:noProof w:val="0"/>
          <w:sz w:val="24"/>
          <w:szCs w:val="24"/>
          <w:lang w:val="pl-PL"/>
        </w:rPr>
        <w:t xml:space="preserve"> 1 January 20XX</w:t>
      </w:r>
    </w:p>
    <w:p xmlns:wp14="http://schemas.microsoft.com/office/word/2010/wordml" wp14:paraId="7F826210" wp14:textId="01897732"/>
    <w:p xmlns:wp14="http://schemas.microsoft.com/office/word/2010/wordml" w:rsidP="523A9F15" wp14:paraId="3BF222BE" wp14:textId="701DFC5D">
      <w:pPr>
        <w:pStyle w:val="Heading3"/>
        <w:spacing w:before="281" w:beforeAutospacing="off" w:after="281" w:afterAutospacing="off"/>
      </w:pPr>
      <w:r w:rsidRPr="523A9F15" w:rsidR="69728A1E">
        <w:rPr>
          <w:rFonts w:ascii="Aptos" w:hAnsi="Aptos" w:eastAsia="Aptos" w:cs="Aptos"/>
          <w:b w:val="1"/>
          <w:bCs w:val="1"/>
          <w:noProof w:val="0"/>
          <w:sz w:val="28"/>
          <w:szCs w:val="28"/>
          <w:lang w:val="pl-PL"/>
        </w:rPr>
        <w:t>System Description</w:t>
      </w:r>
    </w:p>
    <w:p xmlns:wp14="http://schemas.microsoft.com/office/word/2010/wordml" w:rsidP="523A9F15" wp14:paraId="28AFAABE" wp14:textId="2FAF9BF6">
      <w:pPr>
        <w:spacing w:before="240" w:beforeAutospacing="off" w:after="240" w:afterAutospacing="off"/>
      </w:pPr>
      <w:r w:rsidRPr="523A9F15" w:rsidR="69728A1E">
        <w:rPr>
          <w:rFonts w:ascii="Aptos" w:hAnsi="Aptos" w:eastAsia="Aptos" w:cs="Aptos"/>
          <w:noProof w:val="0"/>
          <w:sz w:val="24"/>
          <w:szCs w:val="24"/>
          <w:lang w:val="pl-PL"/>
        </w:rPr>
        <w:t>The assessed system is a database server equipped with a high-performance CPU and 128 GB of RAM. It operates on the latest Linux distribution and hosts a MySQL database management system. The server uses IPv4 addressing and maintains stable network connectivity with other internal servers. Current security controls include encrypted communications via SSL/TLS.</w:t>
      </w:r>
    </w:p>
    <w:p xmlns:wp14="http://schemas.microsoft.com/office/word/2010/wordml" wp14:paraId="69FBB9E4" wp14:textId="56356528"/>
    <w:p xmlns:wp14="http://schemas.microsoft.com/office/word/2010/wordml" w:rsidP="523A9F15" wp14:paraId="313CACDE" wp14:textId="3D67D8E5">
      <w:pPr>
        <w:pStyle w:val="Heading3"/>
        <w:spacing w:before="281" w:beforeAutospacing="off" w:after="281" w:afterAutospacing="off"/>
      </w:pPr>
      <w:r w:rsidRPr="523A9F15" w:rsidR="69728A1E">
        <w:rPr>
          <w:rFonts w:ascii="Aptos" w:hAnsi="Aptos" w:eastAsia="Aptos" w:cs="Aptos"/>
          <w:b w:val="1"/>
          <w:bCs w:val="1"/>
          <w:noProof w:val="0"/>
          <w:sz w:val="28"/>
          <w:szCs w:val="28"/>
          <w:lang w:val="pl-PL"/>
        </w:rPr>
        <w:t>Scope</w:t>
      </w:r>
    </w:p>
    <w:p xmlns:wp14="http://schemas.microsoft.com/office/word/2010/wordml" w:rsidP="523A9F15" wp14:paraId="5A3D0201" wp14:textId="299ABCF1">
      <w:pPr>
        <w:spacing w:before="240" w:beforeAutospacing="off" w:after="240" w:afterAutospacing="off"/>
      </w:pPr>
      <w:r w:rsidRPr="523A9F15" w:rsidR="69728A1E">
        <w:rPr>
          <w:rFonts w:ascii="Aptos" w:hAnsi="Aptos" w:eastAsia="Aptos" w:cs="Aptos"/>
          <w:noProof w:val="0"/>
          <w:sz w:val="24"/>
          <w:szCs w:val="24"/>
          <w:lang w:val="pl-PL"/>
        </w:rPr>
        <w:t>This assessment focuses on the system’s access control mechanisms. The evaluation period covers three months, from June 20XX through August 20XX. The risk analysis methodology is aligned with NIST SP 800-30 Rev. 1.</w:t>
      </w:r>
    </w:p>
    <w:p xmlns:wp14="http://schemas.microsoft.com/office/word/2010/wordml" wp14:paraId="147325F9" wp14:textId="3E81E057"/>
    <w:p xmlns:wp14="http://schemas.microsoft.com/office/word/2010/wordml" w:rsidP="523A9F15" wp14:paraId="336935E9" wp14:textId="4E98F1C4">
      <w:pPr>
        <w:pStyle w:val="Heading3"/>
        <w:spacing w:before="281" w:beforeAutospacing="off" w:after="281" w:afterAutospacing="off"/>
      </w:pPr>
      <w:r w:rsidRPr="523A9F15" w:rsidR="69728A1E">
        <w:rPr>
          <w:rFonts w:ascii="Aptos" w:hAnsi="Aptos" w:eastAsia="Aptos" w:cs="Aptos"/>
          <w:b w:val="1"/>
          <w:bCs w:val="1"/>
          <w:noProof w:val="0"/>
          <w:sz w:val="28"/>
          <w:szCs w:val="28"/>
          <w:lang w:val="pl-PL"/>
        </w:rPr>
        <w:t>Purpose</w:t>
      </w:r>
    </w:p>
    <w:p xmlns:wp14="http://schemas.microsoft.com/office/word/2010/wordml" w:rsidP="523A9F15" wp14:paraId="2C4BAA9D" wp14:textId="2F8FF6F8">
      <w:pPr>
        <w:spacing w:before="240" w:beforeAutospacing="off" w:after="240" w:afterAutospacing="off"/>
      </w:pPr>
      <w:r w:rsidRPr="523A9F15" w:rsidR="69728A1E">
        <w:rPr>
          <w:rFonts w:ascii="Aptos" w:hAnsi="Aptos" w:eastAsia="Aptos" w:cs="Aptos"/>
          <w:noProof w:val="0"/>
          <w:sz w:val="24"/>
          <w:szCs w:val="24"/>
          <w:lang w:val="pl-PL"/>
        </w:rPr>
        <w:t>The database server functions as a centralized platform for storing and managing customer, campaign, and analytics data. These datasets support performance tracking and personalized marketing initiatives. Due to its operational importance and the sensitivity of stored data, maintaining strong security controls is essential.</w:t>
      </w:r>
    </w:p>
    <w:p xmlns:wp14="http://schemas.microsoft.com/office/word/2010/wordml" wp14:paraId="30089B5C" wp14:textId="37DEB191"/>
    <w:p xmlns:wp14="http://schemas.microsoft.com/office/word/2010/wordml" w:rsidP="523A9F15" wp14:paraId="1BEC56F6" wp14:textId="28D1D732">
      <w:pPr>
        <w:pStyle w:val="Heading3"/>
        <w:spacing w:before="281" w:beforeAutospacing="off" w:after="281" w:afterAutospacing="off"/>
      </w:pPr>
      <w:r w:rsidRPr="523A9F15" w:rsidR="69728A1E">
        <w:rPr>
          <w:rFonts w:ascii="Aptos" w:hAnsi="Aptos" w:eastAsia="Aptos" w:cs="Aptos"/>
          <w:b w:val="1"/>
          <w:bCs w:val="1"/>
          <w:noProof w:val="0"/>
          <w:sz w:val="28"/>
          <w:szCs w:val="28"/>
          <w:lang w:val="pl-PL"/>
        </w:rPr>
        <w:t>Risk Assessment</w:t>
      </w:r>
    </w:p>
    <w:tbl>
      <w:tblPr>
        <w:tblStyle w:val="TableNormal"/>
        <w:bidiVisual w:val="0"/>
        <w:tblW w:w="0" w:type="auto"/>
        <w:tblLook w:val="06A0" w:firstRow="1" w:lastRow="0" w:firstColumn="1" w:lastColumn="0" w:noHBand="1" w:noVBand="1"/>
      </w:tblPr>
      <w:tblGrid>
        <w:gridCol w:w="1464"/>
        <w:gridCol w:w="4811"/>
        <w:gridCol w:w="1107"/>
        <w:gridCol w:w="840"/>
        <w:gridCol w:w="1096"/>
      </w:tblGrid>
      <w:tr w:rsidR="523A9F15" w:rsidTr="523A9F15" w14:paraId="5DF1BA58">
        <w:trPr>
          <w:trHeight w:val="300"/>
        </w:trPr>
        <w:tc>
          <w:tcPr>
            <w:tcW w:w="1464" w:type="dxa"/>
            <w:tcMar/>
            <w:vAlign w:val="center"/>
          </w:tcPr>
          <w:p w:rsidR="523A9F15" w:rsidP="523A9F15" w:rsidRDefault="523A9F15" w14:paraId="7773E5B7" w14:textId="1CA90F6A">
            <w:pPr>
              <w:spacing w:before="0" w:beforeAutospacing="off" w:after="0" w:afterAutospacing="off"/>
              <w:jc w:val="center"/>
            </w:pPr>
            <w:r w:rsidRPr="523A9F15" w:rsidR="523A9F15">
              <w:rPr>
                <w:b w:val="1"/>
                <w:bCs w:val="1"/>
              </w:rPr>
              <w:t>Threat Source</w:t>
            </w:r>
          </w:p>
        </w:tc>
        <w:tc>
          <w:tcPr>
            <w:tcW w:w="4811" w:type="dxa"/>
            <w:tcMar/>
            <w:vAlign w:val="center"/>
          </w:tcPr>
          <w:p w:rsidR="523A9F15" w:rsidP="523A9F15" w:rsidRDefault="523A9F15" w14:paraId="401D1444" w14:textId="0C9C1302">
            <w:pPr>
              <w:spacing w:before="0" w:beforeAutospacing="off" w:after="0" w:afterAutospacing="off"/>
              <w:jc w:val="center"/>
            </w:pPr>
            <w:r w:rsidRPr="523A9F15" w:rsidR="523A9F15">
              <w:rPr>
                <w:b w:val="1"/>
                <w:bCs w:val="1"/>
              </w:rPr>
              <w:t>Threat Event</w:t>
            </w:r>
          </w:p>
        </w:tc>
        <w:tc>
          <w:tcPr>
            <w:tcW w:w="1107" w:type="dxa"/>
            <w:tcMar/>
            <w:vAlign w:val="center"/>
          </w:tcPr>
          <w:p w:rsidR="523A9F15" w:rsidP="523A9F15" w:rsidRDefault="523A9F15" w14:paraId="5F2DD6A0" w14:textId="001FA2E0">
            <w:pPr>
              <w:spacing w:before="0" w:beforeAutospacing="off" w:after="0" w:afterAutospacing="off"/>
              <w:jc w:val="center"/>
            </w:pPr>
            <w:r w:rsidRPr="523A9F15" w:rsidR="523A9F15">
              <w:rPr>
                <w:b w:val="1"/>
                <w:bCs w:val="1"/>
              </w:rPr>
              <w:t>Likelihood</w:t>
            </w:r>
          </w:p>
        </w:tc>
        <w:tc>
          <w:tcPr>
            <w:tcW w:w="840" w:type="dxa"/>
            <w:tcMar/>
            <w:vAlign w:val="center"/>
          </w:tcPr>
          <w:p w:rsidR="523A9F15" w:rsidP="523A9F15" w:rsidRDefault="523A9F15" w14:paraId="76AB4696" w14:textId="2811A163">
            <w:pPr>
              <w:spacing w:before="0" w:beforeAutospacing="off" w:after="0" w:afterAutospacing="off"/>
              <w:jc w:val="center"/>
            </w:pPr>
            <w:r w:rsidRPr="523A9F15" w:rsidR="523A9F15">
              <w:rPr>
                <w:b w:val="1"/>
                <w:bCs w:val="1"/>
              </w:rPr>
              <w:t>Severity</w:t>
            </w:r>
          </w:p>
        </w:tc>
        <w:tc>
          <w:tcPr>
            <w:tcW w:w="1096" w:type="dxa"/>
            <w:tcMar/>
            <w:vAlign w:val="center"/>
          </w:tcPr>
          <w:p w:rsidR="523A9F15" w:rsidP="523A9F15" w:rsidRDefault="523A9F15" w14:paraId="740F8A0B" w14:textId="50D288BA">
            <w:pPr>
              <w:spacing w:before="0" w:beforeAutospacing="off" w:after="0" w:afterAutospacing="off"/>
              <w:jc w:val="center"/>
            </w:pPr>
            <w:r w:rsidRPr="523A9F15" w:rsidR="523A9F15">
              <w:rPr>
                <w:b w:val="1"/>
                <w:bCs w:val="1"/>
              </w:rPr>
              <w:t>Risk Score</w:t>
            </w:r>
          </w:p>
        </w:tc>
      </w:tr>
      <w:tr w:rsidR="523A9F15" w:rsidTr="523A9F15" w14:paraId="43B775DB">
        <w:trPr>
          <w:trHeight w:val="300"/>
        </w:trPr>
        <w:tc>
          <w:tcPr>
            <w:tcW w:w="1464" w:type="dxa"/>
            <w:tcMar/>
            <w:vAlign w:val="center"/>
          </w:tcPr>
          <w:p w:rsidR="523A9F15" w:rsidP="523A9F15" w:rsidRDefault="523A9F15" w14:paraId="4E84059E" w14:textId="7A733245">
            <w:pPr>
              <w:spacing w:before="0" w:beforeAutospacing="off" w:after="0" w:afterAutospacing="off"/>
            </w:pPr>
            <w:r w:rsidR="523A9F15">
              <w:rPr/>
              <w:t>Hacker</w:t>
            </w:r>
          </w:p>
        </w:tc>
        <w:tc>
          <w:tcPr>
            <w:tcW w:w="4811" w:type="dxa"/>
            <w:tcMar/>
            <w:vAlign w:val="center"/>
          </w:tcPr>
          <w:p w:rsidR="523A9F15" w:rsidP="523A9F15" w:rsidRDefault="523A9F15" w14:paraId="30B76C23" w14:textId="6A8F7BAC">
            <w:pPr>
              <w:spacing w:before="0" w:beforeAutospacing="off" w:after="0" w:afterAutospacing="off"/>
            </w:pPr>
            <w:r w:rsidR="523A9F15">
              <w:rPr/>
              <w:t>Data exfiltration of sensitive information</w:t>
            </w:r>
          </w:p>
        </w:tc>
        <w:tc>
          <w:tcPr>
            <w:tcW w:w="1107" w:type="dxa"/>
            <w:tcMar/>
            <w:vAlign w:val="center"/>
          </w:tcPr>
          <w:p w:rsidR="523A9F15" w:rsidP="523A9F15" w:rsidRDefault="523A9F15" w14:paraId="741E2C8D" w14:textId="0F40CEEC">
            <w:pPr>
              <w:spacing w:before="0" w:beforeAutospacing="off" w:after="0" w:afterAutospacing="off"/>
            </w:pPr>
            <w:r w:rsidR="523A9F15">
              <w:rPr/>
              <w:t>3</w:t>
            </w:r>
          </w:p>
        </w:tc>
        <w:tc>
          <w:tcPr>
            <w:tcW w:w="840" w:type="dxa"/>
            <w:tcMar/>
            <w:vAlign w:val="center"/>
          </w:tcPr>
          <w:p w:rsidR="523A9F15" w:rsidP="523A9F15" w:rsidRDefault="523A9F15" w14:paraId="0FA89B6C" w14:textId="5C6D932A">
            <w:pPr>
              <w:spacing w:before="0" w:beforeAutospacing="off" w:after="0" w:afterAutospacing="off"/>
            </w:pPr>
            <w:r w:rsidR="523A9F15">
              <w:rPr/>
              <w:t>3</w:t>
            </w:r>
          </w:p>
        </w:tc>
        <w:tc>
          <w:tcPr>
            <w:tcW w:w="1096" w:type="dxa"/>
            <w:tcMar/>
            <w:vAlign w:val="center"/>
          </w:tcPr>
          <w:p w:rsidR="523A9F15" w:rsidP="523A9F15" w:rsidRDefault="523A9F15" w14:paraId="07E8E723" w14:textId="41975302">
            <w:pPr>
              <w:spacing w:before="0" w:beforeAutospacing="off" w:after="0" w:afterAutospacing="off"/>
            </w:pPr>
            <w:r w:rsidR="523A9F15">
              <w:rPr/>
              <w:t>9</w:t>
            </w:r>
          </w:p>
        </w:tc>
      </w:tr>
      <w:tr w:rsidR="523A9F15" w:rsidTr="523A9F15" w14:paraId="45A84240">
        <w:trPr>
          <w:trHeight w:val="300"/>
        </w:trPr>
        <w:tc>
          <w:tcPr>
            <w:tcW w:w="1464" w:type="dxa"/>
            <w:tcMar/>
            <w:vAlign w:val="center"/>
          </w:tcPr>
          <w:p w:rsidR="523A9F15" w:rsidP="523A9F15" w:rsidRDefault="523A9F15" w14:paraId="78C918A6" w14:textId="062D9702">
            <w:pPr>
              <w:spacing w:before="0" w:beforeAutospacing="off" w:after="0" w:afterAutospacing="off"/>
            </w:pPr>
            <w:r w:rsidR="523A9F15">
              <w:rPr/>
              <w:t>Employee</w:t>
            </w:r>
          </w:p>
        </w:tc>
        <w:tc>
          <w:tcPr>
            <w:tcW w:w="4811" w:type="dxa"/>
            <w:tcMar/>
            <w:vAlign w:val="center"/>
          </w:tcPr>
          <w:p w:rsidR="523A9F15" w:rsidP="523A9F15" w:rsidRDefault="523A9F15" w14:paraId="067A3C96" w14:textId="5089DA11">
            <w:pPr>
              <w:spacing w:before="0" w:beforeAutospacing="off" w:after="0" w:afterAutospacing="off"/>
            </w:pPr>
            <w:r w:rsidR="523A9F15">
              <w:rPr/>
              <w:t>Disruption of mission-critical operations</w:t>
            </w:r>
          </w:p>
        </w:tc>
        <w:tc>
          <w:tcPr>
            <w:tcW w:w="1107" w:type="dxa"/>
            <w:tcMar/>
            <w:vAlign w:val="center"/>
          </w:tcPr>
          <w:p w:rsidR="523A9F15" w:rsidP="523A9F15" w:rsidRDefault="523A9F15" w14:paraId="5293726E" w14:textId="39228E72">
            <w:pPr>
              <w:spacing w:before="0" w:beforeAutospacing="off" w:after="0" w:afterAutospacing="off"/>
            </w:pPr>
            <w:r w:rsidR="523A9F15">
              <w:rPr/>
              <w:t>2</w:t>
            </w:r>
          </w:p>
        </w:tc>
        <w:tc>
          <w:tcPr>
            <w:tcW w:w="840" w:type="dxa"/>
            <w:tcMar/>
            <w:vAlign w:val="center"/>
          </w:tcPr>
          <w:p w:rsidR="523A9F15" w:rsidP="523A9F15" w:rsidRDefault="523A9F15" w14:paraId="5F4034E2" w14:textId="6823EFBD">
            <w:pPr>
              <w:spacing w:before="0" w:beforeAutospacing="off" w:after="0" w:afterAutospacing="off"/>
            </w:pPr>
            <w:r w:rsidR="523A9F15">
              <w:rPr/>
              <w:t>3</w:t>
            </w:r>
          </w:p>
        </w:tc>
        <w:tc>
          <w:tcPr>
            <w:tcW w:w="1096" w:type="dxa"/>
            <w:tcMar/>
            <w:vAlign w:val="center"/>
          </w:tcPr>
          <w:p w:rsidR="523A9F15" w:rsidP="523A9F15" w:rsidRDefault="523A9F15" w14:paraId="7D95E384" w14:textId="1D370408">
            <w:pPr>
              <w:spacing w:before="0" w:beforeAutospacing="off" w:after="0" w:afterAutospacing="off"/>
            </w:pPr>
            <w:r w:rsidR="523A9F15">
              <w:rPr/>
              <w:t>6</w:t>
            </w:r>
          </w:p>
        </w:tc>
      </w:tr>
      <w:tr w:rsidR="523A9F15" w:rsidTr="523A9F15" w14:paraId="374EC09B">
        <w:trPr>
          <w:trHeight w:val="300"/>
        </w:trPr>
        <w:tc>
          <w:tcPr>
            <w:tcW w:w="1464" w:type="dxa"/>
            <w:tcMar/>
            <w:vAlign w:val="center"/>
          </w:tcPr>
          <w:p w:rsidR="523A9F15" w:rsidP="523A9F15" w:rsidRDefault="523A9F15" w14:paraId="13EA91A8" w14:textId="024C2278">
            <w:pPr>
              <w:spacing w:before="0" w:beforeAutospacing="off" w:after="0" w:afterAutospacing="off"/>
            </w:pPr>
            <w:r w:rsidR="523A9F15">
              <w:rPr/>
              <w:t>Customer</w:t>
            </w:r>
          </w:p>
        </w:tc>
        <w:tc>
          <w:tcPr>
            <w:tcW w:w="4811" w:type="dxa"/>
            <w:tcMar/>
            <w:vAlign w:val="center"/>
          </w:tcPr>
          <w:p w:rsidR="523A9F15" w:rsidP="523A9F15" w:rsidRDefault="523A9F15" w14:paraId="76F6B524" w14:textId="2A406080">
            <w:pPr>
              <w:spacing w:before="0" w:beforeAutospacing="off" w:after="0" w:afterAutospacing="off"/>
            </w:pPr>
            <w:r w:rsidR="523A9F15">
              <w:rPr/>
              <w:t>Unauthorized alteration or deletion of critical data</w:t>
            </w:r>
          </w:p>
        </w:tc>
        <w:tc>
          <w:tcPr>
            <w:tcW w:w="1107" w:type="dxa"/>
            <w:tcMar/>
            <w:vAlign w:val="center"/>
          </w:tcPr>
          <w:p w:rsidR="523A9F15" w:rsidP="523A9F15" w:rsidRDefault="523A9F15" w14:paraId="485BBE45" w14:textId="078901F0">
            <w:pPr>
              <w:spacing w:before="0" w:beforeAutospacing="off" w:after="0" w:afterAutospacing="off"/>
            </w:pPr>
            <w:r w:rsidR="523A9F15">
              <w:rPr/>
              <w:t>1</w:t>
            </w:r>
          </w:p>
        </w:tc>
        <w:tc>
          <w:tcPr>
            <w:tcW w:w="840" w:type="dxa"/>
            <w:tcMar/>
            <w:vAlign w:val="center"/>
          </w:tcPr>
          <w:p w:rsidR="523A9F15" w:rsidP="523A9F15" w:rsidRDefault="523A9F15" w14:paraId="5B61A66C" w14:textId="6FE07A0E">
            <w:pPr>
              <w:spacing w:before="0" w:beforeAutospacing="off" w:after="0" w:afterAutospacing="off"/>
            </w:pPr>
            <w:r w:rsidR="523A9F15">
              <w:rPr/>
              <w:t>3</w:t>
            </w:r>
          </w:p>
        </w:tc>
        <w:tc>
          <w:tcPr>
            <w:tcW w:w="1096" w:type="dxa"/>
            <w:tcMar/>
            <w:vAlign w:val="center"/>
          </w:tcPr>
          <w:p w:rsidR="523A9F15" w:rsidP="523A9F15" w:rsidRDefault="523A9F15" w14:paraId="18CC80DC" w14:textId="350D9F19">
            <w:pPr>
              <w:spacing w:before="0" w:beforeAutospacing="off" w:after="0" w:afterAutospacing="off"/>
            </w:pPr>
            <w:r w:rsidR="523A9F15">
              <w:rPr/>
              <w:t>3</w:t>
            </w:r>
          </w:p>
        </w:tc>
      </w:tr>
    </w:tbl>
    <w:p xmlns:wp14="http://schemas.microsoft.com/office/word/2010/wordml" w:rsidP="523A9F15" wp14:paraId="036662A3" wp14:textId="17FBEDD7">
      <w:pPr>
        <w:bidi w:val="0"/>
        <w:spacing w:before="240" w:beforeAutospacing="off" w:after="240" w:afterAutospacing="off"/>
      </w:pPr>
      <w:r w:rsidRPr="523A9F15" w:rsidR="69728A1E">
        <w:rPr>
          <w:rFonts w:ascii="Aptos" w:hAnsi="Aptos" w:eastAsia="Aptos" w:cs="Aptos"/>
          <w:noProof w:val="0"/>
          <w:sz w:val="24"/>
          <w:szCs w:val="24"/>
          <w:lang w:val="pl-PL"/>
        </w:rPr>
        <w:t>Risk scores were calculated by multiplying likelihood and severity.</w:t>
      </w:r>
    </w:p>
    <w:p xmlns:wp14="http://schemas.microsoft.com/office/word/2010/wordml" wp14:paraId="43D74B50" wp14:textId="268E55FC"/>
    <w:p xmlns:wp14="http://schemas.microsoft.com/office/word/2010/wordml" w:rsidP="523A9F15" wp14:paraId="2FAEF802" wp14:textId="60C99F24">
      <w:pPr>
        <w:pStyle w:val="Heading3"/>
        <w:bidi w:val="0"/>
        <w:spacing w:before="281" w:beforeAutospacing="off" w:after="281" w:afterAutospacing="off"/>
      </w:pPr>
      <w:r w:rsidRPr="523A9F15" w:rsidR="69728A1E">
        <w:rPr>
          <w:rFonts w:ascii="Aptos" w:hAnsi="Aptos" w:eastAsia="Aptos" w:cs="Aptos"/>
          <w:b w:val="1"/>
          <w:bCs w:val="1"/>
          <w:noProof w:val="0"/>
          <w:sz w:val="28"/>
          <w:szCs w:val="28"/>
          <w:lang w:val="pl-PL"/>
        </w:rPr>
        <w:t>Assessment Approach</w:t>
      </w:r>
    </w:p>
    <w:p xmlns:wp14="http://schemas.microsoft.com/office/word/2010/wordml" w:rsidP="523A9F15" wp14:paraId="30BEA79C" wp14:textId="567EFEBD">
      <w:pPr>
        <w:bidi w:val="0"/>
        <w:spacing w:before="240" w:beforeAutospacing="off" w:after="240" w:afterAutospacing="off"/>
      </w:pPr>
      <w:r w:rsidRPr="523A9F15" w:rsidR="69728A1E">
        <w:rPr>
          <w:rFonts w:ascii="Aptos" w:hAnsi="Aptos" w:eastAsia="Aptos" w:cs="Aptos"/>
          <w:noProof w:val="0"/>
          <w:sz w:val="24"/>
          <w:szCs w:val="24"/>
          <w:lang w:val="pl-PL"/>
        </w:rPr>
        <w:t>The assessment evaluated risks associated with data storage and management practices. Threat sources and potential events were identified based on the probability of incidents resulting from open access permissions. Severity ratings were determined by assessing potential operational and business impact.</w:t>
      </w:r>
    </w:p>
    <w:p xmlns:wp14="http://schemas.microsoft.com/office/word/2010/wordml" wp14:paraId="17F27965" wp14:textId="3C6BE1EE"/>
    <w:p xmlns:wp14="http://schemas.microsoft.com/office/word/2010/wordml" w:rsidP="523A9F15" wp14:paraId="55B4A428" wp14:textId="513DC971">
      <w:pPr>
        <w:pStyle w:val="Heading3"/>
        <w:bidi w:val="0"/>
        <w:spacing w:before="281" w:beforeAutospacing="off" w:after="281" w:afterAutospacing="off"/>
      </w:pPr>
      <w:r w:rsidRPr="523A9F15" w:rsidR="69728A1E">
        <w:rPr>
          <w:rFonts w:ascii="Aptos" w:hAnsi="Aptos" w:eastAsia="Aptos" w:cs="Aptos"/>
          <w:b w:val="1"/>
          <w:bCs w:val="1"/>
          <w:noProof w:val="0"/>
          <w:sz w:val="28"/>
          <w:szCs w:val="28"/>
          <w:lang w:val="pl-PL"/>
        </w:rPr>
        <w:t>Remediation Strategy</w:t>
      </w:r>
    </w:p>
    <w:p xmlns:wp14="http://schemas.microsoft.com/office/word/2010/wordml" w:rsidP="523A9F15" wp14:paraId="734258D5" wp14:textId="7052F051">
      <w:pPr>
        <w:bidi w:val="0"/>
        <w:spacing w:before="240" w:beforeAutospacing="off" w:after="240" w:afterAutospacing="off"/>
      </w:pPr>
      <w:r w:rsidRPr="523A9F15" w:rsidR="69728A1E">
        <w:rPr>
          <w:rFonts w:ascii="Aptos" w:hAnsi="Aptos" w:eastAsia="Aptos" w:cs="Aptos"/>
          <w:noProof w:val="0"/>
          <w:sz w:val="24"/>
          <w:szCs w:val="24"/>
          <w:lang w:val="pl-PL"/>
        </w:rPr>
        <w:t>The following controls are recommended:</w:t>
      </w:r>
    </w:p>
    <w:p xmlns:wp14="http://schemas.microsoft.com/office/word/2010/wordml" w:rsidP="523A9F15" wp14:paraId="44DC7D4A" wp14:textId="092F0B26">
      <w:pPr>
        <w:pStyle w:val="ListParagraph"/>
        <w:numPr>
          <w:ilvl w:val="0"/>
          <w:numId w:val="1"/>
        </w:numPr>
        <w:bidi w:val="0"/>
        <w:spacing w:before="240" w:beforeAutospacing="off" w:after="240" w:afterAutospacing="off"/>
        <w:rPr>
          <w:rFonts w:ascii="Aptos" w:hAnsi="Aptos" w:eastAsia="Aptos" w:cs="Aptos"/>
          <w:noProof w:val="0"/>
          <w:sz w:val="24"/>
          <w:szCs w:val="24"/>
          <w:lang w:val="pl-PL"/>
        </w:rPr>
      </w:pPr>
      <w:r w:rsidRPr="523A9F15" w:rsidR="69728A1E">
        <w:rPr>
          <w:rFonts w:ascii="Aptos" w:hAnsi="Aptos" w:eastAsia="Aptos" w:cs="Aptos"/>
          <w:noProof w:val="0"/>
          <w:sz w:val="24"/>
          <w:szCs w:val="24"/>
          <w:lang w:val="pl-PL"/>
        </w:rPr>
        <w:t>Implement robust authentication, authorization, and auditing mechanisms.</w:t>
      </w:r>
    </w:p>
    <w:p xmlns:wp14="http://schemas.microsoft.com/office/word/2010/wordml" w:rsidP="523A9F15" wp14:paraId="4EED20DC" wp14:textId="622BAE86">
      <w:pPr>
        <w:pStyle w:val="ListParagraph"/>
        <w:numPr>
          <w:ilvl w:val="0"/>
          <w:numId w:val="1"/>
        </w:numPr>
        <w:bidi w:val="0"/>
        <w:spacing w:before="240" w:beforeAutospacing="off" w:after="240" w:afterAutospacing="off"/>
        <w:rPr>
          <w:rFonts w:ascii="Aptos" w:hAnsi="Aptos" w:eastAsia="Aptos" w:cs="Aptos"/>
          <w:noProof w:val="0"/>
          <w:sz w:val="24"/>
          <w:szCs w:val="24"/>
          <w:lang w:val="pl-PL"/>
        </w:rPr>
      </w:pPr>
      <w:r w:rsidRPr="523A9F15" w:rsidR="69728A1E">
        <w:rPr>
          <w:rFonts w:ascii="Aptos" w:hAnsi="Aptos" w:eastAsia="Aptos" w:cs="Aptos"/>
          <w:noProof w:val="0"/>
          <w:sz w:val="24"/>
          <w:szCs w:val="24"/>
          <w:lang w:val="pl-PL"/>
        </w:rPr>
        <w:t>Enforce strong password policies and role-based access control (RBAC).</w:t>
      </w:r>
    </w:p>
    <w:p xmlns:wp14="http://schemas.microsoft.com/office/word/2010/wordml" w:rsidP="523A9F15" wp14:paraId="5FDF6022" wp14:textId="0ECEA020">
      <w:pPr>
        <w:pStyle w:val="ListParagraph"/>
        <w:numPr>
          <w:ilvl w:val="0"/>
          <w:numId w:val="1"/>
        </w:numPr>
        <w:bidi w:val="0"/>
        <w:spacing w:before="240" w:beforeAutospacing="off" w:after="240" w:afterAutospacing="off"/>
        <w:rPr>
          <w:rFonts w:ascii="Aptos" w:hAnsi="Aptos" w:eastAsia="Aptos" w:cs="Aptos"/>
          <w:noProof w:val="0"/>
          <w:sz w:val="24"/>
          <w:szCs w:val="24"/>
          <w:lang w:val="pl-PL"/>
        </w:rPr>
      </w:pPr>
      <w:r w:rsidRPr="523A9F15" w:rsidR="69728A1E">
        <w:rPr>
          <w:rFonts w:ascii="Aptos" w:hAnsi="Aptos" w:eastAsia="Aptos" w:cs="Aptos"/>
          <w:noProof w:val="0"/>
          <w:sz w:val="24"/>
          <w:szCs w:val="24"/>
          <w:lang w:val="pl-PL"/>
        </w:rPr>
        <w:t>Require multi-factor authentication (MFA) for privileged accounts.</w:t>
      </w:r>
    </w:p>
    <w:p xmlns:wp14="http://schemas.microsoft.com/office/word/2010/wordml" w:rsidP="523A9F15" wp14:paraId="00C03F5F" wp14:textId="68B5D905">
      <w:pPr>
        <w:pStyle w:val="ListParagraph"/>
        <w:numPr>
          <w:ilvl w:val="0"/>
          <w:numId w:val="1"/>
        </w:numPr>
        <w:bidi w:val="0"/>
        <w:spacing w:before="240" w:beforeAutospacing="off" w:after="240" w:afterAutospacing="off"/>
        <w:rPr>
          <w:rFonts w:ascii="Aptos" w:hAnsi="Aptos" w:eastAsia="Aptos" w:cs="Aptos"/>
          <w:noProof w:val="0"/>
          <w:sz w:val="24"/>
          <w:szCs w:val="24"/>
          <w:lang w:val="pl-PL"/>
        </w:rPr>
      </w:pPr>
      <w:r w:rsidRPr="523A9F15" w:rsidR="69728A1E">
        <w:rPr>
          <w:rFonts w:ascii="Aptos" w:hAnsi="Aptos" w:eastAsia="Aptos" w:cs="Aptos"/>
          <w:noProof w:val="0"/>
          <w:sz w:val="24"/>
          <w:szCs w:val="24"/>
          <w:lang w:val="pl-PL"/>
        </w:rPr>
        <w:t>Replace legacy SSL configurations with modern TLS standards for data in transit.</w:t>
      </w:r>
    </w:p>
    <w:p xmlns:wp14="http://schemas.microsoft.com/office/word/2010/wordml" w:rsidP="523A9F15" wp14:paraId="76271A6D" wp14:textId="6DE1AE00">
      <w:pPr>
        <w:pStyle w:val="ListParagraph"/>
        <w:numPr>
          <w:ilvl w:val="0"/>
          <w:numId w:val="1"/>
        </w:numPr>
        <w:bidi w:val="0"/>
        <w:spacing w:before="240" w:beforeAutospacing="off" w:after="240" w:afterAutospacing="off"/>
        <w:rPr>
          <w:rFonts w:ascii="Aptos" w:hAnsi="Aptos" w:eastAsia="Aptos" w:cs="Aptos"/>
          <w:noProof w:val="0"/>
          <w:sz w:val="24"/>
          <w:szCs w:val="24"/>
          <w:lang w:val="pl-PL"/>
        </w:rPr>
      </w:pPr>
      <w:r w:rsidRPr="523A9F15" w:rsidR="69728A1E">
        <w:rPr>
          <w:rFonts w:ascii="Aptos" w:hAnsi="Aptos" w:eastAsia="Aptos" w:cs="Aptos"/>
          <w:noProof w:val="0"/>
          <w:sz w:val="24"/>
          <w:szCs w:val="24"/>
          <w:lang w:val="pl-PL"/>
        </w:rPr>
        <w:t>Apply IP allow-listing to restrict database access to authorized corporate network locations.</w:t>
      </w:r>
    </w:p>
    <w:p xmlns:wp14="http://schemas.microsoft.com/office/word/2010/wordml" w:rsidP="523A9F15" wp14:paraId="29D47C20" wp14:textId="4C62858E">
      <w:pPr>
        <w:bidi w:val="0"/>
        <w:spacing w:before="240" w:beforeAutospacing="off" w:after="240" w:afterAutospacing="off"/>
      </w:pPr>
      <w:r w:rsidRPr="523A9F15" w:rsidR="69728A1E">
        <w:rPr>
          <w:rFonts w:ascii="Aptos" w:hAnsi="Aptos" w:eastAsia="Aptos" w:cs="Aptos"/>
          <w:noProof w:val="0"/>
          <w:sz w:val="24"/>
          <w:szCs w:val="24"/>
          <w:lang w:val="pl-PL"/>
        </w:rPr>
        <w:t>These measures are intended to reduce unauthorized access, mitigate data exfiltration risks, and strengthen overall system security posture.</w:t>
      </w:r>
    </w:p>
    <w:p xmlns:wp14="http://schemas.microsoft.com/office/word/2010/wordml" wp14:paraId="57375426" wp14:textId="16B3639F"/>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c1c5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40042A"/>
    <w:rsid w:val="4A40042A"/>
    <w:rsid w:val="523A9F15"/>
    <w:rsid w:val="69728A1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C1FD8"/>
  <w15:chartTrackingRefBased/>
  <w15:docId w15:val="{331F35A3-A329-4809-A14B-DC0CD679D7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23A9F1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23A9F1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23A9F1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10bb97cb16e40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2026-03-04T18:39:29.5246907Z</dcterms:created>
  <dcterms:modified xsi:type="dcterms:W3CDTF">2026-03-04T18:39:47.3157566Z</dcterms:modified>
  <dc:creator>Izabela Kucharska</dc:creator>
  <lastModifiedBy>Izabela Kucharska</lastModifiedBy>
</coreProperties>
</file>