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A" w:val="clear"/>
            <w:tcMar>
              <w:top w:type="dxa" w:w="500"/>
              <w:left w:type="dxa" w:w="520"/>
              <w:bottom w:type="dxa" w:w="500"/>
              <w:right w:type="dxa" w:w="52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AA6633"/>
                <w:spacing w:val="200"/>
                <w:sz w:val="16"/>
                <w:szCs w:val="16"/>
              </w:rPr>
              <w:t xml:space="preserve">DOCUMENTO DE POSICIONAMENTO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500A"/>
                <w:sz w:val="80"/>
                <w:szCs w:val="80"/>
              </w:rPr>
              <w:t xml:space="preserve">OXENTE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BUILDER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i/>
                <w:iCs/>
                <w:color w:val="8899BB"/>
                <w:sz w:val="22"/>
                <w:szCs w:val="22"/>
              </w:rPr>
              <w:t xml:space="preserve">Consultoria Executiva de Produto e Engenharia na Era da IA</w:t>
            </w:r>
          </w:p>
          <w:p>
            <w:pPr>
              <w:pBdr>
                <w:bottom w:val="single" w:color="3A2010" w:sz="4" w:space="1"/>
              </w:pBdr>
              <w:spacing w:after="240" w:before="0"/>
            </w:pPr>
            <w:r>
              <w:t xml:space="preserve"/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20"/>
              <w:gridCol w:w="1600"/>
              <w:gridCol w:w="120"/>
              <w:gridCol w:w="1600"/>
              <w:gridCol w:w="120"/>
              <w:gridCol w:w="1600"/>
              <w:gridCol w:w="120"/>
              <w:gridCol w:w="192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2D6B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B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CCDDCC"/>
                      <w:sz w:val="14"/>
                      <w:szCs w:val="14"/>
                    </w:rPr>
                    <w:t xml:space="preserve">Business
Context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F1A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A5A3A"/>
                      <w:sz w:val="20"/>
                      <w:szCs w:val="20"/>
                    </w:rPr>
                    <w:t xml:space="preserve">·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5C5C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U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CCDDCC"/>
                      <w:sz w:val="14"/>
                      <w:szCs w:val="14"/>
                    </w:rPr>
                    <w:t xml:space="preserve">Unlock
Product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F1A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A5A3A"/>
                      <w:sz w:val="20"/>
                      <w:szCs w:val="20"/>
                    </w:rPr>
                    <w:t xml:space="preserve">·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1D96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I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CCDDCC"/>
                      <w:sz w:val="14"/>
                      <w:szCs w:val="14"/>
                    </w:rPr>
                    <w:t xml:space="preserve">Infrastructure
Design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F1A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A5A3A"/>
                      <w:sz w:val="20"/>
                      <w:szCs w:val="20"/>
                    </w:rPr>
                    <w:t xml:space="preserve">·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65F46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L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CCDDCC"/>
                      <w:sz w:val="14"/>
                      <w:szCs w:val="14"/>
                    </w:rPr>
                    <w:t xml:space="preserve">Leadership
&amp; Org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F1A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A5A3A"/>
                      <w:sz w:val="20"/>
                      <w:szCs w:val="20"/>
                    </w:rPr>
                    <w:t xml:space="preserve">·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92280F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D</w:t>
                  </w:r>
                </w:p>
                <w:p>
                  <w:pPr>
                    <w:spacing w:after="0" w:before="20"/>
                    <w:jc w:val="center"/>
                  </w:pPr>
                  <w:r>
                    <w:rPr>
                      <w:rFonts w:ascii="Arial" w:cs="Arial" w:eastAsia="Arial" w:hAnsi="Arial"/>
                      <w:color w:val="CCDDCC"/>
                      <w:sz w:val="14"/>
                      <w:szCs w:val="14"/>
                    </w:rPr>
                    <w:t xml:space="preserve">Deliver
with AI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A55"/>
                <w:sz w:val="17"/>
                <w:szCs w:val="17"/>
              </w:rPr>
              <w:t xml:space="preserve">Fundada por Izael Effemberg  ·  São Paulo, Brasil  ·  2026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E3A" w:val="clear"/>
            <w:tcMar>
              <w:top w:type="dxa" w:w="260"/>
              <w:left w:type="dxa" w:w="480"/>
              <w:bottom w:type="dxa" w:w="260"/>
              <w:right w:type="dxa" w:w="480"/>
            </w:tcMar>
          </w:tcPr>
          <w:p>
            <w:pPr>
              <w:spacing w:after="10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Você tem mais gente em produto e engenharia do que nunca.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D4500A"/>
                <w:sz w:val="26"/>
                <w:szCs w:val="26"/>
              </w:rPr>
              <w:t xml:space="preserve">E entrega menos do que deveria.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4500A"/>
          <w:spacing w:val="160"/>
          <w:sz w:val="16"/>
          <w:szCs w:val="16"/>
        </w:rPr>
        <w:t xml:space="preserve">O PROBLEMA — E QUANTO ELE CUSTA</w:t>
      </w:r>
    </w:p>
    <w:p>
      <w:pPr>
        <w:spacing w:after="160" w:before="0"/>
      </w:pPr>
      <w:r>
        <w:rPr>
          <w:rFonts w:ascii="Georgia" w:cs="Georgia" w:eastAsia="Georgia" w:hAnsi="Georgia"/>
          <w:b/>
          <w:bCs/>
          <w:color w:val="0A0F1A"/>
          <w:sz w:val="28"/>
          <w:szCs w:val="28"/>
        </w:rPr>
        <w:t xml:space="preserve">O problema não é a IA. É a estrutura que não mudou para recebê-la.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0A0F1A"/>
          <w:sz w:val="22"/>
          <w:szCs w:val="22"/>
        </w:rPr>
        <w:t xml:space="preserve">88% das empresas já usam IA em pelo menos uma função. Mas apenas um terço conseguiu escalar além de pilotos isolados, segundo o McKinsey State of AI 2025. O diagnóstico é direto: a tecnologia chegou, a estrutura não mudou. Negócio, produto, engenharia e implementação continuam operando em silos — e a IA entra como mais uma ferramenta em cima de um processo já quebrado.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0A0F1A"/>
          <w:sz w:val="22"/>
          <w:szCs w:val="22"/>
        </w:rPr>
        <w:t xml:space="preserve">O resultado é paradoxal: quanto mais a empresa investe em headcount e IA, menor é a velocidade de entrega. Times crescem, reuniões de alinhamento multiplicam, e o código entregue precisa ser refeito. Não por falta de talento — por falta de estrutura.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80F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E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280F"/>
                <w:spacing w:val="120"/>
                <w:sz w:val="16"/>
                <w:szCs w:val="16"/>
              </w:rPr>
              <w:t xml:space="preserve">QUANTO CUSTA ESSE PROBLEMA — DADOS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Engenheiros sênior em São Paulo custam entre R$ 15k e R$ 25k/mês em salário direto, mais 70–90% em encargos. Um squad de 10 pessoas custa entre R$ 1,5M e R$ 4M/ano.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Times de engenharia dedicam 30–50% do tempo a retrabalho, segundo o DORA State of DevOps 2024 — código refeito por requisitos ambíguos ou mudança de direção tardia.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Mais de 50% do retrabalho tem origem em requisitos mal definidos, segundo o Carnegie Mellon Software Engineering Institute.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Software refeito custa 2,5x mais do que o desenvolvimento original — para uma equipe média, mais de R$ 700k desperdiçados por ano (Code Climate).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Empresas de alto desempenho em IA são 3x mais propensas a redesenhar workflows fundamentalmente — não apenas adotar ferramentas (McKinsey, 2025).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6B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6B"/>
                <w:spacing w:val="120"/>
                <w:sz w:val="16"/>
                <w:szCs w:val="16"/>
              </w:rPr>
              <w:t xml:space="preserve">POR QUE AGORA — A JANELA ESTÁ SE FECHANDO</w:t>
            </w:r>
          </w:p>
          <w:p>
            <w:pPr>
              <w:spacing w:after="14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0A0F1A"/>
                <w:sz w:val="22"/>
                <w:szCs w:val="22"/>
              </w:rPr>
              <w:t xml:space="preserve">Gartner projeta que plataformas nativas de IA reduzirão times de engenharia em até 80% até 2030. Empresas que redesenharem suas estruturas em 2025–2026 vão competir com times 3x menores e velocidade de entrega incomparável. As que não fizerem isso vão continuar pagando por headcount desnecessário enquanto competidores enxutos aceleram.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14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0A0F1A"/>
                <w:sz w:val="22"/>
                <w:szCs w:val="22"/>
              </w:rPr>
              <w:t xml:space="preserve">A demanda por executivos fractional cresceu 68% ano a ano. Empresas estão substituindo C-levels full-time por parceiros executivos mais flexíveis — com o mesmo nível estratégico e custo 40–60% menor.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A0F1A" w:sz="8" w:space="1"/>
        </w:pBdr>
        <w:spacing w:after="18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4500A"/>
          <w:spacing w:val="160"/>
          <w:sz w:val="16"/>
          <w:szCs w:val="16"/>
        </w:rPr>
        <w:t xml:space="preserve">PARA QUEM</w:t>
      </w:r>
    </w:p>
    <w:p>
      <w:pPr>
        <w:spacing w:after="160" w:before="0"/>
      </w:pPr>
      <w:r>
        <w:rPr>
          <w:rFonts w:ascii="Georgia" w:cs="Georgia" w:eastAsia="Georgia" w:hAnsi="Georgia"/>
          <w:b/>
          <w:bCs/>
          <w:color w:val="0A0F1A"/>
          <w:sz w:val="26"/>
          <w:szCs w:val="26"/>
        </w:rPr>
        <w:t xml:space="preserve">Dois perfis de empresa. Uma mesma dor estrutural.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80F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 com produto digital escalando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6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 tradicional criando produto digital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EE" w:val="clear"/>
            <w:tcMar>
              <w:top w:type="dxa" w:w="200"/>
              <w:left w:type="dxa" w:w="220"/>
              <w:bottom w:type="dxa" w:w="200"/>
              <w:right w:type="dxa" w:w="200"/>
            </w:tcMar>
          </w:tcPr>
          <w:p>
            <w:pPr>
              <w:spacing w:after="100" w:before="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A0F1A"/>
                <w:sz w:val="22"/>
                <w:szCs w:val="22"/>
              </w:rPr>
              <w:t xml:space="preserve">Porte: </w:t>
            </w: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R$ 10M–200M de receita ou Series A/B</w:t>
            </w:r>
          </w:p>
          <w:p>
            <w:pPr>
              <w:spacing w:after="100" w:before="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A0F1A"/>
                <w:sz w:val="22"/>
                <w:szCs w:val="22"/>
              </w:rPr>
              <w:t xml:space="preserve">Setor: </w:t>
            </w: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Fintech, SaaS, marketplace, healthtech</w:t>
            </w:r>
          </w:p>
          <w:p>
            <w:pPr>
              <w:spacing w:after="100" w:before="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A0F1A"/>
                <w:sz w:val="22"/>
                <w:szCs w:val="22"/>
              </w:rPr>
              <w:t xml:space="preserve">Gatilho: </w:t>
            </w: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Time cresce, velocidade cai, IA sem resultado</w:t>
            </w:r>
          </w:p>
          <w:p>
            <w:pPr>
              <w:spacing w:after="100" w:before="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A0F1A"/>
                <w:sz w:val="22"/>
                <w:szCs w:val="22"/>
              </w:rPr>
              <w:t xml:space="preserve">Quem compra: </w:t>
            </w: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CEO/founder ou CTO sobrecarregado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Squad grande com velocidade baixa de entrega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IA adotada, processo inalterado na prática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Retrabalho alto por requisitos ambíguos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Onboarding de novos devs levando 6–8 semanas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200"/>
              <w:left w:type="dxa" w:w="200"/>
              <w:bottom w:type="dxa" w:w="200"/>
              <w:right w:type="dxa" w:w="220"/>
            </w:tcMar>
          </w:tcPr>
          <w:p>
            <w:pPr>
              <w:spacing w:after="100" w:before="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A0F1A"/>
                <w:sz w:val="22"/>
                <w:szCs w:val="22"/>
              </w:rPr>
              <w:t xml:space="preserve">Porte: </w:t>
            </w: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R$ 200M–2B de receita anual</w:t>
            </w:r>
          </w:p>
          <w:p>
            <w:pPr>
              <w:spacing w:after="100" w:before="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A0F1A"/>
                <w:sz w:val="22"/>
                <w:szCs w:val="22"/>
              </w:rPr>
              <w:t xml:space="preserve">Setor: </w:t>
            </w: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Financeiro, varejo, energia, saúde, logística</w:t>
            </w:r>
          </w:p>
          <w:p>
            <w:pPr>
              <w:spacing w:after="100" w:before="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A0F1A"/>
                <w:sz w:val="22"/>
                <w:szCs w:val="22"/>
              </w:rPr>
              <w:t xml:space="preserve">Gatilho: </w:t>
            </w: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Novo CEO/CTO, pressão de board, IA sem entrega</w:t>
            </w:r>
          </w:p>
          <w:p>
            <w:pPr>
              <w:spacing w:after="100" w:before="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A0F1A"/>
                <w:sz w:val="22"/>
                <w:szCs w:val="22"/>
              </w:rPr>
              <w:t xml:space="preserve">Quem compra: </w:t>
            </w: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CEO ou CDO — raramente o CTO de TI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TI opera como fábrica de projetos, não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Sem discovery, documentação nem critério de aceite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IA no discurso da liderança, ausente na operação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Estrutura desenhada para o paradigma anterior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A0F1A" w:sz="8" w:space="1"/>
        </w:pBdr>
        <w:spacing w:after="18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4500A"/>
          <w:spacing w:val="160"/>
          <w:sz w:val="16"/>
          <w:szCs w:val="16"/>
        </w:rPr>
        <w:t xml:space="preserve">O MÉTODO BUILD</w:t>
      </w:r>
    </w:p>
    <w:p>
      <w:pPr>
        <w:spacing w:after="160" w:before="0"/>
      </w:pPr>
      <w:r>
        <w:rPr>
          <w:rFonts w:ascii="Georgia" w:cs="Georgia" w:eastAsia="Georgia" w:hAnsi="Georgia"/>
          <w:b/>
          <w:bCs/>
          <w:color w:val="0A0F1A"/>
          <w:sz w:val="28"/>
          <w:szCs w:val="28"/>
        </w:rPr>
        <w:t xml:space="preserve">A Oxente Builder entra no negócio e desce até o código.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0A0F1A"/>
          <w:sz w:val="22"/>
          <w:szCs w:val="22"/>
        </w:rPr>
        <w:t xml:space="preserve">O método BUILD é a espinha dorsal de todo engajamento. Cada letra representa uma camada da organização — percorrida em sequência, do contexto de negócio até a entrega com IA. Cada camada produz um artefato que alimenta a próxima. Nenhuma fase começa sem a anterior estar documentada e aprovada.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6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2D6B"/>
                <w:sz w:val="22"/>
                <w:szCs w:val="22"/>
              </w:rPr>
              <w:t xml:space="preserve">Business Context  </w:t>
            </w:r>
            <w:r>
              <w:rPr>
                <w:rFonts w:ascii="Arial" w:cs="Arial" w:eastAsia="Arial" w:hAnsi="Arial"/>
                <w:i/>
                <w:iCs/>
                <w:color w:val="7A7468"/>
                <w:sz w:val="20"/>
                <w:szCs w:val="20"/>
              </w:rPr>
              <w:t xml:space="preserve">·  Entender o negócio antes de tocar no produto</w:t>
            </w:r>
          </w:p>
          <w:p>
            <w:pPr>
              <w:spacing w:after="80" w:before="0"/>
              <w:jc w:val="both"/>
            </w:pPr>
            <w:r>
              <w:rPr>
                <w:rFonts w:ascii="Georgia" w:cs="Georgia" w:eastAsia="Georgia" w:hAnsi="Georgia"/>
                <w:color w:val="0A0F1A"/>
                <w:sz w:val="20"/>
                <w:szCs w:val="20"/>
              </w:rPr>
              <w:t xml:space="preserve">Modelo de negócio, estratégia, receita, clientes e prioridades. Mapeamos onde a empresa quer chegar, quais são os critérios de sucesso e o que está impedindo o crescimento. Sem clareza aqui, produto e engenharia trabalham na direção errada.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D6B"/>
                <w:sz w:val="18"/>
                <w:szCs w:val="18"/>
              </w:rPr>
              <w:t xml:space="preserve">Artefato:  </w:t>
            </w:r>
            <w:r>
              <w:rPr>
                <w:rFonts w:ascii="Arial" w:cs="Arial" w:eastAsia="Arial" w:hAnsi="Arial"/>
                <w:color w:val="7A7468"/>
                <w:sz w:val="18"/>
                <w:szCs w:val="18"/>
              </w:rPr>
              <w:t xml:space="preserve">BRD — Business Requirements Document, aprovado pelo Sponsor antes de avançar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5C5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U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5C5C"/>
                <w:sz w:val="22"/>
                <w:szCs w:val="22"/>
              </w:rPr>
              <w:t xml:space="preserve">Unlock Product  </w:t>
            </w:r>
            <w:r>
              <w:rPr>
                <w:rFonts w:ascii="Arial" w:cs="Arial" w:eastAsia="Arial" w:hAnsi="Arial"/>
                <w:i/>
                <w:iCs/>
                <w:color w:val="7A7468"/>
                <w:sz w:val="20"/>
                <w:szCs w:val="20"/>
              </w:rPr>
              <w:t xml:space="preserve">·  Traduzir negócio em produto com precisão cirúrgica</w:t>
            </w:r>
          </w:p>
          <w:p>
            <w:pPr>
              <w:spacing w:after="80" w:before="0"/>
              <w:jc w:val="both"/>
            </w:pPr>
            <w:r>
              <w:rPr>
                <w:rFonts w:ascii="Georgia" w:cs="Georgia" w:eastAsia="Georgia" w:hAnsi="Georgia"/>
                <w:color w:val="0A0F1A"/>
                <w:sz w:val="20"/>
                <w:szCs w:val="20"/>
              </w:rPr>
              <w:t xml:space="preserve">Mapeamento de jornadas de usuário, dores, métricas de produto e oportunidades. Definição de features com priorização MoSCoW e critérios de aceite em formato Given/When/Then. O produto é a tradução do negócio em experiência — sem interpretação livre da engenharia.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5C5C"/>
                <w:sz w:val="18"/>
                <w:szCs w:val="18"/>
              </w:rPr>
              <w:t xml:space="preserve">Artefato:  </w:t>
            </w:r>
            <w:r>
              <w:rPr>
                <w:rFonts w:ascii="Arial" w:cs="Arial" w:eastAsia="Arial" w:hAnsi="Arial"/>
                <w:color w:val="7A7468"/>
                <w:sz w:val="18"/>
                <w:szCs w:val="18"/>
              </w:rPr>
              <w:t xml:space="preserve">PRD — Product Requirements Document, com User Stories e critérios de aceite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9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D96"/>
                <w:sz w:val="22"/>
                <w:szCs w:val="22"/>
              </w:rPr>
              <w:t xml:space="preserve">Infrastructure Design  </w:t>
            </w:r>
            <w:r>
              <w:rPr>
                <w:rFonts w:ascii="Arial" w:cs="Arial" w:eastAsia="Arial" w:hAnsi="Arial"/>
                <w:i/>
                <w:iCs/>
                <w:color w:val="7A7468"/>
                <w:sz w:val="20"/>
                <w:szCs w:val="20"/>
              </w:rPr>
              <w:t xml:space="preserve">·  Estruturar antes de construir</w:t>
            </w:r>
          </w:p>
          <w:p>
            <w:pPr>
              <w:spacing w:after="80" w:before="0"/>
              <w:jc w:val="both"/>
            </w:pPr>
            <w:r>
              <w:rPr>
                <w:rFonts w:ascii="Georgia" w:cs="Georgia" w:eastAsia="Georgia" w:hAnsi="Georgia"/>
                <w:color w:val="0A0F1A"/>
                <w:sz w:val="20"/>
                <w:szCs w:val="20"/>
              </w:rPr>
              <w:t xml:space="preserve">Avaliação de arquitetura, modelo de dados, dívida técnica, capacidade de IA e gaps de infraestrutura. Definição das entidades, relacionamentos e regras de negócio que sustentam o produto. Elimina improviso e decisões de arquitetura ad hoc na fase de execução.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A1D96"/>
                <w:sz w:val="18"/>
                <w:szCs w:val="18"/>
              </w:rPr>
              <w:t xml:space="preserve">Artefato:  </w:t>
            </w:r>
            <w:r>
              <w:rPr>
                <w:rFonts w:ascii="Arial" w:cs="Arial" w:eastAsia="Arial" w:hAnsi="Arial"/>
                <w:color w:val="7A7468"/>
                <w:sz w:val="18"/>
                <w:szCs w:val="18"/>
              </w:rPr>
              <w:t xml:space="preserve">ERD — Entity Requirements Document, validado pela engenharia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Leadership &amp; Org Redesign  </w:t>
            </w:r>
            <w:r>
              <w:rPr>
                <w:rFonts w:ascii="Arial" w:cs="Arial" w:eastAsia="Arial" w:hAnsi="Arial"/>
                <w:i/>
                <w:iCs/>
                <w:color w:val="7A7468"/>
                <w:sz w:val="20"/>
                <w:szCs w:val="20"/>
              </w:rPr>
              <w:t xml:space="preserve">·  Redesenhar a estrutura que mantém o problema vivo</w:t>
            </w:r>
          </w:p>
          <w:p>
            <w:pPr>
              <w:spacing w:after="80" w:before="0"/>
              <w:jc w:val="both"/>
            </w:pPr>
            <w:r>
              <w:rPr>
                <w:rFonts w:ascii="Georgia" w:cs="Georgia" w:eastAsia="Georgia" w:hAnsi="Georgia"/>
                <w:color w:val="0A0F1A"/>
                <w:sz w:val="20"/>
                <w:szCs w:val="20"/>
              </w:rPr>
              <w:t xml:space="preserve">Organização de papéis, rituais, governança e tomada de decisão para a era da IA. Redefinição de times em torno de domínios de negócio, não de funções. Este é o passo que nenhum outro consultor dá — e o que determina se os ganhos de velocidade vão durar depois que a Oxente Builder sair.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Artefato:  </w:t>
            </w:r>
            <w:r>
              <w:rPr>
                <w:rFonts w:ascii="Arial" w:cs="Arial" w:eastAsia="Arial" w:hAnsi="Arial"/>
                <w:color w:val="7A7468"/>
                <w:sz w:val="18"/>
                <w:szCs w:val="18"/>
              </w:rPr>
              <w:t xml:space="preserve">Org Design Blueprint — modelo de times, papéis redefinidos e mecanismos de governança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80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280F"/>
                <w:sz w:val="22"/>
                <w:szCs w:val="22"/>
              </w:rPr>
              <w:t xml:space="preserve">Deliver with AI  </w:t>
            </w:r>
            <w:r>
              <w:rPr>
                <w:rFonts w:ascii="Arial" w:cs="Arial" w:eastAsia="Arial" w:hAnsi="Arial"/>
                <w:i/>
                <w:iCs/>
                <w:color w:val="7A7468"/>
                <w:sz w:val="20"/>
                <w:szCs w:val="20"/>
              </w:rPr>
              <w:t xml:space="preserve">·  Executar rápido com IA como co-piloto real</w:t>
            </w:r>
          </w:p>
          <w:p>
            <w:pPr>
              <w:spacing w:after="80" w:before="0"/>
              <w:jc w:val="both"/>
            </w:pPr>
            <w:r>
              <w:rPr>
                <w:rFonts w:ascii="Georgia" w:cs="Georgia" w:eastAsia="Georgia" w:hAnsi="Georgia"/>
                <w:color w:val="0A0F1A"/>
                <w:sz w:val="20"/>
                <w:szCs w:val="20"/>
              </w:rPr>
              <w:t xml:space="preserve">Specs atômicas por feature: contexto, comportamento, critério de done e exemplos. Formatadas para IA executar com precisão. Plano de 30/60/90 dias com prioridades, responsáveis, métricas e quick wins. Cada PR linkado à Spec correspondente — rastreabilidade total.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280F"/>
                <w:sz w:val="18"/>
                <w:szCs w:val="18"/>
              </w:rPr>
              <w:t xml:space="preserve">Artefato:  </w:t>
            </w:r>
            <w:r>
              <w:rPr>
                <w:rFonts w:ascii="Arial" w:cs="Arial" w:eastAsia="Arial" w:hAnsi="Arial"/>
                <w:color w:val="7A7468"/>
                <w:sz w:val="18"/>
                <w:szCs w:val="18"/>
              </w:rPr>
              <w:t xml:space="preserve">Spec Library + Roadmap 30/60/90 dias — com critério de saída documentado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500A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1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4500A"/>
                <w:spacing w:val="120"/>
                <w:sz w:val="16"/>
                <w:szCs w:val="16"/>
              </w:rPr>
              <w:t xml:space="preserve">O FIO QUE CONECTA AS CINCO CAMADAS</w:t>
            </w:r>
          </w:p>
          <w:p>
            <w:pPr>
              <w:spacing w:after="140" w:before="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0A0F1A"/>
                <w:sz w:val="22"/>
                <w:szCs w:val="22"/>
              </w:rPr>
              <w:t xml:space="preserve">Uma decisão de negócio no BRD se reflete no PRD, que se reflete no ERD, que informa o redesenho organizacional, que determina como a IA executa as Specs. Nenhuma camada é opcional. Pular qualquer uma é o motivo pelo qual a maioria das intervenções não sustenta os resultados.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0A0F1A" w:sz="8" w:space="1"/>
        </w:pBdr>
        <w:spacing w:after="18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4500A"/>
          <w:spacing w:val="160"/>
          <w:sz w:val="16"/>
          <w:szCs w:val="16"/>
        </w:rPr>
        <w:t xml:space="preserve">O QUE MUDA COM O MÉTODO BUILD</w:t>
      </w:r>
    </w:p>
    <w:p>
      <w:pPr>
        <w:spacing w:after="160" w:before="0"/>
      </w:pPr>
      <w:r>
        <w:rPr>
          <w:rFonts w:ascii="Georgia" w:cs="Georgia" w:eastAsia="Georgia" w:hAnsi="Georgia"/>
          <w:b/>
          <w:bCs/>
          <w:color w:val="0A0F1A"/>
          <w:sz w:val="24"/>
          <w:szCs w:val="24"/>
        </w:rPr>
        <w:t xml:space="preserve">Times enxutos não são corte de custo. São o resultado de uma estrutura bem desenhada.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A0F1A" w:sz="4"/>
              <w:left w:val="single" w:color="0A0F1A" w:sz="4"/>
              <w:bottom w:val="single" w:color="0A0F1A" w:sz="4"/>
              <w:right w:val="single" w:color="0A0F1A" w:sz="4"/>
            </w:tcBorders>
            <w:shd w:fill="0A0F1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Borders>
              <w:top w:val="single" w:color="0A0F1A" w:sz="4"/>
              <w:left w:val="single" w:color="0A0F1A" w:sz="4"/>
              <w:bottom w:val="single" w:color="0A0F1A" w:sz="4"/>
              <w:right w:val="single" w:color="0A0F1A" w:sz="4"/>
            </w:tcBorders>
            <w:shd w:fill="D4500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o Método BUILD</w:t>
            </w:r>
          </w:p>
        </w:tc>
      </w:tr>
      <w:tr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9F8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7A7468"/>
                <w:sz w:val="20"/>
                <w:szCs w:val="20"/>
              </w:rPr>
              <w:t xml:space="preserve">Squad de 8–12 por feature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DF5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F1A"/>
                <w:sz w:val="20"/>
                <w:szCs w:val="20"/>
              </w:rPr>
              <w:t xml:space="preserve">Time de 3–4 + IA com capacidade equivalente</w:t>
            </w:r>
          </w:p>
        </w:tc>
      </w:tr>
      <w:tr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1EEE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7A7468"/>
                <w:sz w:val="20"/>
                <w:szCs w:val="20"/>
              </w:rPr>
              <w:t xml:space="preserve">PM escreve ticket, dev interpreta livremente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BF0E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F1A"/>
                <w:sz w:val="20"/>
                <w:szCs w:val="20"/>
              </w:rPr>
              <w:t xml:space="preserve">Product Architect escreve Spec, IA executa com precisão</w:t>
            </w:r>
          </w:p>
        </w:tc>
      </w:tr>
      <w:tr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9F8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7A7468"/>
                <w:sz w:val="20"/>
                <w:szCs w:val="20"/>
              </w:rPr>
              <w:t xml:space="preserve">30–50% do tempo de eng em retrabalho (DORA 2024)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DF5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F1A"/>
                <w:sz w:val="20"/>
                <w:szCs w:val="20"/>
              </w:rPr>
              <w:t xml:space="preserve">Menos de 10% com critérios de aceite claros</w:t>
            </w:r>
          </w:p>
        </w:tc>
      </w:tr>
      <w:tr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1EEE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7A7468"/>
                <w:sz w:val="20"/>
                <w:szCs w:val="20"/>
              </w:rPr>
              <w:t xml:space="preserve">Feature leva 8–12 semanas do discovery ao deploy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BF0E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F1A"/>
                <w:sz w:val="20"/>
                <w:szCs w:val="20"/>
              </w:rPr>
              <w:t xml:space="preserve">Feature leva 3–4 semanas com Spec + IA</w:t>
            </w:r>
          </w:p>
        </w:tc>
      </w:tr>
      <w:tr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9F8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7A7468"/>
                <w:sz w:val="20"/>
                <w:szCs w:val="20"/>
              </w:rPr>
              <w:t xml:space="preserve">Onboarding de 6–8 semanas por novo dev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DF5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F1A"/>
                <w:sz w:val="20"/>
                <w:szCs w:val="20"/>
              </w:rPr>
              <w:t xml:space="preserve">Onboarding de 5 dias via Spec Library</w:t>
            </w:r>
          </w:p>
        </w:tc>
      </w:tr>
      <w:tr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1EEE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7A7468"/>
                <w:sz w:val="20"/>
                <w:szCs w:val="20"/>
              </w:rPr>
              <w:t xml:space="preserve">Liderança sobrecarregada com operação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BF0E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F1A"/>
                <w:sz w:val="20"/>
                <w:szCs w:val="20"/>
              </w:rPr>
              <w:t xml:space="preserve">Liderança focada em estratégia — operação roda sozinha</w:t>
            </w:r>
          </w:p>
        </w:tc>
      </w:tr>
      <w:tr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9F8F5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7A7468"/>
                <w:sz w:val="20"/>
                <w:szCs w:val="20"/>
              </w:rPr>
              <w:t xml:space="preserve">IA como copiloto individual de cada dev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DF5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A0F1A"/>
                <w:sz w:val="20"/>
                <w:szCs w:val="20"/>
              </w:rPr>
              <w:t xml:space="preserve">IA com contexto do produto inteiro, executando Specs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8CE" w:sz="4" w:space="1"/>
        </w:pBdr>
        <w:spacing w:after="18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4500A"/>
          <w:spacing w:val="160"/>
          <w:sz w:val="16"/>
          <w:szCs w:val="16"/>
        </w:rPr>
        <w:t xml:space="preserve">TRACK RECORD — RESULTADOS REAIS DO FUNDADOR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0A0F1A"/>
          <w:sz w:val="22"/>
          <w:szCs w:val="22"/>
        </w:rPr>
        <w:t xml:space="preserve">Posicionamento sem evidência é promessa. Estes são resultados obtidos por Izael Effemberg operando as cinco camadas do método BUILD em empresas de alta escala: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6B"/>
                <w:sz w:val="32"/>
                <w:szCs w:val="32"/>
              </w:rPr>
              <w:t xml:space="preserve">12M+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7A7468"/>
                <w:sz w:val="18"/>
                <w:szCs w:val="18"/>
              </w:rPr>
              <w:t xml:space="preserve">consultas/mês
Gringo + Zapay</w:t>
            </w:r>
          </w:p>
        </w:tc>
        <w:tc>
          <w:tcPr>
            <w:tcBorders>
              <w:top w:val="none" w:color="FFFFFF" w:sz="0"/>
              <w:left w:val="single" w:color="DDD8CE" w:sz="4"/>
              <w:bottom w:val="none" w:color="FFFFFF" w:sz="0"/>
              <w:right w:val="none" w:color="FFFFFF" w:sz="0"/>
            </w:tcBorders>
            <w:shd w:fill="F9F8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5C5C"/>
                <w:sz w:val="32"/>
                <w:szCs w:val="32"/>
              </w:rPr>
              <w:t xml:space="preserve">87%→95%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7A7468"/>
                <w:sz w:val="18"/>
                <w:szCs w:val="18"/>
              </w:rPr>
              <w:t xml:space="preserve">sucesso em APIs
fallback + monitoramento</w:t>
            </w:r>
          </w:p>
        </w:tc>
        <w:tc>
          <w:tcPr>
            <w:tcBorders>
              <w:top w:val="none" w:color="FFFFFF" w:sz="0"/>
              <w:left w:val="single" w:color="DDD8CE" w:sz="4"/>
              <w:bottom w:val="none" w:color="FFFFFF" w:sz="0"/>
              <w:right w:val="none" w:color="FFFFFF" w:sz="0"/>
            </w:tcBorders>
            <w:shd w:fill="F9F8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1D96"/>
                <w:sz w:val="32"/>
                <w:szCs w:val="32"/>
              </w:rPr>
              <w:t xml:space="preserve">+3,5 p.p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7A7468"/>
                <w:sz w:val="18"/>
                <w:szCs w:val="18"/>
              </w:rPr>
              <w:t xml:space="preserve">conversão
consulta→pagamento</w:t>
            </w:r>
          </w:p>
        </w:tc>
        <w:tc>
          <w:tcPr>
            <w:tcBorders>
              <w:top w:val="none" w:color="FFFFFF" w:sz="0"/>
              <w:left w:val="single" w:color="DDD8CE" w:sz="4"/>
              <w:bottom w:val="none" w:color="FFFFFF" w:sz="0"/>
              <w:right w:val="none" w:color="FFFFFF" w:sz="0"/>
            </w:tcBorders>
            <w:shd w:fill="F9F8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32"/>
                <w:szCs w:val="32"/>
              </w:rPr>
              <w:t xml:space="preserve">78%→84%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7A7468"/>
                <w:sz w:val="18"/>
                <w:szCs w:val="18"/>
              </w:rPr>
              <w:t xml:space="preserve">aprovação
de pagamentos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8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6B"/>
                <w:sz w:val="32"/>
                <w:szCs w:val="32"/>
              </w:rPr>
              <w:t xml:space="preserve">R$18M/mês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7A7468"/>
                <w:sz w:val="18"/>
                <w:szCs w:val="18"/>
              </w:rPr>
              <w:t xml:space="preserve">TPV protegido
fallback entre adquirentes</w:t>
            </w:r>
          </w:p>
        </w:tc>
        <w:tc>
          <w:tcPr>
            <w:tcBorders>
              <w:top w:val="none" w:color="FFFFFF" w:sz="0"/>
              <w:left w:val="single" w:color="DDD8CE" w:sz="4"/>
              <w:bottom w:val="none" w:color="FFFFFF" w:sz="0"/>
              <w:right w:val="none" w:color="FFFFFF" w:sz="0"/>
            </w:tcBorders>
            <w:shd w:fill="F9F8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5C5C"/>
                <w:sz w:val="32"/>
                <w:szCs w:val="32"/>
              </w:rPr>
              <w:t xml:space="preserve">-40%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7A7468"/>
                <w:sz w:val="18"/>
                <w:szCs w:val="18"/>
              </w:rPr>
              <w:t xml:space="preserve">carga manual
320h operacionais/mês</w:t>
            </w:r>
          </w:p>
        </w:tc>
        <w:tc>
          <w:tcPr>
            <w:tcBorders>
              <w:top w:val="none" w:color="FFFFFF" w:sz="0"/>
              <w:left w:val="single" w:color="DDD8CE" w:sz="4"/>
              <w:bottom w:val="none" w:color="FFFFFF" w:sz="0"/>
              <w:right w:val="none" w:color="FFFFFF" w:sz="0"/>
            </w:tcBorders>
            <w:shd w:fill="F9F8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1D96"/>
                <w:sz w:val="32"/>
                <w:szCs w:val="32"/>
              </w:rPr>
              <w:t xml:space="preserve">70%→96%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7A7468"/>
                <w:sz w:val="18"/>
                <w:szCs w:val="18"/>
              </w:rPr>
              <w:t xml:space="preserve">rastreabilidade
R$45M/mês em settlement</w:t>
            </w:r>
          </w:p>
        </w:tc>
        <w:tc>
          <w:tcPr>
            <w:tcBorders>
              <w:top w:val="none" w:color="FFFFFF" w:sz="0"/>
              <w:left w:val="single" w:color="DDD8CE" w:sz="4"/>
              <w:bottom w:val="none" w:color="FFFFFF" w:sz="0"/>
              <w:right w:val="none" w:color="FFFFFF" w:sz="0"/>
            </w:tcBorders>
            <w:shd w:fill="F9F8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32"/>
                <w:szCs w:val="32"/>
              </w:rPr>
              <w:t xml:space="preserve">62%→88%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7A7468"/>
                <w:sz w:val="18"/>
                <w:szCs w:val="18"/>
              </w:rPr>
              <w:t xml:space="preserve">emissão automática
SLA: 36h → 8h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240"/>
              <w:left w:type="dxa" w:w="280"/>
              <w:bottom w:type="dxa" w:w="2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 · Redesenho organizacional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7A7468"/>
                <w:sz w:val="17"/>
                <w:szCs w:val="17"/>
              </w:rPr>
              <w:t xml:space="preserve">Vertigo — P&amp;G, Banco Master, Itaú, Sankhya, Credsystem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Blueprints organizacionais para 5 grandes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Operating models, estruturas de times e governança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-40% lead time de entrega com framework sistêmico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+60% uptime de plataforma com governança unificada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Fundou e escalou a prática de TDM da Vertigo do zero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B" w:val="clear"/>
            <w:tcMar>
              <w:top w:type="dxa" w:w="240"/>
              <w:left w:type="dxa" w:w="240"/>
              <w:bottom w:type="dxa" w:w="2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1D96"/>
                <w:sz w:val="19"/>
                <w:szCs w:val="19"/>
              </w:rPr>
              <w:t xml:space="preserve">I · Plataforma &amp; Engenharia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7A7468"/>
                <w:sz w:val="17"/>
                <w:szCs w:val="17"/>
              </w:rPr>
              <w:t xml:space="preserve">WillBank, Stone, iFood, Creditas, ThoughtWorks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WillBank: criou função de TPM liderando 53 indiretos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Stone: -30% violações de SLA via refinamentos arquiteturais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iFood: +42% uptime — 9M+ pedidos/mês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Creditas: app de 2,1 → 4,2 stars; lead time reduzido à metade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40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ThoughtWorks: -70% custos AWS com automação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8CE" w:sz="4" w:space="1"/>
        </w:pBdr>
        <w:spacing w:after="18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4500A"/>
          <w:spacing w:val="160"/>
          <w:sz w:val="16"/>
          <w:szCs w:val="16"/>
        </w:rPr>
        <w:t xml:space="preserve">COMO OPERAMOS — OS 3 PACOTES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0A0F1A"/>
          <w:sz w:val="22"/>
          <w:szCs w:val="22"/>
        </w:rPr>
        <w:t xml:space="preserve">Todo engajamento tem um critério de saída explícito: o time opera o método BUILD com autonomia total. Abaixo os três formatos, com escopo, entregável e preço definidos.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A0F1A" w:sz="4"/>
              <w:left w:val="single" w:color="0A0F1A" w:sz="4"/>
              <w:bottom w:val="single" w:color="0A0F1A" w:sz="4"/>
              <w:right w:val="single" w:color="0A0F1A" w:sz="4"/>
            </w:tcBorders>
            <w:shd w:fill="0F2D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Blueprint Session</w:t>
            </w:r>
          </w:p>
        </w:tc>
        <w:tc>
          <w:tcPr>
            <w:tcBorders>
              <w:top w:val="single" w:color="0A0F1A" w:sz="4"/>
              <w:left w:val="single" w:color="0A0F1A" w:sz="4"/>
              <w:bottom w:val="single" w:color="0A0F1A" w:sz="4"/>
              <w:right w:val="single" w:color="0A0F1A" w:sz="4"/>
            </w:tcBorders>
            <w:shd w:fill="D4500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Engagement</w:t>
            </w:r>
          </w:p>
        </w:tc>
        <w:tc>
          <w:tcPr>
            <w:tcBorders>
              <w:top w:val="single" w:color="0A0F1A" w:sz="4"/>
              <w:left w:val="single" w:color="0A0F1A" w:sz="4"/>
              <w:bottom w:val="single" w:color="0A0F1A" w:sz="4"/>
              <w:right w:val="single" w:color="0A0F1A" w:sz="4"/>
            </w:tcBorders>
            <w:shd w:fill="065F4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Steady State</w:t>
            </w:r>
          </w:p>
        </w:tc>
      </w:tr>
      <w:tr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9F8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0A0F1A"/>
                <w:sz w:val="20"/>
                <w:szCs w:val="20"/>
              </w:rPr>
              <w:t xml:space="preserve">Diagnóstico completo pelas cinco camadas do BUILD. Entregável: Org Design Blueprint com modelo de times, papéis redefinidos, mapa de gaps e plano de ação. Prazo fixo de 10 dias úteis.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9F8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0A0F1A"/>
                <w:sz w:val="20"/>
                <w:szCs w:val="20"/>
              </w:rPr>
              <w:t xml:space="preserve">O modelo principal. Fractional CPO/CTO embarcado de 3 a 6 meses. Percorre as cinco camadas do BUILD, produz todos os artefatos, redesenha a organização e treina os líderes internos. Critério de saída documentado.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9F8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both"/>
            </w:pPr>
            <w:r>
              <w:rPr>
                <w:rFonts w:ascii="Georgia" w:cs="Georgia" w:eastAsia="Georgia" w:hAnsi="Georgia"/>
                <w:color w:val="0A0F1A"/>
                <w:sz w:val="20"/>
                <w:szCs w:val="20"/>
              </w:rPr>
              <w:t xml:space="preserve">Advisory quinzenal pós-Build Engagement. Mantém o fio entre as camadas, revisa decisões de produto e engenharia, evolui o método conforme o produto escala. Cancelável com 30 dias.</w:t>
            </w:r>
          </w:p>
        </w:tc>
      </w:tr>
      <w:tr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1EE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6B"/>
                <w:sz w:val="19"/>
                <w:szCs w:val="19"/>
              </w:rPr>
              <w:t xml:space="preserve">R$ 20k – 35k
10 dias úteis · Preço fixo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1EE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19"/>
                <w:szCs w:val="19"/>
              </w:rPr>
              <w:t xml:space="preserve">R$ 30k – 65k / mês
3–6 meses · Renovável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1EE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R$ 10k – 22k / mês
Recorrente · Cancelável</w:t>
            </w:r>
          </w:p>
        </w:tc>
      </w:tr>
      <w:tr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EBF0FA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7A7468"/>
                <w:sz w:val="18"/>
                <w:szCs w:val="18"/>
              </w:rPr>
              <w:t xml:space="preserve">Produto de entrada. 80% dos Blueprints convertem em Build Engagement.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DF1E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7A7468"/>
                <w:sz w:val="18"/>
                <w:szCs w:val="18"/>
              </w:rPr>
              <w:t xml:space="preserve">O impacto começa na semana 2. Saída com critério binário documentado.</w:t>
            </w:r>
          </w:p>
        </w:tc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ECFDF5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7A7468"/>
                <w:sz w:val="18"/>
                <w:szCs w:val="18"/>
              </w:rPr>
              <w:t xml:space="preserve">Disponível apenas para clientes que completaram o Build Engagement.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8CE" w:sz="4" w:space="1"/>
        </w:pBdr>
        <w:spacing w:after="18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4500A"/>
          <w:spacing w:val="160"/>
          <w:sz w:val="16"/>
          <w:szCs w:val="16"/>
        </w:rPr>
        <w:t xml:space="preserve">POR QUE A OXENTE BUILDER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8" w:val="clear"/>
            <w:tcMar>
              <w:top w:type="dxa" w:w="240"/>
              <w:left w:type="dxa" w:w="280"/>
              <w:bottom w:type="dxa" w:w="24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92280F"/>
                <w:sz w:val="20"/>
                <w:szCs w:val="20"/>
              </w:rPr>
              <w:t xml:space="preserve">A maioria entra em uma camada</w:t>
            </w:r>
          </w:p>
          <w:p>
            <w:pPr>
              <w:spacing w:after="140" w:before="0"/>
              <w:jc w:val="both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Consultores de produto ficam no produto. Consultores de engenharia ficam na engenharia. Consultores de IA ficam na ferramenta. Ninguém percorre as cinco camadas. Ninguém redesenha a estrutura organizacional que mantém o problema vivo. E todos saem com relatório sem responsabilidade pelo resultado.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1EB" w:val="clear"/>
            <w:tcMar>
              <w:top w:type="dxa" w:w="240"/>
              <w:left w:type="dxa" w:w="240"/>
              <w:bottom w:type="dxa" w:w="24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D4500A"/>
                <w:sz w:val="20"/>
                <w:szCs w:val="20"/>
              </w:rPr>
              <w:t xml:space="preserve">A Oxente Builder entra no negócio e desce até o código</w:t>
            </w:r>
          </w:p>
          <w:p>
            <w:pPr>
              <w:spacing w:after="140" w:before="0"/>
              <w:jc w:val="both"/>
            </w:pPr>
            <w:r>
              <w:rPr>
                <w:rFonts w:ascii="Georgia" w:cs="Georgia" w:eastAsia="Georgia" w:hAnsi="Georgia"/>
                <w:color w:val="0A0F1A"/>
                <w:sz w:val="22"/>
                <w:szCs w:val="22"/>
              </w:rPr>
              <w:t xml:space="preserve">Fundada por Izael Effemberg — engenheiro de software que se tornou líder de produto. 13+ anos em ThoughtWorks, iFood, Stone, Creditas, WillBank, Vertigo e Corpay. Método BUILD próprio. Fluência real nas cinco camadas. E o objetivo declarado de tornar a Oxente Builder desnecessária ao final de cada engajamento.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8CE" w:sz="4"/>
              <w:left w:val="single" w:color="DDD8CE" w:sz="4"/>
              <w:bottom w:val="single" w:color="DDD8CE" w:sz="4"/>
              <w:right w:val="single" w:color="DDD8CE" w:sz="4"/>
            </w:tcBorders>
            <w:shd w:fill="F9F8F5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A0F1A"/>
                <w:sz w:val="19"/>
                <w:szCs w:val="19"/>
              </w:rPr>
              <w:t xml:space="preserve">Fundador · Izael Effemberg · 13+ anos nas cinco camadas do BUILD</w:t>
            </w:r>
          </w:p>
          <w:tbl>
            <w:tblPr>
              <w:tblW w:type="dxa" w:w="8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44"/>
              <w:gridCol w:w="1744"/>
              <w:gridCol w:w="1744"/>
              <w:gridCol w:w="1744"/>
              <w:gridCol w:w="1744"/>
            </w:tblGrid>
            <w:tr>
              <w:tc>
                <w:tcPr>
                  <w:tcBorders>
                    <w:top w:val="single" w:color="DDD8CE" w:sz="4"/>
                    <w:left w:val="single" w:color="DDD8CE" w:sz="4"/>
                    <w:bottom w:val="single" w:color="DDD8CE" w:sz="4"/>
                    <w:right w:val="single" w:color="DDD8CE" w:sz="4"/>
                  </w:tcBorders>
                  <w:shd w:fill="FFFFFF" w:val="clear"/>
                  <w:tcMar>
                    <w:top w:type="dxa" w:w="130"/>
                    <w:left w:type="dxa" w:w="120"/>
                    <w:bottom w:type="dxa" w:w="130"/>
                    <w:righ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D6B"/>
                      <w:sz w:val="17"/>
                      <w:szCs w:val="17"/>
                    </w:rPr>
                    <w:t xml:space="preserve">B · Business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color w:val="7A7468"/>
                      <w:sz w:val="17"/>
                      <w:szCs w:val="17"/>
                    </w:rPr>
                    <w:t xml:space="preserve">Estratégia e governança em fintech regulado. Corpay, Vertigo (P&amp;G, Itaú, Banco Master). MBA em Governança Corporativa.</w:t>
                  </w:r>
                </w:p>
              </w:tc>
              <w:tc>
                <w:tcPr>
                  <w:tcBorders>
                    <w:top w:val="single" w:color="DDD8CE" w:sz="4"/>
                    <w:left w:val="single" w:color="DDD8CE" w:sz="4"/>
                    <w:bottom w:val="single" w:color="DDD8CE" w:sz="4"/>
                    <w:right w:val="single" w:color="DDD8CE" w:sz="4"/>
                  </w:tcBorders>
                  <w:shd w:fill="FFFFFF" w:val="clear"/>
                  <w:tcMar>
                    <w:top w:type="dxa" w:w="130"/>
                    <w:left w:type="dxa" w:w="120"/>
                    <w:bottom w:type="dxa" w:w="130"/>
                    <w:righ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A5C5C"/>
                      <w:sz w:val="17"/>
                      <w:szCs w:val="17"/>
                    </w:rPr>
                    <w:t xml:space="preserve">U · Product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color w:val="7A7468"/>
                      <w:sz w:val="17"/>
                      <w:szCs w:val="17"/>
                    </w:rPr>
                    <w:t xml:space="preserve">GPM com 5 PMs diretos, 50 pessoas na tribo. iFood, WillBank, Stone, Corpay.</w:t>
                  </w:r>
                </w:p>
              </w:tc>
              <w:tc>
                <w:tcPr>
                  <w:tcBorders>
                    <w:top w:val="single" w:color="DDD8CE" w:sz="4"/>
                    <w:left w:val="single" w:color="DDD8CE" w:sz="4"/>
                    <w:bottom w:val="single" w:color="DDD8CE" w:sz="4"/>
                    <w:right w:val="single" w:color="DDD8CE" w:sz="4"/>
                  </w:tcBorders>
                  <w:shd w:fill="FFFFFF" w:val="clear"/>
                  <w:tcMar>
                    <w:top w:type="dxa" w:w="130"/>
                    <w:left w:type="dxa" w:w="120"/>
                    <w:bottom w:type="dxa" w:w="130"/>
                    <w:righ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1D96"/>
                      <w:sz w:val="17"/>
                      <w:szCs w:val="17"/>
                    </w:rPr>
                    <w:t xml:space="preserve">I · Infra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color w:val="7A7468"/>
                      <w:sz w:val="17"/>
                      <w:szCs w:val="17"/>
                    </w:rPr>
                    <w:t xml:space="preserve">APIs, Pix, pagamentos e mobile. Arquitetura e SLA em Stone, Creditas, iFood, ThoughtWorks.</w:t>
                  </w:r>
                </w:p>
              </w:tc>
              <w:tc>
                <w:tcPr>
                  <w:tcBorders>
                    <w:top w:val="single" w:color="DDD8CE" w:sz="4"/>
                    <w:left w:val="single" w:color="DDD8CE" w:sz="4"/>
                    <w:bottom w:val="single" w:color="DDD8CE" w:sz="4"/>
                    <w:right w:val="single" w:color="DDD8CE" w:sz="4"/>
                  </w:tcBorders>
                  <w:shd w:fill="FFFFFF" w:val="clear"/>
                  <w:tcMar>
                    <w:top w:type="dxa" w:w="130"/>
                    <w:left w:type="dxa" w:w="120"/>
                    <w:bottom w:type="dxa" w:w="130"/>
                    <w:righ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65F46"/>
                      <w:sz w:val="17"/>
                      <w:szCs w:val="17"/>
                    </w:rPr>
                    <w:t xml:space="preserve">L · Leadership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color w:val="7A7468"/>
                      <w:sz w:val="17"/>
                      <w:szCs w:val="17"/>
                    </w:rPr>
                    <w:t xml:space="preserve">Redesenho organizacional em P&amp;G, Itaú, Banco Master. Operating models e governança.</w:t>
                  </w:r>
                </w:p>
              </w:tc>
              <w:tc>
                <w:tcPr>
                  <w:tcBorders>
                    <w:top w:val="single" w:color="DDD8CE" w:sz="4"/>
                    <w:left w:val="single" w:color="DDD8CE" w:sz="4"/>
                    <w:bottom w:val="single" w:color="DDD8CE" w:sz="4"/>
                    <w:right w:val="single" w:color="DDD8CE" w:sz="4"/>
                  </w:tcBorders>
                  <w:shd w:fill="FFFFFF" w:val="clear"/>
                  <w:tcMar>
                    <w:top w:type="dxa" w:w="130"/>
                    <w:left w:type="dxa" w:w="120"/>
                    <w:bottom w:type="dxa" w:w="130"/>
                    <w:righ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280F"/>
                      <w:sz w:val="17"/>
                      <w:szCs w:val="17"/>
                    </w:rPr>
                    <w:t xml:space="preserve">D · Delivery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Georgia" w:cs="Georgia" w:eastAsia="Georgia" w:hAnsi="Georgia"/>
                      <w:color w:val="7A7468"/>
                      <w:sz w:val="17"/>
                      <w:szCs w:val="17"/>
                    </w:rPr>
                    <w:t xml:space="preserve">Spec Driven Development, Scale OS, IA como co-piloto de execução em ambientes regulados.</w:t>
                  </w:r>
                </w:p>
              </w:tc>
            </w:tr>
          </w:tbl>
          <w:p/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A" w:val="clear"/>
            <w:tcMar>
              <w:top w:type="dxa" w:w="440"/>
              <w:left w:type="dxa" w:w="520"/>
              <w:bottom w:type="dxa" w:w="440"/>
              <w:right w:type="dxa" w:w="5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500A"/>
                <w:sz w:val="44"/>
                <w:szCs w:val="44"/>
              </w:rPr>
              <w:t xml:space="preserve">OXENTE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BUILDER</w:t>
            </w:r>
          </w:p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3"/>
                <w:szCs w:val="23"/>
              </w:rPr>
              <w:t xml:space="preserve">Aplicamos o método BUILD para redesenhar
organizações de produto e engenharia do negócio até o código —
para que times enxutos entreguem resultados reais na era da IA.</w:t>
            </w:r>
          </w:p>
          <w:p>
            <w:pPr>
              <w:pBdr>
                <w:bottom w:val="single" w:color="2A1A0A" w:sz="4" w:space="1"/>
              </w:pBdr>
              <w:spacing w:after="200" w:before="0"/>
            </w:pPr>
            <w:r>
              <w:t xml:space="preserve"/>
            </w:r>
          </w:p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7A99BB"/>
                <w:sz w:val="20"/>
                <w:szCs w:val="20"/>
              </w:rPr>
              <w:t xml:space="preserve">A maioria dos consultores entra no meio.</w:t>
            </w:r>
          </w:p>
          <w:p>
            <w:pPr>
              <w:spacing w:after="10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500A"/>
                <w:sz w:val="22"/>
                <w:szCs w:val="22"/>
              </w:rPr>
              <w:t xml:space="preserve">A Oxente Builder entra no negócio e desce até o código.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8AAAC8"/>
                <w:sz w:val="20"/>
                <w:szCs w:val="20"/>
              </w:rPr>
              <w:t xml:space="preserve">Uma conversa de 30 minutos para entender se faz sentido.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DDD8CE" w:sz="4" w:space="1"/>
        </w:pBd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A7468"/>
          <w:sz w:val="16"/>
          <w:szCs w:val="16"/>
        </w:rPr>
        <w:t xml:space="preserve">Oxente Builder  ·  Fundada por Izael Effemberg  ·  São Paulo, Brasil  ·  2026</w:t>
      </w:r>
    </w:p>
    <w:sectPr>
      <w:headerReference w:type="default" r:id="rId7"/>
      <w:footerReference w:type="default" r:id="rId8"/>
      <w:pgSz w:w="12240" w:h="15840" w:orient="portrait"/>
      <w:pgMar w:top="900" w:right="1300" w:bottom="9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8CE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7A7468"/>
        <w:sz w:val="16"/>
        <w:szCs w:val="16"/>
      </w:rPr>
      <w:t xml:space="preserve">Oxente Builder  ·  Fundada por Izael Effemberg  ·  2026</w:t>
    </w:r>
    <w:r>
      <w:t xml:space="preserve">	</w:t>
    </w:r>
    <w:r>
      <w:rPr>
        <w:rFonts w:ascii="Arial" w:cs="Arial" w:eastAsia="Arial" w:hAnsi="Arial"/>
        <w:color w:val="7A74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8CE" w:sz="4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7A7468"/>
        <w:sz w:val="17"/>
        <w:szCs w:val="17"/>
      </w:rPr>
      <w:t xml:space="preserve">Oxente Builder  ·  Documento de Posicionamento</w:t>
    </w:r>
    <w:r>
      <w:t xml:space="preserve">	</w:t>
    </w:r>
    <w:r>
      <w:rPr>
        <w:rFonts w:ascii="Arial" w:cs="Arial" w:eastAsia="Arial" w:hAnsi="Arial"/>
        <w:color w:val="7A7468"/>
        <w:sz w:val="17"/>
        <w:szCs w:val="17"/>
      </w:rPr>
      <w:t xml:space="preserve">Método BUILD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start"/>
      <w:pPr>
        <w:ind w:left="480" w:hanging="280"/>
      </w:pPr>
      <w:rPr>
        <w:rFonts w:ascii="Arial" w:cs="Arial" w:eastAsia="Arial" w:hAnsi="Arial"/>
        <w:color w:val="D4500A"/>
        <w:sz w:val="20"/>
        <w:szCs w:val="20"/>
      </w:rPr>
    </w:lvl>
    <w:lvl w:ilvl="1" w15:tentative="1">
      <w:start w:val="1"/>
      <w:numFmt w:val="bullet"/>
      <w:lvlText w:val="◦"/>
      <w:lvlJc w:val="start"/>
      <w:pPr>
        <w:ind w:left="840" w:hanging="280"/>
      </w:pPr>
      <w:rPr>
        <w:rFonts w:ascii="Arial" w:cs="Arial" w:eastAsia="Arial" w:hAnsi="Arial"/>
        <w:color w:val="7A746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2026-05-27T00:03:02.471Z</dcterms:created>
  <dcterms:modified xsi:type="dcterms:W3CDTF">2026-05-27T00:03:02.487Z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