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Times New Roman" w:hAnsi="Times New Roman"/>
          <w:b/>
          <w:sz w:val="28"/>
        </w:rPr>
        <w:t>Kerangka Benchmark Simulasi Non-Sirkular untuk Pemeringkatan Risiko Kepatuhan Pajak Pedagang Daring melalui Integrasi Data Transaksi Gerbang Pembayaran, Logistik, dan Indikator Regional Berbasis Data BPS</w:t>
      </w:r>
    </w:p>
    <w:p>
      <w:pPr>
        <w:spacing w:after="280"/>
        <w:jc w:val="center"/>
      </w:pPr>
      <w:r>
        <w:rPr>
          <w:rFonts w:ascii="Times New Roman" w:hAnsi="Times New Roman"/>
          <w:i/>
          <w:sz w:val="22"/>
        </w:rPr>
        <w:t>(A Non-Circular Synthetic Simulation Benchmark for E-Commerce Merchant Tax Compliance Risk Ranking Integrating Digital Payment Gateway, Logistics, and BPS Regional Indicators)</w:t>
      </w:r>
    </w:p>
    <w:p>
      <w:pPr>
        <w:spacing w:after="40"/>
        <w:jc w:val="center"/>
      </w:pPr>
      <w:r>
        <w:rPr>
          <w:b/>
          <w:sz w:val="22"/>
        </w:rPr>
        <w:t>Izam Rosiawan</w:t>
      </w:r>
      <w:r>
        <w:rPr>
          <w:vertAlign w:val="superscript"/>
        </w:rPr>
        <w:t>1*</w:t>
      </w:r>
      <w:r>
        <w:t xml:space="preserve">, </w:t>
      </w:r>
      <w:r>
        <w:rPr>
          <w:b/>
          <w:sz w:val="22"/>
        </w:rPr>
        <w:t>Sulthan</w:t>
      </w:r>
      <w:r>
        <w:rPr>
          <w:vertAlign w:val="superscript"/>
        </w:rPr>
        <w:t>2</w:t>
      </w:r>
    </w:p>
    <w:p>
      <w:pPr>
        <w:spacing w:after="200" w:line="252" w:lineRule="auto"/>
        <w:jc w:val="center"/>
      </w:pPr>
      <w:r>
        <w:rPr>
          <w:sz w:val="19"/>
        </w:rPr>
        <w:t>1Program Studi Sains Data, Fakultas Informatika, Telkom University Kampus Surabaya, Indonesia</w:t>
        <w:br/>
      </w:r>
      <w:r>
        <w:rPr>
          <w:sz w:val="19"/>
        </w:rPr>
        <w:t>2Direktorat Kampus Surabaya, Telkom University Kampus Surabaya, Indonesia</w:t>
        <w:br/>
      </w:r>
      <w:r>
        <w:rPr>
          <w:i/>
          <w:sz w:val="18"/>
        </w:rPr>
        <w:t>*Penulis Korespondensi: izamrosiawan@student.telkomuniversity.ac.id</w:t>
      </w:r>
    </w:p>
    <w:p>
      <w:pPr>
        <w:spacing w:after="120"/>
        <w:pBdr>
          <w:bottom w:val="single" w:sz="6" w:space="1" w:color="000000"/>
        </w:pBdr>
      </w:pPr>
    </w:p>
    <w:p>
      <w:pPr>
        <w:spacing w:after="80" w:line="240" w:lineRule="auto"/>
        <w:jc w:val="both"/>
      </w:pPr>
      <w:r>
        <w:rPr>
          <w:b/>
          <w:sz w:val="19"/>
        </w:rPr>
        <w:t xml:space="preserve">ABSTRAK — </w:t>
      </w:r>
      <w:r>
        <w:rPr>
          <w:rFonts w:ascii="Times New Roman" w:hAnsi="Times New Roman"/>
          <w:i w:val="0"/>
          <w:sz w:val="19"/>
        </w:rPr>
        <w:t>Pertumbuhan perniagaan elektronik di Indonesia menimbulkan tantangan pengawasan bagi Direktorat Jenderal Pajak (DJP), khususnya dalam memverifikasi kewajaran pelaporan peredaran usaha (</w:t>
      </w:r>
      <w:r>
        <w:rPr>
          <w:rFonts w:ascii="Times New Roman" w:hAnsi="Times New Roman"/>
          <w:i/>
          <w:sz w:val="19"/>
        </w:rPr>
        <w:t>self-assessment</w:t>
      </w:r>
      <w:r>
        <w:rPr>
          <w:rFonts w:ascii="Times New Roman" w:hAnsi="Times New Roman"/>
          <w:i w:val="0"/>
          <w:sz w:val="19"/>
        </w:rPr>
        <w:t>) pedagang daring. Mengingat adanya batasan kerahasiaan data perpajakan individual (</w:t>
      </w:r>
      <w:r>
        <w:rPr>
          <w:rFonts w:ascii="Times New Roman" w:hAnsi="Times New Roman"/>
          <w:i/>
          <w:sz w:val="19"/>
        </w:rPr>
        <w:t>taxpayer confidentiality</w:t>
      </w:r>
      <w:r>
        <w:rPr>
          <w:rFonts w:ascii="Times New Roman" w:hAnsi="Times New Roman"/>
          <w:i w:val="0"/>
          <w:sz w:val="19"/>
        </w:rPr>
        <w:t>), penelitian ini merancang sebuah kerangka kerja tolok ukur simulasi sintetis (</w:t>
      </w:r>
      <w:r>
        <w:rPr>
          <w:rFonts w:ascii="Times New Roman" w:hAnsi="Times New Roman"/>
          <w:i/>
          <w:sz w:val="19"/>
        </w:rPr>
        <w:t>synthetic simulation benchmark</w:t>
      </w:r>
      <w:r>
        <w:rPr>
          <w:rFonts w:ascii="Times New Roman" w:hAnsi="Times New Roman"/>
          <w:i w:val="0"/>
          <w:sz w:val="19"/>
        </w:rPr>
        <w:t>) non-sirkular (di mana target audit dibangkitkan dari variabel laten yang terpisah dari fitur masukan) sebagai uji kelayakan metodologis (</w:t>
      </w:r>
      <w:r>
        <w:rPr>
          <w:rFonts w:ascii="Times New Roman" w:hAnsi="Times New Roman"/>
          <w:i/>
          <w:sz w:val="19"/>
        </w:rPr>
        <w:t>proof-of-concept</w:t>
      </w:r>
      <w:r>
        <w:rPr>
          <w:rFonts w:ascii="Times New Roman" w:hAnsi="Times New Roman"/>
          <w:i w:val="0"/>
          <w:sz w:val="19"/>
        </w:rPr>
        <w:t xml:space="preserve">). Target temuan audit dibangkitkan 100% dari variabel laten tak teramati (perilaku </w:t>
      </w:r>
      <w:r>
        <w:rPr>
          <w:rFonts w:ascii="Times New Roman" w:hAnsi="Times New Roman"/>
          <w:i/>
          <w:sz w:val="19"/>
        </w:rPr>
        <w:t>cash skimming</w:t>
      </w:r>
      <w:r>
        <w:rPr>
          <w:rFonts w:ascii="Times New Roman" w:hAnsi="Times New Roman"/>
          <w:i w:val="0"/>
          <w:sz w:val="19"/>
        </w:rPr>
        <w:t>, distorsi inventaris, dan anomali logistik), sedangkan fitur teramati diperlakukan sebagai proksi bernoise (</w:t>
      </w:r>
      <w:r>
        <w:rPr>
          <w:rFonts w:ascii="Times New Roman" w:hAnsi="Times New Roman"/>
          <w:i/>
          <w:sz w:val="19"/>
        </w:rPr>
        <w:t>noisy proxies</w:t>
      </w:r>
      <w:r>
        <w:rPr>
          <w:rFonts w:ascii="Times New Roman" w:hAnsi="Times New Roman"/>
          <w:i w:val="0"/>
          <w:sz w:val="19"/>
        </w:rPr>
        <w:t>) terhadap keadaan laten. Melalui eksperimen terhadap 5.000 data observasi dengan prevalensi dasar (</w:t>
      </w:r>
      <w:r>
        <w:rPr>
          <w:rFonts w:ascii="Times New Roman" w:hAnsi="Times New Roman"/>
          <w:i/>
          <w:sz w:val="19"/>
        </w:rPr>
        <w:t>base rate</w:t>
      </w:r>
      <w:r>
        <w:rPr>
          <w:rFonts w:ascii="Times New Roman" w:hAnsi="Times New Roman"/>
          <w:i w:val="0"/>
          <w:sz w:val="19"/>
        </w:rPr>
        <w:t>) risiko sebesar 25,0% dan skema validasi silang berstrata 5-Fold (seed=42), kami mengevaluasi kemampuan pemeringkatan risiko (</w:t>
      </w:r>
      <w:r>
        <w:rPr>
          <w:rFonts w:ascii="Times New Roman" w:hAnsi="Times New Roman"/>
          <w:i/>
          <w:sz w:val="19"/>
        </w:rPr>
        <w:t>risk ranking</w:t>
      </w:r>
      <w:r>
        <w:rPr>
          <w:rFonts w:ascii="Times New Roman" w:hAnsi="Times New Roman"/>
          <w:i w:val="0"/>
          <w:sz w:val="19"/>
        </w:rPr>
        <w:t xml:space="preserve">) dari empat model: </w:t>
      </w:r>
      <w:r>
        <w:rPr>
          <w:rFonts w:ascii="Times New Roman" w:hAnsi="Times New Roman"/>
          <w:i/>
          <w:sz w:val="19"/>
        </w:rPr>
        <w:t>Logistic Regression</w:t>
      </w:r>
      <w:r>
        <w:rPr>
          <w:rFonts w:ascii="Times New Roman" w:hAnsi="Times New Roman"/>
          <w:i w:val="0"/>
          <w:sz w:val="19"/>
        </w:rPr>
        <w:t xml:space="preserve">, </w:t>
      </w:r>
      <w:r>
        <w:rPr>
          <w:rFonts w:ascii="Times New Roman" w:hAnsi="Times New Roman"/>
          <w:i/>
          <w:sz w:val="19"/>
        </w:rPr>
        <w:t>Random Forest</w:t>
      </w:r>
      <w:r>
        <w:rPr>
          <w:rFonts w:ascii="Times New Roman" w:hAnsi="Times New Roman"/>
          <w:i w:val="0"/>
          <w:sz w:val="19"/>
        </w:rPr>
        <w:t xml:space="preserve">, </w:t>
      </w:r>
      <w:r>
        <w:rPr>
          <w:rFonts w:ascii="Times New Roman" w:hAnsi="Times New Roman"/>
          <w:i/>
          <w:sz w:val="19"/>
        </w:rPr>
        <w:t>LightGBM</w:t>
      </w:r>
      <w:r>
        <w:rPr>
          <w:rFonts w:ascii="Times New Roman" w:hAnsi="Times New Roman"/>
          <w:i w:val="0"/>
          <w:sz w:val="19"/>
        </w:rPr>
        <w:t xml:space="preserve">, dan </w:t>
      </w:r>
      <w:r>
        <w:rPr>
          <w:rFonts w:ascii="Times New Roman" w:hAnsi="Times New Roman"/>
          <w:i/>
          <w:sz w:val="19"/>
        </w:rPr>
        <w:t>XGBoost</w:t>
      </w:r>
      <w:r>
        <w:rPr>
          <w:rFonts w:ascii="Times New Roman" w:hAnsi="Times New Roman"/>
          <w:i w:val="0"/>
          <w:sz w:val="19"/>
        </w:rPr>
        <w:t xml:space="preserve"> yang dioptimasi menggunakan Optuna dengan </w:t>
      </w:r>
      <w:r>
        <w:rPr>
          <w:rFonts w:ascii="Times New Roman" w:hAnsi="Times New Roman"/>
          <w:i/>
          <w:sz w:val="19"/>
        </w:rPr>
        <w:t>Tree-structured Parzen Estimator</w:t>
      </w:r>
      <w:r>
        <w:rPr>
          <w:rFonts w:ascii="Times New Roman" w:hAnsi="Times New Roman"/>
          <w:i w:val="0"/>
          <w:sz w:val="19"/>
        </w:rPr>
        <w:t xml:space="preserve"> (TPE, 20 trial). Dalam lingkungan simulasi yang diasumsikan, studi ablasi fitur menunjukkan bahwa pelaporan SPT mandiri semata memiliki daya pembeda yang sangat terbatas (ROC-AUC 0,5641, 95% CI [0,5281, 0,5994]). Penambahan data transaksi gerbang pembayaran digital dan logistik berkorelasi dengan peningkatan performa pemeringkatan menjadi ROC-AUC 0,7667 (95% CI [0,7329, 0,7998]) dan PR-AUC 0,5455 (sekitar 2,18 kali lipat di atas garis dasar prevalensi 0,2500). Penambahan dua indikator regional berbasis data BPS memberikan kontribusi kontekstual marginal (ROC-AUC 0,7684) dengan tangkapan temuan pada kelompok risiko 20% teratas (</w:t>
      </w:r>
      <w:r>
        <w:rPr>
          <w:rFonts w:ascii="Times New Roman" w:hAnsi="Times New Roman"/>
          <w:i/>
          <w:sz w:val="19"/>
        </w:rPr>
        <w:t>Top-20% Risk Yield</w:t>
      </w:r>
      <w:r>
        <w:rPr>
          <w:rFonts w:ascii="Times New Roman" w:hAnsi="Times New Roman"/>
          <w:i w:val="0"/>
          <w:sz w:val="19"/>
        </w:rPr>
        <w:t xml:space="preserve">) sebesar 45,2% (95% CI [40,8%, 49,6%]) yang secara statistik beririsan dengan tahap logistik (46,0%, 95% CI [41,2%, 50,4%]). Model linier </w:t>
      </w:r>
      <w:r>
        <w:rPr>
          <w:rFonts w:ascii="Times New Roman" w:hAnsi="Times New Roman"/>
          <w:i/>
          <w:sz w:val="19"/>
        </w:rPr>
        <w:t>Logistic Regression</w:t>
      </w:r>
      <w:r>
        <w:rPr>
          <w:rFonts w:ascii="Times New Roman" w:hAnsi="Times New Roman"/>
          <w:i w:val="0"/>
          <w:sz w:val="19"/>
        </w:rPr>
        <w:t xml:space="preserve"> menghasilkan ROC-AUC data uji tertinggi (0,7856, 95% CI [0,7529, 0,8168], ROC-AUC latih 0,7891), sementara </w:t>
      </w:r>
      <w:r>
        <w:rPr>
          <w:rFonts w:ascii="Times New Roman" w:hAnsi="Times New Roman"/>
          <w:i/>
          <w:sz w:val="19"/>
        </w:rPr>
        <w:t>TPE-optimized XGBoost</w:t>
      </w:r>
      <w:r>
        <w:rPr>
          <w:rFonts w:ascii="Times New Roman" w:hAnsi="Times New Roman"/>
          <w:i w:val="0"/>
          <w:sz w:val="19"/>
        </w:rPr>
        <w:t xml:space="preserve"> menghasilkan ROC-AUC uji 0,7682 (95% CI [0,7346, 0,8011], ROC-AUC latih 0,8120). Uji validasi lintas provinsi holdout berulang (R=5 pasangan provinsi) menghasilkan rata-rata ROC-AUC sebesar 0,7643 ± 0,0321, dan analisis sensitivitas DGP menunjukkan kestabilan relatif struktur pemeringkatan lintas variasi bobot parameter laten. Analisis SHAP mendeskripsikan keselarasan atribusi fitur model terhadap asumsi DGP tanpa mengasumsikan hubungan kausalitas langsung. Kerangka kerja ini menyajikan bukti metodologis awal bagi pengembangan sistem pendukung keputusan (</w:t>
      </w:r>
      <w:r>
        <w:rPr>
          <w:rFonts w:ascii="Times New Roman" w:hAnsi="Times New Roman"/>
          <w:i/>
          <w:sz w:val="19"/>
        </w:rPr>
        <w:t>decision support system</w:t>
      </w:r>
      <w:r>
        <w:rPr>
          <w:rFonts w:ascii="Times New Roman" w:hAnsi="Times New Roman"/>
          <w:i w:val="0"/>
          <w:sz w:val="19"/>
        </w:rPr>
        <w:t>) pemeringkatan prioritas audit yang sejalan dengan prinsip akuntabilitas tata kelola data.</w:t>
      </w:r>
    </w:p>
    <w:p>
      <w:pPr>
        <w:spacing w:after="160"/>
      </w:pPr>
      <w:r>
        <w:rPr>
          <w:b/>
          <w:sz w:val="19"/>
        </w:rPr>
        <w:t xml:space="preserve">Kata Kunci: </w:t>
      </w:r>
      <w:r>
        <w:rPr>
          <w:i/>
          <w:sz w:val="19"/>
        </w:rPr>
        <w:t>Compliance Risk Ranking, Data Generating Process, E-Commerce Tax Compliance, Indikator BPS, TPE-optimized XGBoost.</w:t>
      </w:r>
    </w:p>
    <w:p>
      <w:pPr>
        <w:spacing w:after="80" w:line="240" w:lineRule="auto"/>
        <w:jc w:val="both"/>
      </w:pPr>
      <w:r>
        <w:rPr>
          <w:b/>
          <w:sz w:val="19"/>
        </w:rPr>
        <w:t xml:space="preserve">ABSTRACT — </w:t>
      </w:r>
      <w:r>
        <w:rPr>
          <w:rFonts w:ascii="Times New Roman" w:hAnsi="Times New Roman"/>
          <w:i/>
          <w:sz w:val="19"/>
        </w:rPr>
        <w:t>The rapid expansion of electronic commerce in Indonesia presents monitoring hurdles for the Directorate General of Taxes (DGT), particularly in assessing the plausibility of self-reported turnover. Constrained by statutory taxpayer confidentiality, this paper develops a non-circular synthetic simulation benchmark (where audit targets are generated from latent variables separated from observed features) as a methodological proof-of-concept. Ground-truth audit outcomes are generated exclusively from unobserved latent states (cash skimming propensity, inventory distortion, and logistics deviations), while observed features serve as noisy empirical proxies. Across 5,000 simulated merchant profiles with a 25.0% baseline risk prevalence under 5-fold stratified cross-validation (seed=42), we benchmark the risk-ranking capabilities of Logistic Regression, Random Forest, LightGBM, and an XGBoost model optimized using Optuna with the TPE sampler (20 trials). Under the assumed simulation Data Generating Process (DGP), a feature ablation study shows that self-reported tax returns alone exhibit limited discriminatory power (ROC-AUC 0.5641, 95% CI [0.5281, 0.5994]). Integrating digital payment gateway transaction volumes and logistics tracking correlates with a substantial improvement in ranking quality to ROC-AUC 0.7667 (95% CI [0.7329, 0.7998]) and PR-AUC 0.5455 (approximately 2.18x above the 0.2500 prevalence baseline). Incorporating two BPS-based regional macro indicators provides marginal contextual information (ROC-AUC 0.7684) with a top-20% risk yield of 45.2% (95% CI [40.8%, 49.6%]), statistically overlapping with the logistics stage (46.0%, 95% CI [41.2%, 50.4%]). Logistic Regression delivers the highest test ROC-AUC (0.7856, 95% CI [0.7529, 0.8168], train ROC-AUC 0.7891), alongside non-linear TPE-optimized XGBoost (test ROC-AUC 0.7682, 95% CI [0.7346, 0.8011], train ROC-AUC 0.8120). Repeated cross-province holdout validation (R=5 province pairs) yields a mean ROC-AUC of 0.7643 +/- 0.0321 within the simulated environment, and DGP sensitivity tests demonstrate the relative stability of ranking structures across varied latent parameter weights. SHAP analysis illustrates that model feature attributions align with the underlying generative assumptions without implying causal mechanisms. This benchmark provides an initial methodological framework for risk-based tax decision support aligning with algorithmic accountability principles.</w:t>
      </w:r>
    </w:p>
    <w:p>
      <w:pPr>
        <w:spacing w:after="160"/>
      </w:pPr>
      <w:r>
        <w:rPr>
          <w:b/>
          <w:sz w:val="19"/>
        </w:rPr>
        <w:t xml:space="preserve">Keywords: </w:t>
      </w:r>
      <w:r>
        <w:rPr>
          <w:i/>
          <w:sz w:val="19"/>
        </w:rPr>
        <w:t>Compliance Risk Ranking, Data Generating Process, E-Commerce Tax Compliance, BPS Indicators, TPE-optimized XGBoost.</w:t>
      </w:r>
    </w:p>
    <w:p>
      <w:pPr>
        <w:spacing w:after="280"/>
        <w:pBdr>
          <w:bottom w:val="single" w:sz="6" w:space="1" w:color="000000"/>
        </w:pBdr>
      </w:pPr>
    </w:p>
    <w:p>
      <w:pPr>
        <w:keepNext/>
        <w:spacing w:before="280" w:after="80"/>
      </w:pPr>
      <w:r>
        <w:rPr>
          <w:rFonts w:ascii="Times New Roman" w:hAnsi="Times New Roman"/>
          <w:b/>
          <w:sz w:val="22"/>
        </w:rPr>
        <w:t>1. PENDAHULUAN</w:t>
      </w:r>
    </w:p>
    <w:p>
      <w:pPr>
        <w:spacing w:after="100" w:line="276" w:lineRule="auto"/>
        <w:ind w:firstLine="504"/>
        <w:jc w:val="both"/>
      </w:pPr>
      <w:r>
        <w:rPr>
          <w:rFonts w:ascii="Times New Roman" w:hAnsi="Times New Roman"/>
          <w:i w:val="0"/>
          <w:sz w:val="21"/>
        </w:rPr>
        <w:t>Pertumbuhan ekonomi digital di Indonesia terus mencatatkan peningkatan volume transaksi yang pesat. Laporan e-Conomy SEA (Google, Temasek, &amp; Bain, 2025) memperkirakan nilai transaksi bruto (</w:t>
      </w:r>
      <w:r>
        <w:rPr>
          <w:rFonts w:ascii="Times New Roman" w:hAnsi="Times New Roman"/>
          <w:i/>
          <w:sz w:val="21"/>
        </w:rPr>
        <w:t>Gross Merchandise Value</w:t>
      </w:r>
      <w:r>
        <w:rPr>
          <w:rFonts w:ascii="Times New Roman" w:hAnsi="Times New Roman"/>
          <w:i w:val="0"/>
          <w:sz w:val="21"/>
        </w:rPr>
        <w:t>) ekonomi digital Indonesia mencapai US99 miliar pada tahun 2025. Perdagangan melalui lokapasar (</w:t>
      </w:r>
      <w:r>
        <w:rPr>
          <w:rFonts w:ascii="Times New Roman" w:hAnsi="Times New Roman"/>
          <w:i/>
          <w:sz w:val="21"/>
        </w:rPr>
        <w:t>marketplace</w:t>
      </w:r>
      <w:r>
        <w:rPr>
          <w:rFonts w:ascii="Times New Roman" w:hAnsi="Times New Roman"/>
          <w:i w:val="0"/>
          <w:sz w:val="21"/>
        </w:rPr>
        <w:t>) dan niaga sosial (</w:t>
      </w:r>
      <w:r>
        <w:rPr>
          <w:rFonts w:ascii="Times New Roman" w:hAnsi="Times New Roman"/>
          <w:i/>
          <w:sz w:val="21"/>
        </w:rPr>
        <w:t>social commerce</w:t>
      </w:r>
      <w:r>
        <w:rPr>
          <w:rFonts w:ascii="Times New Roman" w:hAnsi="Times New Roman"/>
          <w:i w:val="0"/>
          <w:sz w:val="21"/>
        </w:rPr>
        <w:t>) bertumpu pada interaksi virtual tanpa mengharuskan keberadaan kantor fisik atau tempat usaha permanen (OECD, 2020). Akibatnya, pengawasan perpajakan berbasis tapak fisik (</w:t>
      </w:r>
      <w:r>
        <w:rPr>
          <w:rFonts w:ascii="Times New Roman" w:hAnsi="Times New Roman"/>
          <w:i/>
          <w:sz w:val="21"/>
        </w:rPr>
        <w:t>physical presence</w:t>
      </w:r>
      <w:r>
        <w:rPr>
          <w:rFonts w:ascii="Times New Roman" w:hAnsi="Times New Roman"/>
          <w:i w:val="0"/>
          <w:sz w:val="21"/>
        </w:rPr>
        <w:t>) tidak lagi memadai untuk memantau peredaran usaha secara akurat (Direktorat Jenderal Pajak, 2023).</w:t>
      </w:r>
    </w:p>
    <w:p>
      <w:pPr>
        <w:spacing w:after="100" w:line="276" w:lineRule="auto"/>
        <w:ind w:firstLine="504"/>
        <w:jc w:val="both"/>
      </w:pPr>
      <w:r>
        <w:rPr>
          <w:rFonts w:ascii="Times New Roman" w:hAnsi="Times New Roman"/>
          <w:i w:val="0"/>
          <w:sz w:val="21"/>
        </w:rPr>
        <w:t>Kondisi tersebut memperbesar tantangan asimetri informasi pada pelaporan Surat Pemberitahuan (SPT) Tahunan, terutama pada sektor pedagang skala mikro dan menengah yang memiliki banyak saluran penjualan (Kementerian Keuangan RI, 2024). Meskipun pemerintah telah memungut PPN Perdagangan Melalui Sistem Elektronik (PMSE) dari penyedia platform digital luar negeri dengan penerimaan mencapai Rp38,7 triliun per awal 2026 (Direktorat Jenderal Pajak, 2026), proses verifikasi kepatuhan atas jutaan pedagang lokal tetap memerlukan pendekatan berbasis data yang efisien.</w:t>
      </w:r>
    </w:p>
    <w:p>
      <w:pPr>
        <w:spacing w:after="100" w:line="276" w:lineRule="auto"/>
        <w:ind w:firstLine="504"/>
        <w:jc w:val="both"/>
      </w:pPr>
      <w:r>
        <w:rPr>
          <w:rFonts w:ascii="Times New Roman" w:hAnsi="Times New Roman"/>
          <w:i w:val="0"/>
          <w:sz w:val="21"/>
        </w:rPr>
        <w:t>Mengingat keterbatasan jumlah personel pemeriksa pajak, pemeriksaan secara menyeluruh terhadap seluruh pedagang tidak memungkinkan. Melakukan pemeriksaan acak (</w:t>
      </w:r>
      <w:r>
        <w:rPr>
          <w:rFonts w:ascii="Times New Roman" w:hAnsi="Times New Roman"/>
          <w:i/>
          <w:sz w:val="21"/>
        </w:rPr>
        <w:t>random audit</w:t>
      </w:r>
      <w:r>
        <w:rPr>
          <w:rFonts w:ascii="Times New Roman" w:hAnsi="Times New Roman"/>
          <w:i w:val="0"/>
          <w:sz w:val="21"/>
        </w:rPr>
        <w:t>) tidak efisien serta berisiko membebani pelaku usaha yang sebenarnya patuh (</w:t>
      </w:r>
      <w:r>
        <w:rPr>
          <w:rFonts w:ascii="Times New Roman" w:hAnsi="Times New Roman"/>
          <w:i/>
          <w:sz w:val="21"/>
        </w:rPr>
        <w:t>false positive</w:t>
      </w:r>
      <w:r>
        <w:rPr>
          <w:rFonts w:ascii="Times New Roman" w:hAnsi="Times New Roman"/>
          <w:i w:val="0"/>
          <w:sz w:val="21"/>
        </w:rPr>
        <w:t>) (Alm &amp; Malézieux, 2021). Di sisi lain, Undang-Undang Nomor 27 Tahun 2022 tentang Pelindungan Data Pribadi (UU PDP) menetapkan kerangka pelindungan data pribadi yang menuntut pemrosesan data secara bertanggung jawab dan akuntabel sesuai ketentuan perundang-undangan yang berlaku (Republik Indonesia, 2022).</w:t>
      </w:r>
    </w:p>
    <w:p>
      <w:pPr>
        <w:spacing w:after="100" w:line="276" w:lineRule="auto"/>
        <w:ind w:firstLine="504"/>
        <w:jc w:val="both"/>
      </w:pPr>
      <w:r>
        <w:rPr>
          <w:rFonts w:ascii="Times New Roman" w:hAnsi="Times New Roman"/>
          <w:i w:val="0"/>
          <w:sz w:val="21"/>
        </w:rPr>
        <w:t xml:space="preserve">Dalam kerangka </w:t>
      </w:r>
      <w:r>
        <w:rPr>
          <w:rFonts w:ascii="Times New Roman" w:hAnsi="Times New Roman"/>
          <w:i/>
          <w:sz w:val="21"/>
        </w:rPr>
        <w:t>Compliance Risk Management</w:t>
      </w:r>
      <w:r>
        <w:rPr>
          <w:rFonts w:ascii="Times New Roman" w:hAnsi="Times New Roman"/>
          <w:i w:val="0"/>
          <w:sz w:val="21"/>
        </w:rPr>
        <w:t xml:space="preserve"> (CRM), otoritas pajak mengelompokkan wajib pajak ke dalam kuadran risiko guna menetapkan prioritas tindakan (Direktorat Jenderal Pajak, 2023). Karena data individual SPT wajib pajak dilindungi oleh asas kerahasiaan jabatan (Pasal 34 UU KUP), riset komputasional memerlukan tolok ukur simulasi sintetis (</w:t>
      </w:r>
      <w:r>
        <w:rPr>
          <w:rFonts w:ascii="Times New Roman" w:hAnsi="Times New Roman"/>
          <w:i/>
          <w:sz w:val="21"/>
        </w:rPr>
        <w:t>synthetic simulation benchmark</w:t>
      </w:r>
      <w:r>
        <w:rPr>
          <w:rFonts w:ascii="Times New Roman" w:hAnsi="Times New Roman"/>
          <w:i w:val="0"/>
          <w:sz w:val="21"/>
        </w:rPr>
        <w:t>) yang dirancang secara bebas sirkularitas untuk menguji nilai informasi dari integrasi data pihak ketiga (Nowok et al., 2016; Snoke et al., 2018).</w:t>
      </w:r>
    </w:p>
    <w:p>
      <w:pPr>
        <w:spacing w:after="100" w:line="276" w:lineRule="auto"/>
        <w:ind w:firstLine="504"/>
        <w:jc w:val="both"/>
      </w:pPr>
      <w:r>
        <w:rPr>
          <w:rFonts w:ascii="Times New Roman" w:hAnsi="Times New Roman"/>
          <w:i w:val="0"/>
          <w:sz w:val="21"/>
        </w:rPr>
        <w:t>Penelitian ini bertujuan untuk menjawab tiga pertanyaan penelitian utama (</w:t>
      </w:r>
      <w:r>
        <w:rPr>
          <w:rFonts w:ascii="Times New Roman" w:hAnsi="Times New Roman"/>
          <w:i/>
          <w:sz w:val="21"/>
        </w:rPr>
        <w:t>Research Questions</w:t>
      </w:r>
      <w:r>
        <w:rPr>
          <w:rFonts w:ascii="Times New Roman" w:hAnsi="Times New Roman"/>
          <w:i w:val="0"/>
          <w:sz w:val="21"/>
        </w:rPr>
        <w:t>):</w:t>
      </w:r>
    </w:p>
    <w:p>
      <w:pPr>
        <w:spacing w:after="60" w:line="276" w:lineRule="auto"/>
        <w:ind w:left="360"/>
        <w:jc w:val="both"/>
      </w:pPr>
      <w:r>
        <w:rPr>
          <w:rFonts w:ascii="Times New Roman" w:hAnsi="Times New Roman"/>
          <w:i w:val="0"/>
          <w:sz w:val="21"/>
        </w:rPr>
        <w:t xml:space="preserve">1. </w:t>
      </w:r>
      <w:r>
        <w:rPr>
          <w:rFonts w:ascii="Times New Roman" w:hAnsi="Times New Roman"/>
          <w:b/>
          <w:i w:val="0"/>
          <w:sz w:val="21"/>
        </w:rPr>
        <w:t>(RQ1):</w:t>
      </w:r>
      <w:r>
        <w:rPr>
          <w:rFonts w:ascii="Times New Roman" w:hAnsi="Times New Roman"/>
          <w:i w:val="0"/>
          <w:sz w:val="21"/>
        </w:rPr>
        <w:t xml:space="preserve"> Seberapa besar kontribusi penambahan data transaksi gerbang pembayaran digital dan logistik dibandingkan pelaporan SPT mandiri dalam memeringkat risiko kepatuhan wajib pajak pada lingkungan simulasi?</w:t>
      </w:r>
    </w:p>
    <w:p>
      <w:pPr>
        <w:spacing w:after="60" w:line="276" w:lineRule="auto"/>
        <w:ind w:left="360"/>
        <w:jc w:val="both"/>
      </w:pPr>
      <w:r>
        <w:rPr>
          <w:rFonts w:ascii="Times New Roman" w:hAnsi="Times New Roman"/>
          <w:i w:val="0"/>
          <w:sz w:val="21"/>
        </w:rPr>
        <w:t xml:space="preserve">2. </w:t>
      </w:r>
      <w:r>
        <w:rPr>
          <w:rFonts w:ascii="Times New Roman" w:hAnsi="Times New Roman"/>
          <w:b/>
          <w:i w:val="0"/>
          <w:sz w:val="21"/>
        </w:rPr>
        <w:t>(RQ2):</w:t>
      </w:r>
      <w:r>
        <w:rPr>
          <w:rFonts w:ascii="Times New Roman" w:hAnsi="Times New Roman"/>
          <w:i w:val="0"/>
          <w:sz w:val="21"/>
        </w:rPr>
        <w:t xml:space="preserve"> Apakah penambahan indikator makro regional berbasis data BPS memberikan peningkatan diskriminasi yang bermakna melampaui data transaksi mikro?</w:t>
      </w:r>
    </w:p>
    <w:p>
      <w:pPr>
        <w:spacing w:after="60" w:line="276" w:lineRule="auto"/>
        <w:ind w:left="360"/>
        <w:jc w:val="both"/>
      </w:pPr>
      <w:r>
        <w:rPr>
          <w:rFonts w:ascii="Times New Roman" w:hAnsi="Times New Roman"/>
          <w:i w:val="0"/>
          <w:sz w:val="21"/>
        </w:rPr>
        <w:t xml:space="preserve">3. </w:t>
      </w:r>
      <w:r>
        <w:rPr>
          <w:rFonts w:ascii="Times New Roman" w:hAnsi="Times New Roman"/>
          <w:b/>
          <w:i w:val="0"/>
          <w:sz w:val="21"/>
        </w:rPr>
        <w:t>(RQ3):</w:t>
      </w:r>
      <w:r>
        <w:rPr>
          <w:rFonts w:ascii="Times New Roman" w:hAnsi="Times New Roman"/>
          <w:i w:val="0"/>
          <w:sz w:val="21"/>
        </w:rPr>
        <w:t xml:space="preserve"> Bagaimana stabilitas generalisasi model saat diuji pada kelompok provinsi yang belum pernah dilihat dalam data latih (</w:t>
      </w:r>
      <w:r>
        <w:rPr>
          <w:rFonts w:ascii="Times New Roman" w:hAnsi="Times New Roman"/>
          <w:i/>
          <w:sz w:val="21"/>
        </w:rPr>
        <w:t>unseen provinces</w:t>
      </w:r>
      <w:r>
        <w:rPr>
          <w:rFonts w:ascii="Times New Roman" w:hAnsi="Times New Roman"/>
          <w:i w:val="0"/>
          <w:sz w:val="21"/>
        </w:rPr>
        <w:t>) di bawah asumsi simulasi?</w:t>
      </w:r>
    </w:p>
    <w:p>
      <w:pPr>
        <w:spacing w:after="100" w:line="276" w:lineRule="auto"/>
        <w:ind w:firstLine="504"/>
        <w:jc w:val="both"/>
      </w:pPr>
      <w:r>
        <w:rPr>
          <w:rFonts w:ascii="Times New Roman" w:hAnsi="Times New Roman"/>
          <w:i w:val="0"/>
          <w:sz w:val="21"/>
        </w:rPr>
        <w:t>Kontribusi utama penelitian ini meliputi:</w:t>
      </w:r>
    </w:p>
    <w:p>
      <w:pPr>
        <w:spacing w:after="60" w:line="276" w:lineRule="auto"/>
        <w:ind w:left="360"/>
        <w:jc w:val="both"/>
      </w:pPr>
      <w:r>
        <w:rPr>
          <w:rFonts w:ascii="Times New Roman" w:hAnsi="Times New Roman"/>
          <w:i w:val="0"/>
          <w:sz w:val="21"/>
        </w:rPr>
        <w:t xml:space="preserve">a. </w:t>
      </w:r>
      <w:r>
        <w:rPr>
          <w:rFonts w:ascii="Times New Roman" w:hAnsi="Times New Roman"/>
          <w:b/>
          <w:i w:val="0"/>
          <w:sz w:val="21"/>
        </w:rPr>
        <w:t>Desain Target Laten Independen:</w:t>
      </w:r>
      <w:r>
        <w:rPr>
          <w:rFonts w:ascii="Times New Roman" w:hAnsi="Times New Roman"/>
          <w:i w:val="0"/>
          <w:sz w:val="21"/>
        </w:rPr>
        <w:t xml:space="preserve"> Memisahkan secara tegas variabel laten tak teramati pembentuk label temuan audit dari fitur-fitur masukan teramati (X).</w:t>
      </w:r>
    </w:p>
    <w:p>
      <w:pPr>
        <w:spacing w:after="60" w:line="276" w:lineRule="auto"/>
        <w:ind w:left="360"/>
        <w:jc w:val="both"/>
      </w:pPr>
      <w:r>
        <w:rPr>
          <w:rFonts w:ascii="Times New Roman" w:hAnsi="Times New Roman"/>
          <w:i w:val="0"/>
          <w:sz w:val="21"/>
        </w:rPr>
        <w:t xml:space="preserve">b. </w:t>
      </w:r>
      <w:r>
        <w:rPr>
          <w:rFonts w:ascii="Times New Roman" w:hAnsi="Times New Roman"/>
          <w:b/>
          <w:i w:val="0"/>
          <w:sz w:val="21"/>
        </w:rPr>
        <w:t>Studi Ablasi Fitur Bertahap:</w:t>
      </w:r>
      <w:r>
        <w:rPr>
          <w:rFonts w:ascii="Times New Roman" w:hAnsi="Times New Roman"/>
          <w:i w:val="0"/>
          <w:sz w:val="21"/>
        </w:rPr>
        <w:t xml:space="preserve"> Mengukur kontribusi marginal dari data pelaporan mandiri, transaksi digital, logistik, dan data regional berbasis BPS dengan interval kepercayaan 95% (</w:t>
      </w:r>
      <w:r>
        <w:rPr>
          <w:rFonts w:ascii="Times New Roman" w:hAnsi="Times New Roman"/>
          <w:i/>
          <w:sz w:val="21"/>
        </w:rPr>
        <w:t>95% Confidence Interval</w:t>
      </w:r>
      <w:r>
        <w:rPr>
          <w:rFonts w:ascii="Times New Roman" w:hAnsi="Times New Roman"/>
          <w:i w:val="0"/>
          <w:sz w:val="21"/>
        </w:rPr>
        <w:t>).</w:t>
      </w:r>
    </w:p>
    <w:p>
      <w:pPr>
        <w:spacing w:after="60" w:line="276" w:lineRule="auto"/>
        <w:ind w:left="360"/>
        <w:jc w:val="both"/>
      </w:pPr>
      <w:r>
        <w:rPr>
          <w:rFonts w:ascii="Times New Roman" w:hAnsi="Times New Roman"/>
          <w:i w:val="0"/>
          <w:sz w:val="21"/>
        </w:rPr>
        <w:t xml:space="preserve">c. </w:t>
      </w:r>
      <w:r>
        <w:rPr>
          <w:rFonts w:ascii="Times New Roman" w:hAnsi="Times New Roman"/>
          <w:b/>
          <w:i w:val="0"/>
          <w:sz w:val="21"/>
        </w:rPr>
        <w:t>Validasi Lintas Provinsi Berulang (*Repeated Cross-Province Holdout*):</w:t>
      </w:r>
      <w:r>
        <w:rPr>
          <w:rFonts w:ascii="Times New Roman" w:hAnsi="Times New Roman"/>
          <w:i w:val="0"/>
          <w:sz w:val="21"/>
        </w:rPr>
        <w:t xml:space="preserve"> Menguji kemampuan generalisasi spasial model pada R=5 pasangan kelompok provinsi holdout dalam lingkungan simulasi.</w:t>
      </w:r>
    </w:p>
    <w:p>
      <w:pPr>
        <w:spacing w:after="60" w:line="276" w:lineRule="auto"/>
        <w:ind w:left="360"/>
        <w:jc w:val="both"/>
      </w:pPr>
      <w:r>
        <w:rPr>
          <w:rFonts w:ascii="Times New Roman" w:hAnsi="Times New Roman"/>
          <w:i w:val="0"/>
          <w:sz w:val="21"/>
        </w:rPr>
        <w:t xml:space="preserve">d. </w:t>
      </w:r>
      <w:r>
        <w:rPr>
          <w:rFonts w:ascii="Times New Roman" w:hAnsi="Times New Roman"/>
          <w:b/>
          <w:i w:val="0"/>
          <w:sz w:val="21"/>
        </w:rPr>
        <w:t>Pemosisian Model sebagai Decision Support System:</w:t>
      </w:r>
      <w:r>
        <w:rPr>
          <w:rFonts w:ascii="Times New Roman" w:hAnsi="Times New Roman"/>
          <w:i w:val="0"/>
          <w:sz w:val="21"/>
        </w:rPr>
        <w:t xml:space="preserve"> Memposisikan model murni sebagai instrumen pemeringkat prioritas audit (</w:t>
      </w:r>
      <w:r>
        <w:rPr>
          <w:rFonts w:ascii="Times New Roman" w:hAnsi="Times New Roman"/>
          <w:i/>
          <w:sz w:val="21"/>
        </w:rPr>
        <w:t>risk ranking</w:t>
      </w:r>
      <w:r>
        <w:rPr>
          <w:rFonts w:ascii="Times New Roman" w:hAnsi="Times New Roman"/>
          <w:i w:val="0"/>
          <w:sz w:val="21"/>
        </w:rPr>
        <w:t>), didukung analisis keterbukaan SHAP untuk memeriksa keselarasan model terhadap asumsi DGP.</w:t>
      </w:r>
    </w:p>
    <w:p>
      <w:pPr>
        <w:spacing w:after="100" w:line="276" w:lineRule="auto"/>
        <w:ind w:firstLine="504"/>
        <w:jc w:val="both"/>
      </w:pPr>
      <w:r>
        <w:rPr>
          <w:rFonts w:ascii="Times New Roman" w:hAnsi="Times New Roman"/>
          <w:i w:val="0"/>
          <w:sz w:val="21"/>
        </w:rPr>
        <w:t>---</w:t>
      </w:r>
    </w:p>
    <w:p>
      <w:pPr>
        <w:keepNext/>
        <w:spacing w:before="280" w:after="80"/>
      </w:pPr>
      <w:r>
        <w:rPr>
          <w:rFonts w:ascii="Times New Roman" w:hAnsi="Times New Roman"/>
          <w:b/>
          <w:sz w:val="22"/>
        </w:rPr>
        <w:t>2. TINJAUAN PUSTAKA DAN STATE-OF-THE-ART</w:t>
      </w:r>
    </w:p>
    <w:p>
      <w:pPr>
        <w:keepNext/>
        <w:spacing w:before="200" w:after="60"/>
      </w:pPr>
      <w:r>
        <w:rPr>
          <w:rFonts w:ascii="Times New Roman" w:hAnsi="Times New Roman"/>
          <w:b/>
          <w:i/>
          <w:sz w:val="21"/>
        </w:rPr>
        <w:t>2.1 Informasi Pihak Ketiga dan Perilaku Kepatuhan</w:t>
      </w:r>
    </w:p>
    <w:p>
      <w:pPr>
        <w:spacing w:after="100" w:line="276" w:lineRule="auto"/>
        <w:ind w:firstLine="504"/>
        <w:jc w:val="both"/>
      </w:pPr>
      <w:r>
        <w:rPr>
          <w:rFonts w:ascii="Times New Roman" w:hAnsi="Times New Roman"/>
          <w:i w:val="0"/>
          <w:sz w:val="21"/>
        </w:rPr>
        <w:t>Model kepatuhan pajak Allingham-Sandmo-Yitzhaki menempatkan wajib pajak sebagai agen ekonomi yang menimbang manfaat penghindaran pajak terhadap risiko terdeteksi (Alm &amp; Malézieux, 2021). Kajian empiris oleh Kleven et al. (2011) serta Slemrod (2019) membuktikan bahwa ketersediaan laporan informasi pihak ketiga (</w:t>
      </w:r>
      <w:r>
        <w:rPr>
          <w:rFonts w:ascii="Times New Roman" w:hAnsi="Times New Roman"/>
          <w:i/>
          <w:sz w:val="21"/>
        </w:rPr>
        <w:t>third-party information reporting</w:t>
      </w:r>
      <w:r>
        <w:rPr>
          <w:rFonts w:ascii="Times New Roman" w:hAnsi="Times New Roman"/>
          <w:i w:val="0"/>
          <w:sz w:val="21"/>
        </w:rPr>
        <w:t>) secara substansial menekan peluang ketidakpatuhan. Pada ekosistem digital, integrasi data transaksi perbankan dan resi pengiriman barang menjadi instrumen verifikasi silang paling efektif (Naritomi, 2019). Dalam konteks Indonesia, optimalisasi pengawasan pajak UMKM digital membutuhkan perpaduan kepatuhan sukarela dan audit terarah berbasis profil risiko (Mascagni &amp; Mengistu, 2019).</w:t>
      </w:r>
    </w:p>
    <w:p>
      <w:pPr>
        <w:keepNext/>
        <w:spacing w:before="200" w:after="60"/>
      </w:pPr>
      <w:r>
        <w:rPr>
          <w:rFonts w:ascii="Times New Roman" w:hAnsi="Times New Roman"/>
          <w:b/>
          <w:i/>
          <w:sz w:val="21"/>
        </w:rPr>
        <w:t>2.2 Machine Learning, Optimasi Hyperparameter TPE, dan Interpretabilitas Model</w:t>
      </w:r>
    </w:p>
    <w:p>
      <w:pPr>
        <w:spacing w:after="100" w:line="276" w:lineRule="auto"/>
        <w:ind w:firstLine="504"/>
        <w:jc w:val="both"/>
      </w:pPr>
      <w:r>
        <w:rPr>
          <w:rFonts w:ascii="Times New Roman" w:hAnsi="Times New Roman"/>
          <w:i w:val="0"/>
          <w:sz w:val="21"/>
        </w:rPr>
        <w:t xml:space="preserve">Penerapan algoritma machine learning telah banyak dieksplorasi untuk mendeteksi anomali pada data keuangan dan kepabeanan (de Roux et al., 2018; Kim et al., 2020; Battaglini et al., 2022). Optimasi hyperparameter berbasis </w:t>
      </w:r>
      <w:r>
        <w:rPr>
          <w:rFonts w:ascii="Times New Roman" w:hAnsi="Times New Roman"/>
          <w:i/>
          <w:sz w:val="21"/>
        </w:rPr>
        <w:t>Tree-structured Parzen Estimator</w:t>
      </w:r>
      <w:r>
        <w:rPr>
          <w:rFonts w:ascii="Times New Roman" w:hAnsi="Times New Roman"/>
          <w:i w:val="0"/>
          <w:sz w:val="21"/>
        </w:rPr>
        <w:t xml:space="preserve"> (TPE) mengotomatiskan pencarian konfigurasi hyperparameter berdasarkan pemodelan probabilitas kepadatan Bayesian non-parametrik (Bergstra et al., 2011; Feurer et al., 2019).</w:t>
      </w:r>
    </w:p>
    <w:p>
      <w:pPr>
        <w:spacing w:after="100" w:line="276" w:lineRule="auto"/>
        <w:ind w:firstLine="504"/>
        <w:jc w:val="both"/>
      </w:pPr>
      <w:r>
        <w:rPr>
          <w:rFonts w:ascii="Times New Roman" w:hAnsi="Times New Roman"/>
          <w:i w:val="0"/>
          <w:sz w:val="21"/>
        </w:rPr>
        <w:t xml:space="preserve">Untuk memastikan transparansi keputusan, metode </w:t>
      </w:r>
      <w:r>
        <w:rPr>
          <w:rFonts w:ascii="Times New Roman" w:hAnsi="Times New Roman"/>
          <w:i/>
          <w:sz w:val="21"/>
        </w:rPr>
        <w:t>SHapley Additive exPlanations</w:t>
      </w:r>
      <w:r>
        <w:rPr>
          <w:rFonts w:ascii="Times New Roman" w:hAnsi="Times New Roman"/>
          <w:i w:val="0"/>
          <w:sz w:val="21"/>
        </w:rPr>
        <w:t xml:space="preserve"> (SHAP) memberikan estimasi kontribusi fitur masukan terhadap nilai prediksi (Lundberg &amp; Lee, 2017):</w:t>
      </w:r>
    </w:p>
    <w:p>
      <w:pPr>
        <w:spacing w:before="80" w:after="80"/>
        <w:jc w:val="center"/>
      </w:pPr>
      <w:r>
        <w:rPr>
          <w:rFonts w:ascii="Times New Roman" w:hAnsi="Times New Roman"/>
          <w:i/>
          <w:sz w:val="21"/>
        </w:rPr>
        <w:t>g(z') = ϕ_0 + sum_{j=1}^{M} ϕ_j z'_j</w:t>
      </w:r>
    </w:p>
    <w:p>
      <w:pPr>
        <w:spacing w:after="100" w:line="276" w:lineRule="auto"/>
        <w:ind w:firstLine="504"/>
        <w:jc w:val="both"/>
      </w:pPr>
      <w:r>
        <w:rPr>
          <w:rFonts w:ascii="Times New Roman" w:hAnsi="Times New Roman"/>
          <w:i w:val="0"/>
          <w:sz w:val="21"/>
        </w:rPr>
        <w:t>Nilai ϕ_j menunjukkan besaran atribusi prediktif variabel ke-j terhadap skor risiko individual tanpa mengklaim hubungan sebab-akibat kausal murni.</w:t>
      </w:r>
    </w:p>
    <w:p>
      <w:pPr>
        <w:keepNext/>
        <w:spacing w:before="200" w:after="60"/>
      </w:pPr>
      <w:r>
        <w:rPr>
          <w:rFonts w:ascii="Times New Roman" w:hAnsi="Times New Roman"/>
          <w:b/>
          <w:i/>
          <w:sz w:val="21"/>
        </w:rPr>
        <w:t>2.3 Validasi Metodologis Data Sintetis</w:t>
      </w:r>
    </w:p>
    <w:p>
      <w:pPr>
        <w:spacing w:after="100" w:line="276" w:lineRule="auto"/>
        <w:ind w:firstLine="504"/>
        <w:jc w:val="both"/>
      </w:pPr>
      <w:r>
        <w:rPr>
          <w:rFonts w:ascii="Times New Roman" w:hAnsi="Times New Roman"/>
          <w:i w:val="0"/>
          <w:sz w:val="21"/>
        </w:rPr>
        <w:t>Pemanfaatan data sintetis dalam domain sensitif seperti perpajakan dan kesehatan telah diakui sebagai metode ilmiah yang valid untuk mengevaluasi arsitektur algoritma tanpa mengekspos catatan rahasia individu (Nowok et al., 2016). Validasi dataset sintetis menuntut pelaporan transparan atas proses pembangkitan data (</w:t>
      </w:r>
      <w:r>
        <w:rPr>
          <w:rFonts w:ascii="Times New Roman" w:hAnsi="Times New Roman"/>
          <w:i/>
          <w:sz w:val="21"/>
        </w:rPr>
        <w:t>Data Generating Process</w:t>
      </w:r>
      <w:r>
        <w:rPr>
          <w:rFonts w:ascii="Times New Roman" w:hAnsi="Times New Roman"/>
          <w:i w:val="0"/>
          <w:sz w:val="21"/>
        </w:rPr>
        <w:t>/DGP), audit keselarasan parameter terhadap distribusi agregat riil, dan pemisahan inferensi komputasional dari klaim efektivitas lapangan (Snoke et al., 2018).</w:t>
      </w:r>
    </w:p>
    <w:p>
      <w:pPr>
        <w:keepNext/>
        <w:spacing w:before="200" w:after="60"/>
      </w:pPr>
      <w:r>
        <w:rPr>
          <w:rFonts w:ascii="Times New Roman" w:hAnsi="Times New Roman"/>
          <w:b/>
          <w:i/>
          <w:sz w:val="21"/>
        </w:rPr>
        <w:t>2.4 Matriks Literatur Rujukan (7 Kolom Standar Riset)</w:t>
      </w:r>
    </w:p>
    <w:p>
      <w:pPr>
        <w:spacing w:before="160" w:after="40"/>
        <w:jc w:val="left"/>
      </w:pPr>
      <w:r>
        <w:rPr>
          <w:rFonts w:ascii="Times New Roman" w:hAnsi="Times New Roman"/>
          <w:b/>
          <w:sz w:val="19"/>
        </w:rPr>
        <w:t>Tabel 1 menyajikan posisi penelitian ini dalam literatur machine learning perpajakan.</w:t>
      </w:r>
    </w:p>
    <w:p>
      <w:pPr>
        <w:spacing w:before="160" w:after="40"/>
        <w:jc w:val="left"/>
      </w:pPr>
      <w:r>
        <w:rPr>
          <w:rFonts w:ascii="Times New Roman" w:hAnsi="Times New Roman"/>
          <w:b/>
          <w:sz w:val="19"/>
        </w:rPr>
        <w:t>Tabel 1. Matriks Sintesis Literatur Terkait (7 Kolom Standar Riset)</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Peneliti &amp; Tahun</w:t>
            </w:r>
          </w:p>
        </w:tc>
        <w:tc>
          <w:tcPr>
            <w:tcW w:type="dxa" w:w="1290"/>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Domain &amp; Konteks</w:t>
            </w:r>
          </w:p>
        </w:tc>
        <w:tc>
          <w:tcPr>
            <w:tcW w:type="dxa" w:w="1290"/>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Sumber Data</w:t>
            </w:r>
          </w:p>
        </w:tc>
        <w:tc>
          <w:tcPr>
            <w:tcW w:type="dxa" w:w="1290"/>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Metodologi Algoritma</w:t>
            </w:r>
          </w:p>
        </w:tc>
        <w:tc>
          <w:tcPr>
            <w:tcW w:type="dxa" w:w="1290"/>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Metrik Evaluasi</w:t>
            </w:r>
          </w:p>
        </w:tc>
        <w:tc>
          <w:tcPr>
            <w:tcW w:type="dxa" w:w="1290"/>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Batasan Riset Sebelumnya</w:t>
            </w:r>
          </w:p>
        </w:tc>
        <w:tc>
          <w:tcPr>
            <w:tcW w:type="dxa" w:w="1290"/>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Posisi &amp; Diferensiasi Riset Ini</w:t>
            </w:r>
          </w:p>
        </w:tc>
      </w:tr>
      <w:tr>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de Roux et al. (2018)</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Kecurangan PPh Badan (Kolombia)</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SPT &amp; Laporan Keuangan</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Unsupervised ML, Isolation Forest</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Precision@K, ROC-AUC</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Tidak memasukkan variabel logistik dan indikator makro wilayah</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Menambahkan variabel logistik pihak ketiga dan indikator regional berbasis BPS</w:t>
            </w:r>
          </w:p>
        </w:tc>
      </w:tr>
      <w:tr>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Kim et al. (2020)</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Deteksi Penipuan Kepabeanan / WCO</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Deklarasi impor &amp; nilai barang</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Dual Attentive Tree-aware Embedding (DATE)</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Precision@K, Revenue Recall</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Berfokus pada deklarasi pabean batas negara fisik</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Mengadaptasi prinsip dual-proxy pada ekosistem perniagaan digital domestik</w:t>
            </w:r>
          </w:p>
        </w:tc>
      </w:tr>
      <w:tr>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Battaglini et al. (2022)</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Audit Kepatuhan Pajak (Italia)</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Data audit administratif fiskus</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Supervised ML &amp; Selective Labels</w:t>
            </w:r>
          </w:p>
        </w:tc>
        <w:tc>
          <w:tcPr>
            <w:tcW w:type="dxa" w:w="1290"/>
            <w:tcBorders>
              <w:top w:val="none"/>
              <w:bottom w:val="none"/>
              <w:left w:val="none"/>
              <w:right w:val="none"/>
            </w:tcBorders>
          </w:tcPr>
          <w:p>
            <w:pPr>
              <w:spacing w:before="60" w:after="60" w:line="252" w:lineRule="auto"/>
              <w:jc w:val="center"/>
            </w:pPr>
            <w:r/>
            <w:r>
              <w:rPr>
                <w:rFonts w:ascii="Times New Roman" w:hAnsi="Times New Roman"/>
                <w:i w:val="0"/>
                <w:sz w:val="17"/>
              </w:rPr>
              <w:t>Detected Evasion Gain (+38%)</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Penyetelan hyperparameter manual tanpa uji ketahanan spasial</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Menggunakan optimasi Bayesian TPE dan validasi holdout geografis berulang</w:t>
            </w:r>
          </w:p>
        </w:tc>
      </w:tr>
      <w:tr>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DJP (2023)</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Sistem CRM Pajak (Indonesia)</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Data internal &amp; ILAP</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Aturan Matriks Heuristik</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Realisasi Penerimaan</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 xml:space="preserve">Model berbasis aturan statis rentan </w:t>
            </w:r>
            <w:r>
              <w:rPr>
                <w:rFonts w:ascii="Times New Roman" w:hAnsi="Times New Roman"/>
                <w:i/>
                <w:sz w:val="17"/>
              </w:rPr>
              <w:t>false positive</w:t>
            </w:r>
          </w:p>
        </w:tc>
        <w:tc>
          <w:tcPr>
            <w:tcW w:type="dxa" w:w="1290"/>
            <w:tcBorders>
              <w:top w:val="none"/>
              <w:bottom w:val="none"/>
              <w:left w:val="none"/>
              <w:right w:val="none"/>
            </w:tcBorders>
          </w:tcPr>
          <w:p>
            <w:pPr>
              <w:spacing w:before="60" w:after="60" w:line="252" w:lineRule="auto"/>
              <w:jc w:val="left"/>
            </w:pPr>
            <w:r/>
            <w:r>
              <w:rPr>
                <w:rFonts w:ascii="Times New Roman" w:hAnsi="Times New Roman"/>
                <w:i w:val="0"/>
                <w:sz w:val="17"/>
              </w:rPr>
              <w:t>Mengembangkan tolok ukur simulasi berbasis DGP terstruktur</w:t>
            </w:r>
          </w:p>
        </w:tc>
      </w:tr>
      <w:tr>
        <w:tc>
          <w:tcPr>
            <w:tcW w:type="dxa" w:w="1290"/>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Penelitian Ini (2026)</w:t>
            </w:r>
          </w:p>
        </w:tc>
        <w:tc>
          <w:tcPr>
            <w:tcW w:type="dxa" w:w="1290"/>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Benchmark Pajak Pedagang Daring</w:t>
            </w:r>
          </w:p>
        </w:tc>
        <w:tc>
          <w:tcPr>
            <w:tcW w:type="dxa" w:w="1290"/>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Simulasi Laten &amp; Data Pihak Ketiga</w:t>
            </w:r>
          </w:p>
        </w:tc>
        <w:tc>
          <w:tcPr>
            <w:tcW w:type="dxa" w:w="1290"/>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TPE-optimized XGBoost + Logistic + SHAP</w:t>
            </w:r>
          </w:p>
        </w:tc>
        <w:tc>
          <w:tcPr>
            <w:tcW w:type="dxa" w:w="1290"/>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ROC-AUC (95% CI), PR-AUC, Top-20% Yield, Geo-Holdout</w:t>
            </w:r>
          </w:p>
        </w:tc>
        <w:tc>
          <w:tcPr>
            <w:tcW w:type="dxa" w:w="1290"/>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w:t>
            </w:r>
          </w:p>
        </w:tc>
        <w:tc>
          <w:tcPr>
            <w:tcW w:type="dxa" w:w="1290"/>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Mengembangkan framework simulasi yang mengintegrasikan DGP variabel laten dengan repeated cross-province holdout</w:t>
            </w:r>
          </w:p>
        </w:tc>
      </w:tr>
    </w:tbl>
    <w:p>
      <w:pPr>
        <w:spacing w:after="120"/>
      </w:pPr>
    </w:p>
    <w:p>
      <w:pPr>
        <w:spacing w:after="100" w:line="276" w:lineRule="auto"/>
        <w:ind w:firstLine="504"/>
        <w:jc w:val="both"/>
      </w:pPr>
      <w:r>
        <w:rPr>
          <w:rFonts w:ascii="Times New Roman" w:hAnsi="Times New Roman"/>
          <w:i w:val="0"/>
          <w:sz w:val="21"/>
        </w:rPr>
        <w:t>---</w:t>
      </w:r>
    </w:p>
    <w:p>
      <w:pPr>
        <w:keepNext/>
        <w:spacing w:before="280" w:after="80"/>
      </w:pPr>
      <w:r>
        <w:rPr>
          <w:rFonts w:ascii="Times New Roman" w:hAnsi="Times New Roman"/>
          <w:b/>
          <w:sz w:val="22"/>
        </w:rPr>
        <w:t>3. METODOLOGI PENELITIAN</w:t>
      </w:r>
    </w:p>
    <w:p>
      <w:pPr>
        <w:keepNext/>
        <w:spacing w:before="200" w:after="60"/>
      </w:pPr>
      <w:r>
        <w:rPr>
          <w:rFonts w:ascii="Times New Roman" w:hAnsi="Times New Roman"/>
          <w:b/>
          <w:i/>
          <w:sz w:val="21"/>
        </w:rPr>
        <w:t>3.1 Data Generating Process (DGP) dan Asumsi Parameter Simulasi</w:t>
      </w:r>
    </w:p>
    <w:p>
      <w:pPr>
        <w:spacing w:after="100" w:line="276" w:lineRule="auto"/>
        <w:ind w:firstLine="504"/>
        <w:jc w:val="both"/>
      </w:pPr>
      <w:r>
        <w:rPr>
          <w:rFonts w:ascii="Times New Roman" w:hAnsi="Times New Roman"/>
          <w:i w:val="0"/>
          <w:sz w:val="21"/>
        </w:rPr>
        <w:t>Seluruh parameter numerik dalam proses pembangkitan data merupakan asumsi simulasi terstruktur (</w:t>
      </w:r>
      <w:r>
        <w:rPr>
          <w:rFonts w:ascii="Times New Roman" w:hAnsi="Times New Roman"/>
          <w:i/>
          <w:sz w:val="21"/>
        </w:rPr>
        <w:t>illustrative simulation assumptions</w:t>
      </w:r>
      <w:r>
        <w:rPr>
          <w:rFonts w:ascii="Times New Roman" w:hAnsi="Times New Roman"/>
          <w:i w:val="0"/>
          <w:sz w:val="21"/>
        </w:rPr>
        <w:t>) yang diinformasikan oleh karakteristik makro perniagaan digital Indonesia, bukan estimasi parameter ekonometrika langsung dari data rahasia wajib pajak individual.</w:t>
      </w:r>
    </w:p>
    <w:p>
      <w:pPr>
        <w:spacing w:before="160" w:after="40"/>
        <w:jc w:val="left"/>
      </w:pPr>
      <w:r>
        <w:rPr>
          <w:rFonts w:ascii="Times New Roman" w:hAnsi="Times New Roman"/>
          <w:b/>
          <w:sz w:val="19"/>
        </w:rPr>
        <w:t>Tabel 2 merangkum struktur variabel, mekanisme pembangkitan, justifikasi teoritis/empiris pemilihan parameter, serta peranannya dalam eksperimen.</w:t>
      </w:r>
    </w:p>
    <w:p>
      <w:pPr>
        <w:spacing w:before="160" w:after="40"/>
        <w:jc w:val="left"/>
      </w:pPr>
      <w:r>
        <w:rPr>
          <w:rFonts w:ascii="Times New Roman" w:hAnsi="Times New Roman"/>
          <w:b/>
          <w:sz w:val="19"/>
        </w:rPr>
        <w:t>Tabel 2. Karakteristik Variabel, Mekanisme Pembangkitan, dan Justifikasi Parameter DGP</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Nama Variabel</w:t>
            </w:r>
          </w:p>
        </w:tc>
        <w:tc>
          <w:tcPr>
            <w:tcW w:type="dxa" w:w="1806"/>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Level Data</w:t>
            </w:r>
          </w:p>
        </w:tc>
        <w:tc>
          <w:tcPr>
            <w:tcW w:type="dxa" w:w="1806"/>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Distribusi &amp; Formula Pembangkitan</w:t>
            </w:r>
          </w:p>
        </w:tc>
        <w:tc>
          <w:tcPr>
            <w:tcW w:type="dxa" w:w="1806"/>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Justifikasi Pemilihan Parameter &amp; Distribusi</w:t>
            </w:r>
          </w:p>
        </w:tc>
        <w:tc>
          <w:tcPr>
            <w:tcW w:type="dxa" w:w="1806"/>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Digunakan di Formula Target Y?</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δ_cash</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(Laten)</w:t>
            </w:r>
          </w:p>
        </w:tc>
        <w:tc>
          <w:tcPr>
            <w:tcW w:type="dxa" w:w="1806"/>
            <w:tcBorders>
              <w:top w:val="none"/>
              <w:bottom w:val="none"/>
              <w:left w:val="none"/>
              <w:right w:val="none"/>
            </w:tcBorders>
          </w:tcPr>
          <w:p>
            <w:pPr>
              <w:spacing w:before="60" w:after="60" w:line="252" w:lineRule="auto"/>
              <w:jc w:val="center"/>
            </w:pPr>
            <w:r/>
            <w:r>
              <w:rPr>
                <w:rFonts w:ascii="Times New Roman" w:hAnsi="Times New Roman"/>
                <w:i w:val="0"/>
                <w:sz w:val="17"/>
              </w:rPr>
              <w:t>Beta(2.0, 4.0)</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Mean ≈ 0,33, varians 0,031; mengasumsikan mayoritas pedagang memiliki kecenderungan transaksi tunai off-the-books rendah hingga sedang dengan ekor kanan terbatas.</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Ya</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δ_inv</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(Laten)</w:t>
            </w:r>
          </w:p>
        </w:tc>
        <w:tc>
          <w:tcPr>
            <w:tcW w:type="dxa" w:w="1806"/>
            <w:tcBorders>
              <w:top w:val="none"/>
              <w:bottom w:val="none"/>
              <w:left w:val="none"/>
              <w:right w:val="none"/>
            </w:tcBorders>
          </w:tcPr>
          <w:p>
            <w:pPr>
              <w:spacing w:before="60" w:after="60" w:line="252" w:lineRule="auto"/>
              <w:jc w:val="center"/>
            </w:pPr>
            <w:r/>
            <w:r>
              <w:rPr>
                <w:rFonts w:ascii="Times New Roman" w:hAnsi="Times New Roman"/>
                <w:i w:val="0"/>
                <w:sz w:val="17"/>
              </w:rPr>
              <w:t>Exponential(β=0.25)</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Mean = 0,25; mengasumsikan distorsi stok inventaris jarang terjadi dalam skala ekstrem namun memiliki ekor panjang (</w:t>
            </w:r>
            <w:r>
              <w:rPr>
                <w:rFonts w:ascii="Times New Roman" w:hAnsi="Times New Roman"/>
                <w:i/>
                <w:sz w:val="17"/>
              </w:rPr>
              <w:t>heavy-tailed</w:t>
            </w:r>
            <w:r>
              <w:rPr>
                <w:rFonts w:ascii="Times New Roman" w:hAnsi="Times New Roman"/>
                <w:i w:val="0"/>
                <w:sz w:val="17"/>
              </w:rPr>
              <w:t>).</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Ya</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δ_log</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(Laten)</w:t>
            </w:r>
          </w:p>
        </w:tc>
        <w:tc>
          <w:tcPr>
            <w:tcW w:type="dxa" w:w="1806"/>
            <w:tcBorders>
              <w:top w:val="none"/>
              <w:bottom w:val="none"/>
              <w:left w:val="none"/>
              <w:right w:val="none"/>
            </w:tcBorders>
          </w:tcPr>
          <w:p>
            <w:pPr>
              <w:spacing w:before="60" w:after="60" w:line="252" w:lineRule="auto"/>
              <w:jc w:val="center"/>
            </w:pPr>
            <w:r/>
            <w:r>
              <w:rPr>
                <w:rFonts w:ascii="Times New Roman" w:hAnsi="Times New Roman"/>
                <w:i w:val="0"/>
                <w:sz w:val="17"/>
              </w:rPr>
              <w:t>Beta(1.5, 4.5)</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Mean = 0,25, varians 0,027; mencerminkan anomali pengiriman fisik tanpa resi resmi yang terkonsentrasi pada nilai rendah.</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Ya</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u_{frac}</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(Perantara)</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Clip≤ft(0,40δ_cash + 0,30≤ft((δ_inv/1+δ_inv)) + N(0,10, 0,10^2), 0, 0,85)</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Fraksi underreporting peredaran usaha; dibatasi maksimum 85% untuk menjaga batas kepatuhan minimum pelaku usaha aktif.</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Tidak</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GMV_i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(Teramati)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Poisson(λ=140)+20 x Lognormal(μ=4.8, σ=0.6) / 1000</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Volume pesanan tahunan (mean ≈ 160 order) dikalikan ukuran keranjang belanja (Lognormal, median ≈ Rp120.000), mencerminkan distribusi omzet UMKM digital.</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Tidak</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SPT_i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(Teramati)</w:t>
            </w:r>
          </w:p>
        </w:tc>
        <w:tc>
          <w:tcPr>
            <w:tcW w:type="dxa" w:w="1806"/>
            <w:tcBorders>
              <w:top w:val="none"/>
              <w:bottom w:val="none"/>
              <w:left w:val="none"/>
              <w:right w:val="none"/>
            </w:tcBorders>
          </w:tcPr>
          <w:p>
            <w:pPr>
              <w:spacing w:before="60" w:after="60" w:line="252" w:lineRule="auto"/>
              <w:jc w:val="center"/>
            </w:pPr>
            <w:r/>
            <w:r>
              <w:rPr>
                <w:rFonts w:ascii="Times New Roman" w:hAnsi="Times New Roman"/>
                <w:i w:val="0"/>
                <w:sz w:val="17"/>
              </w:rPr>
              <w:t>GMV_i x (1 - u_{frac})</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 xml:space="preserve">Nilai omzet yang dilaporkan mandiri pada SPT tahunan setelah dikurangi fraksi </w:t>
            </w:r>
            <w:r>
              <w:rPr>
                <w:rFonts w:ascii="Times New Roman" w:hAnsi="Times New Roman"/>
                <w:i/>
                <w:sz w:val="17"/>
              </w:rPr>
              <w:t>underreporting</w:t>
            </w:r>
            <w:r>
              <w:rPr>
                <w:rFonts w:ascii="Times New Roman" w:hAnsi="Times New Roman"/>
                <w:i w:val="0"/>
                <w:sz w:val="17"/>
              </w:rPr>
              <w:t>.</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Tidak</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TaxPaid_i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(Teramati)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SPT_i x 0,005 (Deterministik; PP 55/2022)</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Tarif PPh Final UMKM 0,5%; dipertahankan sebagai representasi atribut administratif perpajakan standar.</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Tidak</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PayRatio_i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(Teramati)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Clip≤ft(1.0 - (0.60δ_cash + N(0,20, 0,10^2)), 0.05, 0.99)</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Rasio pembayaran digital; berkurang secara proporsional terhadap kecenderungan cash skimming (Corr(PayRatio, δ_cash) ≈ -0,75).</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Tidak</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Logistics_i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Wajib Pajak (Teramati)</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Clip≤ft(1.0 - (0.50δ_log + N(0,15, 0,08^2)), 0.10, 1.00)</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Rasio pesanan terlacak ekspedisi resmi; berkurang terhadap anomali logistik (Corr(Logistics, δ_log) ≈ -0,78).</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Tidak</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EComPct_p</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Provinsi (Makro)</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BPS Benchmark Provinsi p ± N(0, 1.5^2)</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Rujukan BPS (2024) Tabel 3.1; mencerminkan persentase usaha e-commerce regional (24,32% - 63,54%).</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Tidak</w:t>
            </w:r>
          </w:p>
        </w:tc>
      </w:tr>
      <w:tr>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Infra_p</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Provinsi (Makro)</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BPS Benchmark IP-TIK 2023 Provinsi p ± N(0, 0.12^2)</w:t>
            </w:r>
          </w:p>
        </w:tc>
        <w:tc>
          <w:tcPr>
            <w:tcW w:type="dxa" w:w="1806"/>
            <w:tcBorders>
              <w:top w:val="none"/>
              <w:bottom w:val="none"/>
              <w:left w:val="none"/>
              <w:right w:val="none"/>
            </w:tcBorders>
          </w:tcPr>
          <w:p>
            <w:pPr>
              <w:spacing w:before="60" w:after="60" w:line="252" w:lineRule="auto"/>
              <w:jc w:val="left"/>
            </w:pPr>
            <w:r/>
            <w:r>
              <w:rPr>
                <w:rFonts w:ascii="Times New Roman" w:hAnsi="Times New Roman"/>
                <w:i w:val="0"/>
                <w:sz w:val="17"/>
              </w:rPr>
              <w:t>Rujukan BPS (2024) Tabel 4; mencerminkan indeks TIK skala 0–10 (5,86 - 7,73, noise σ=0,12, CV≈ 1,8%).</w:t>
            </w:r>
          </w:p>
        </w:tc>
        <w:tc>
          <w:tcPr>
            <w:tcW w:type="dxa" w:w="1806"/>
            <w:tcBorders>
              <w:top w:val="none"/>
              <w:bottom w:val="none"/>
              <w:left w:val="none"/>
              <w:right w:val="none"/>
            </w:tcBorders>
          </w:tcPr>
          <w:p>
            <w:pPr>
              <w:spacing w:before="60" w:after="60" w:line="252" w:lineRule="auto"/>
              <w:jc w:val="left"/>
            </w:pPr>
            <w:r/>
            <w:r>
              <w:rPr>
                <w:rFonts w:ascii="Times New Roman" w:hAnsi="Times New Roman"/>
                <w:b/>
                <w:i w:val="0"/>
                <w:sz w:val="17"/>
              </w:rPr>
              <w:t>Tidak</w:t>
            </w:r>
          </w:p>
        </w:tc>
      </w:tr>
      <w:tr>
        <w:tc>
          <w:tcPr>
            <w:tcW w:type="dxa" w:w="1806"/>
            <w:tcBorders>
              <w:top w:val="none"/>
              <w:bottom w:val="single" w:sz="12" w:space="0" w:color="000000"/>
              <w:left w:val="none"/>
              <w:right w:val="none"/>
            </w:tcBorders>
          </w:tcPr>
          <w:p>
            <w:pPr>
              <w:spacing w:before="60" w:after="60" w:line="252" w:lineRule="auto"/>
              <w:jc w:val="left"/>
            </w:pPr>
            <w:r/>
            <w:r>
              <w:rPr>
                <w:rFonts w:ascii="Times New Roman" w:hAnsi="Times New Roman"/>
                <w:i w:val="0"/>
                <w:sz w:val="17"/>
              </w:rPr>
              <w:t>Y_i (Target)</w:t>
            </w:r>
          </w:p>
        </w:tc>
        <w:tc>
          <w:tcPr>
            <w:tcW w:type="dxa" w:w="1806"/>
            <w:tcBorders>
              <w:top w:val="none"/>
              <w:bottom w:val="single" w:sz="12" w:space="0" w:color="000000"/>
              <w:left w:val="none"/>
              <w:right w:val="none"/>
            </w:tcBorders>
          </w:tcPr>
          <w:p>
            <w:pPr>
              <w:spacing w:before="60" w:after="60" w:line="252" w:lineRule="auto"/>
              <w:jc w:val="left"/>
            </w:pPr>
            <w:r/>
            <w:r>
              <w:rPr>
                <w:rFonts w:ascii="Times New Roman" w:hAnsi="Times New Roman"/>
                <w:i w:val="0"/>
                <w:sz w:val="17"/>
              </w:rPr>
              <w:t>Wajib Pajak (Audit)</w:t>
            </w:r>
          </w:p>
        </w:tc>
        <w:tc>
          <w:tcPr>
            <w:tcW w:type="dxa" w:w="1806"/>
            <w:tcBorders>
              <w:top w:val="none"/>
              <w:bottom w:val="single" w:sz="12" w:space="0" w:color="000000"/>
              <w:left w:val="none"/>
              <w:right w:val="none"/>
            </w:tcBorders>
          </w:tcPr>
          <w:p>
            <w:pPr>
              <w:spacing w:before="60" w:after="60" w:line="252" w:lineRule="auto"/>
              <w:jc w:val="left"/>
            </w:pPr>
            <w:r/>
            <w:r>
              <w:rPr>
                <w:rFonts w:ascii="Times New Roman" w:hAnsi="Times New Roman"/>
                <w:i w:val="0"/>
                <w:sz w:val="17"/>
              </w:rPr>
              <w:t>I(S^*_{audit} &gt; P_{75}),   Prevalensi Positif  = 25,0%</w:t>
            </w:r>
          </w:p>
        </w:tc>
        <w:tc>
          <w:tcPr>
            <w:tcW w:type="dxa" w:w="1806"/>
            <w:tcBorders>
              <w:top w:val="none"/>
              <w:bottom w:val="single" w:sz="12" w:space="0" w:color="000000"/>
              <w:left w:val="none"/>
              <w:right w:val="none"/>
            </w:tcBorders>
          </w:tcPr>
          <w:p>
            <w:pPr>
              <w:spacing w:before="60" w:after="60" w:line="252" w:lineRule="auto"/>
              <w:jc w:val="left"/>
            </w:pPr>
            <w:r/>
            <w:r>
              <w:rPr>
                <w:rFonts w:ascii="Times New Roman" w:hAnsi="Times New Roman"/>
                <w:i w:val="0"/>
                <w:sz w:val="17"/>
              </w:rPr>
              <w:t>Ground truth temuan audit; P_{75} membagi kuadran 25% wajib pajak berisiko tertinggi sebagai target audit.</w:t>
            </w:r>
          </w:p>
        </w:tc>
        <w:tc>
          <w:tcPr>
            <w:tcW w:type="dxa" w:w="1806"/>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Target</w:t>
            </w:r>
          </w:p>
        </w:tc>
      </w:tr>
    </w:tbl>
    <w:p>
      <w:pPr>
        <w:spacing w:after="120"/>
      </w:pPr>
    </w:p>
    <w:p>
      <w:pPr>
        <w:spacing w:after="100" w:line="276" w:lineRule="auto"/>
        <w:ind w:firstLine="504"/>
        <w:jc w:val="both"/>
      </w:pPr>
      <w:r>
        <w:rPr>
          <w:rFonts w:ascii="Times New Roman" w:hAnsi="Times New Roman"/>
          <w:i w:val="0"/>
          <w:sz w:val="21"/>
        </w:rPr>
        <w:t>Formula pembentukan skor temuan audit laten adalah:</w:t>
      </w:r>
    </w:p>
    <w:p>
      <w:pPr>
        <w:spacing w:before="80" w:after="80"/>
        <w:jc w:val="center"/>
      </w:pPr>
      <w:r>
        <w:rPr>
          <w:rFonts w:ascii="Times New Roman" w:hAnsi="Times New Roman"/>
          <w:i/>
          <w:sz w:val="21"/>
        </w:rPr>
        <w:t>S^*_{audit} = 0,40 · δ_cash + 0,35 · ≤ft((δ_inv/1 + δ_inv)) + 0,25 · δ_log + ε_i,   ε_i ~ N(0, 0,08^2)</w:t>
      </w:r>
    </w:p>
    <w:p>
      <w:pPr>
        <w:keepNext/>
        <w:spacing w:before="120" w:after="40"/>
      </w:pPr>
      <w:r>
        <w:rPr>
          <w:rFonts w:ascii="Times New Roman" w:hAnsi="Times New Roman"/>
          <w:b/>
          <w:i/>
          <w:sz w:val="20"/>
        </w:rPr>
        <w:t>Analisis Konfounding Laten Bersama (Shared Latent Confounding):</w:t>
      </w:r>
    </w:p>
    <w:p>
      <w:pPr>
        <w:spacing w:after="100" w:line="276" w:lineRule="auto"/>
        <w:ind w:firstLine="504"/>
        <w:jc w:val="both"/>
      </w:pPr>
      <w:r>
        <w:rPr>
          <w:rFonts w:ascii="Times New Roman" w:hAnsi="Times New Roman"/>
          <w:i w:val="0"/>
          <w:sz w:val="21"/>
        </w:rPr>
        <w:t>Meskipun target Y tidak dihitung langsung dari fitur X, Y dan X memiliki ketergantungan struktural melalui variabel laten bersama (δ_cash, δ_inv, δ_log). Korelasi empiris bivariat antara target biner Y dan masing-masing fitur masukan teramati adalah moderat: Corr(Y, PayRatio) = -0,42, Corr(Y, Logistics) = -0,36, Corr(Y, SPT) = -0,24, dan Corr(Y, GMV) = +0,08. Tidak ada satu pun fitur teramati yang memiliki korelasi ekstrem (&gt;0,50) terhadap Y, menegaskan bahwa proksi teramati mengandung tingkat kebisingan realistis dan tidak merekonstruksi ground truth target secara sempurna.</w:t>
      </w:r>
    </w:p>
    <w:p>
      <w:pPr>
        <w:keepNext/>
        <w:spacing w:before="120" w:after="40"/>
      </w:pPr>
      <w:r>
        <w:rPr>
          <w:rFonts w:ascii="Times New Roman" w:hAnsi="Times New Roman"/>
          <w:b/>
          <w:i/>
          <w:sz w:val="20"/>
        </w:rPr>
        <w:t>Catatan Multikolinearitas dan Redundansi Administratif:</w:t>
      </w:r>
    </w:p>
    <w:p>
      <w:pPr>
        <w:spacing w:after="100" w:line="276" w:lineRule="auto"/>
        <w:ind w:firstLine="504"/>
        <w:jc w:val="both"/>
      </w:pPr>
      <w:r>
        <w:rPr>
          <w:rFonts w:ascii="Times New Roman" w:hAnsi="Times New Roman"/>
          <w:i w:val="0"/>
          <w:sz w:val="21"/>
        </w:rPr>
        <w:t xml:space="preserve">Variabel TaxPaid_i secara matematis bersifat deterministik terhadap SPT_i (Corr = 1,0). Untuk model </w:t>
      </w:r>
      <w:r>
        <w:rPr>
          <w:rFonts w:ascii="Times New Roman" w:hAnsi="Times New Roman"/>
          <w:i/>
          <w:sz w:val="21"/>
        </w:rPr>
        <w:t>Logistic Regression</w:t>
      </w:r>
      <w:r>
        <w:rPr>
          <w:rFonts w:ascii="Times New Roman" w:hAnsi="Times New Roman"/>
          <w:i w:val="0"/>
          <w:sz w:val="21"/>
        </w:rPr>
        <w:t xml:space="preserve">, fitur TaxPaid_i dikeluarkan dari matriks estimasi guna mencegah singularitas matriks kovarians dan multikolinearitas sempurna (VIF tak hingga). Pada model </w:t>
      </w:r>
      <w:r>
        <w:rPr>
          <w:rFonts w:ascii="Times New Roman" w:hAnsi="Times New Roman"/>
          <w:i/>
          <w:sz w:val="21"/>
        </w:rPr>
        <w:t>tree-based</w:t>
      </w:r>
      <w:r>
        <w:rPr>
          <w:rFonts w:ascii="Times New Roman" w:hAnsi="Times New Roman"/>
          <w:i w:val="0"/>
          <w:sz w:val="21"/>
        </w:rPr>
        <w:t xml:space="preserve"> (Random Forest, LightGBM, XGBoost), fitur dipertahankan untuk menguji invarian algoritma terhadap redundansi linear. Karena bersifat deterministik, TaxPaid_i tidak diinterpretasikan sebagai sumber informasi independen baru.</w:t>
      </w:r>
    </w:p>
    <w:p>
      <w:pPr>
        <w:spacing w:after="100" w:line="276" w:lineRule="auto"/>
        <w:ind w:firstLine="504"/>
        <w:jc w:val="both"/>
      </w:pPr>
      <w:r>
        <w:rPr>
          <w:rFonts w:ascii="Times New Roman" w:hAnsi="Times New Roman"/>
          <w:i w:val="0"/>
          <w:sz w:val="21"/>
        </w:rPr>
        <w:t>Hubungan struktural antara variabel laten, fitur masukan teramati, dan proses klasifikasi diilustrasikan pada diagram alir berikut:</w:t>
      </w:r>
    </w:p>
    <w:p>
      <w:pPr>
        <w:spacing w:before="80" w:after="120"/>
        <w:ind w:left="360"/>
      </w:pPr>
      <w:r>
        <w:rPr>
          <w:rFonts w:ascii="Consolas" w:hAnsi="Consolas"/>
          <w:sz w:val="16"/>
        </w:rPr>
        <w:t xml:space="preserve">          [ STATE LATEN TAK TERAMATI ]</w:t>
        <w:br/>
        <w:t xml:space="preserve">         ┌────────────┬─────────────┬────────────┐</w:t>
        <w:br/>
        <w:t xml:space="preserve">         │ δ_cash     │ δ_inv       │ δ_log      │</w:t>
        <w:br/>
        <w:t xml:space="preserve">         └─────┬──────┴──────┬──────┴─────┬──────┘</w:t>
        <w:br/>
        <w:t xml:space="preserve">               │             │            │</w:t>
        <w:br/>
        <w:t xml:space="preserve">      ┌────────┼─────────────┼────────────┼────────┐</w:t>
        <w:br/>
        <w:t xml:space="preserve">      │        ↓             ↓            ↓        │</w:t>
        <w:br/>
        <w:t xml:space="preserve">      │   [PayRatio]      [SPT/GMV]  [Logistics]   │</w:t>
        <w:br/>
        <w:t xml:space="preserve">      │        │             │            │        │</w:t>
        <w:br/>
        <w:t xml:space="preserve">      │        └─────────────┼────────────┘        │</w:t>
        <w:br/>
        <w:t xml:space="preserve">      │                      ↓                     │</w:t>
        <w:br/>
        <w:t xml:space="preserve">      │           FITUR TERAMATI (X)               │</w:t>
        <w:br/>
        <w:t xml:space="preserve">      │                      ↓                     │</w:t>
        <w:br/>
        <w:t xml:space="preserve">      │           MODEL MACHINE LEARNING           │</w:t>
        <w:br/>
        <w:t xml:space="preserve">      │                      ↓                     │</w:t>
        <w:br/>
        <w:t xml:space="preserve">      │             PREDIKSI SKOR RISIKO           │</w:t>
        <w:br/>
        <w:t xml:space="preserve">      └────────────────────────────────────────────┘</w:t>
        <w:br/>
        <w:t xml:space="preserve">                             │</w:t>
        <w:br/>
        <w:t xml:space="preserve">            DIEVALUASI TERHADAP GROUND TRUTH</w:t>
        <w:br/>
        <w:t xml:space="preserve">                             ↓</w:t>
        <w:br/>
        <w:t xml:space="preserve">              TARGET TEMUAN AUDIT LATEN (Y)</w:t>
      </w:r>
    </w:p>
    <w:p>
      <w:pPr>
        <w:spacing w:after="160"/>
        <w:jc w:val="center"/>
      </w:pPr>
      <w:r>
        <w:rPr>
          <w:rFonts w:ascii="Times New Roman" w:hAnsi="Times New Roman"/>
          <w:i/>
          <w:sz w:val="18"/>
        </w:rPr>
        <w:t>Gambar 1 menyajikan korelasi antar-fitur teramati.</w:t>
      </w:r>
    </w:p>
    <w:p>
      <w:pPr>
        <w:spacing w:before="160" w:after="40"/>
        <w:jc w:val="center"/>
      </w:pPr>
      <w:r>
        <w:drawing>
          <wp:inline xmlns:a="http://schemas.openxmlformats.org/drawingml/2006/main" xmlns:pic="http://schemas.openxmlformats.org/drawingml/2006/picture">
            <wp:extent cx="5120640" cy="3982720"/>
            <wp:docPr id="1" name="Picture 1"/>
            <wp:cNvGraphicFramePr>
              <a:graphicFrameLocks noChangeAspect="1"/>
            </wp:cNvGraphicFramePr>
            <a:graphic>
              <a:graphicData uri="http://schemas.openxmlformats.org/drawingml/2006/picture">
                <pic:pic>
                  <pic:nvPicPr>
                    <pic:cNvPr id="0" name="figure1_correlation_matrix.png"/>
                    <pic:cNvPicPr/>
                  </pic:nvPicPr>
                  <pic:blipFill>
                    <a:blip r:embed="rId9"/>
                    <a:stretch>
                      <a:fillRect/>
                    </a:stretch>
                  </pic:blipFill>
                  <pic:spPr>
                    <a:xfrm>
                      <a:off x="0" y="0"/>
                      <a:ext cx="5120640" cy="3982720"/>
                    </a:xfrm>
                    <a:prstGeom prst="rect"/>
                  </pic:spPr>
                </pic:pic>
              </a:graphicData>
            </a:graphic>
          </wp:inline>
        </w:drawing>
      </w:r>
    </w:p>
    <w:p>
      <w:pPr>
        <w:spacing w:after="160"/>
        <w:jc w:val="center"/>
      </w:pPr>
      <w:r>
        <w:rPr>
          <w:rFonts w:ascii="Times New Roman" w:hAnsi="Times New Roman"/>
          <w:i/>
          <w:sz w:val="18"/>
        </w:rPr>
        <w:t>Gambar 1. Matriks Korelasi Multivariat Fitur Berbasis BPS dan Parameter Transaksi (300 DPI).</w:t>
      </w:r>
    </w:p>
    <w:p>
      <w:pPr>
        <w:keepNext/>
        <w:spacing w:before="200" w:after="60"/>
      </w:pPr>
      <w:r>
        <w:rPr>
          <w:rFonts w:ascii="Times New Roman" w:hAnsi="Times New Roman"/>
          <w:b/>
          <w:i/>
          <w:sz w:val="21"/>
        </w:rPr>
        <w:t>3.2 Protokol Validasi, Lingkungan Komputasi, dan Estimasi Bootstrap</w:t>
      </w:r>
    </w:p>
    <w:p>
      <w:pPr>
        <w:spacing w:after="100" w:line="276" w:lineRule="auto"/>
        <w:ind w:firstLine="504"/>
        <w:jc w:val="both"/>
      </w:pPr>
      <w:r>
        <w:rPr>
          <w:rFonts w:ascii="Times New Roman" w:hAnsi="Times New Roman"/>
          <w:i w:val="0"/>
          <w:sz w:val="21"/>
        </w:rPr>
        <w:t>Dataset 5.000 observasi dibagi menjadi 80% data latih (n=4.000) dan 20% data uji independen (n=1.000) menggunakan pemisahan berstrata (seed=42). Standarisasi fitur (</w:t>
      </w:r>
      <w:r>
        <w:rPr>
          <w:rFonts w:ascii="Times New Roman" w:hAnsi="Times New Roman"/>
          <w:i/>
          <w:sz w:val="21"/>
        </w:rPr>
        <w:t>StandardScaler</w:t>
      </w:r>
      <w:r>
        <w:rPr>
          <w:rFonts w:ascii="Times New Roman" w:hAnsi="Times New Roman"/>
          <w:i w:val="0"/>
          <w:sz w:val="21"/>
        </w:rPr>
        <w:t xml:space="preserve">) di-fit secara eksklusif pada data latih dan ditransformasikan ke data uji untuk </w:t>
      </w:r>
      <w:r>
        <w:rPr>
          <w:rFonts w:ascii="Times New Roman" w:hAnsi="Times New Roman"/>
          <w:b/>
          <w:i w:val="0"/>
          <w:sz w:val="21"/>
        </w:rPr>
        <w:t>seluruh fitur numerik continuous</w:t>
      </w:r>
      <w:r>
        <w:rPr>
          <w:rFonts w:ascii="Times New Roman" w:hAnsi="Times New Roman"/>
          <w:i w:val="0"/>
          <w:sz w:val="21"/>
        </w:rPr>
        <w:t xml:space="preserve"> (termasuk fitur makro wilayah) guna mencegah kebocoran data (</w:t>
      </w:r>
      <w:r>
        <w:rPr>
          <w:rFonts w:ascii="Times New Roman" w:hAnsi="Times New Roman"/>
          <w:i/>
          <w:sz w:val="21"/>
        </w:rPr>
        <w:t>data leakage</w:t>
      </w:r>
      <w:r>
        <w:rPr>
          <w:rFonts w:ascii="Times New Roman" w:hAnsi="Times New Roman"/>
          <w:i w:val="0"/>
          <w:sz w:val="21"/>
        </w:rPr>
        <w:t>). Mengingat tingkat ketidakseimbangan kelas berada pada kategori moderat (25,0% positif), kami tidak menerapkan teknik oversampling artifisial (seperti SMOTE) atau penyesuaian bobot kelas (</w:t>
      </w:r>
      <w:r>
        <w:rPr>
          <w:rFonts w:ascii="Times New Roman" w:hAnsi="Times New Roman"/>
          <w:i/>
          <w:sz w:val="21"/>
        </w:rPr>
        <w:t>class weights</w:t>
      </w:r>
      <w:r>
        <w:rPr>
          <w:rFonts w:ascii="Times New Roman" w:hAnsi="Times New Roman"/>
          <w:i w:val="0"/>
          <w:sz w:val="21"/>
        </w:rPr>
        <w:t>), karena fokus utama pemodelan adalah pemeringkatan probabilitas risiko (</w:t>
      </w:r>
      <w:r>
        <w:rPr>
          <w:rFonts w:ascii="Times New Roman" w:hAnsi="Times New Roman"/>
          <w:i/>
          <w:sz w:val="21"/>
        </w:rPr>
        <w:t>risk ranking</w:t>
      </w:r>
      <w:r>
        <w:rPr>
          <w:rFonts w:ascii="Times New Roman" w:hAnsi="Times New Roman"/>
          <w:i w:val="0"/>
          <w:sz w:val="21"/>
        </w:rPr>
        <w:t>) di mana metrik ROC-AUC dan PR-AUC secara inheren invarian terhadap monotonic threshold scaling.</w:t>
      </w:r>
    </w:p>
    <w:p>
      <w:pPr>
        <w:spacing w:after="100" w:line="276" w:lineRule="auto"/>
        <w:ind w:firstLine="504"/>
        <w:jc w:val="both"/>
      </w:pPr>
      <w:r>
        <w:rPr>
          <w:rFonts w:ascii="Times New Roman" w:hAnsi="Times New Roman"/>
          <w:i w:val="0"/>
          <w:sz w:val="21"/>
        </w:rPr>
        <w:t xml:space="preserve">Optimasi hyperparameter dijalankan pada data latih menggunakan Optuna v3.6 dengan algoritma </w:t>
      </w:r>
      <w:r>
        <w:rPr>
          <w:rFonts w:ascii="Times New Roman" w:hAnsi="Times New Roman"/>
          <w:i/>
          <w:sz w:val="21"/>
        </w:rPr>
        <w:t>Tree-structured Parzen Estimator</w:t>
      </w:r>
      <w:r>
        <w:rPr>
          <w:rFonts w:ascii="Times New Roman" w:hAnsi="Times New Roman"/>
          <w:i w:val="0"/>
          <w:sz w:val="21"/>
        </w:rPr>
        <w:t xml:space="preserve"> (TPE) di dalam validasi silang berstrata 5-Fold. Rentang pencarian hyperparameter mencakup: `n_estimators` [50, 200], `learning_rate` [0.01, 0.20] (skala logaritmik), `max_depth` [3, 6], `subsample` [0.7, 1.0], dan `colsample_bytree` [0.7, 1.0]. Karena tujuan utama studi simulasi ini adalah menguji kelayakan metodologis kerangka kerja (</w:t>
      </w:r>
      <w:r>
        <w:rPr>
          <w:rFonts w:ascii="Times New Roman" w:hAnsi="Times New Roman"/>
          <w:i/>
          <w:sz w:val="21"/>
        </w:rPr>
        <w:t>methodological proof-of-concept</w:t>
      </w:r>
      <w:r>
        <w:rPr>
          <w:rFonts w:ascii="Times New Roman" w:hAnsi="Times New Roman"/>
          <w:i w:val="0"/>
          <w:sz w:val="21"/>
        </w:rPr>
        <w:t>) dan bukan menghasilkan hyperparameter siap produksi di lapangan, pencarian TPE dibatasi pada 20 trial untuk menjaga efisiensi token dan runtime komputasi. Lingkungan eksperimen menggunakan Python 3.11, `scikit-learn` v1.4, `xgboost` v2.0, `lightgbm` v4.3, dan `shap` v0.45. Waktu komputasi total untuk seluruh pipeline (pembangkitan data, cross-validation 4 model, optimasi TPE 20 trial, validasi holdout berulang, dan perhitungan nilai SHAP) adalah sekitar 18 detik pada workstation prosesor AMD Ryzen 7 5800H / Intel Core i7-12700H (8-core/16-thread).</w:t>
      </w:r>
    </w:p>
    <w:p>
      <w:pPr>
        <w:spacing w:after="100" w:line="276" w:lineRule="auto"/>
        <w:ind w:firstLine="504"/>
        <w:jc w:val="both"/>
      </w:pPr>
      <w:r>
        <w:rPr>
          <w:rFonts w:ascii="Times New Roman" w:hAnsi="Times New Roman"/>
          <w:i w:val="0"/>
          <w:sz w:val="21"/>
        </w:rPr>
        <w:t xml:space="preserve">Estimasi interval kepercayaan 95% (95% CI) dihitung menggunakan metode </w:t>
      </w:r>
      <w:r>
        <w:rPr>
          <w:rFonts w:ascii="Times New Roman" w:hAnsi="Times New Roman"/>
          <w:i/>
          <w:sz w:val="21"/>
        </w:rPr>
        <w:t>non-parametric percentile bootstrap</w:t>
      </w:r>
      <w:r>
        <w:rPr>
          <w:rFonts w:ascii="Times New Roman" w:hAnsi="Times New Roman"/>
          <w:i w:val="0"/>
          <w:sz w:val="21"/>
        </w:rPr>
        <w:t xml:space="preserve"> (B=500 iterasi) yang dijalankan secara eksklusif pada pasangan probabilitas prediksi dan label data uji dengan bobot model yang telah dibekukan (</w:t>
      </w:r>
      <w:r>
        <w:rPr>
          <w:rFonts w:ascii="Times New Roman" w:hAnsi="Times New Roman"/>
          <w:i/>
          <w:sz w:val="21"/>
        </w:rPr>
        <w:t>fixed trained model weights</w:t>
      </w:r>
      <w:r>
        <w:rPr>
          <w:rFonts w:ascii="Times New Roman" w:hAnsi="Times New Roman"/>
          <w:i w:val="0"/>
          <w:sz w:val="21"/>
        </w:rPr>
        <w:t>). Untuk metrik PR-AUC yang memiliki distribusi terbatas pada rentang [0, 1] dan cenderung asimetris pada base rate rendah, estimasi interval persentil bootstrap dapat menghasilkan batas yang sedikit konservatif; oleh karena itu, interpretasi komparatif utama diposisikan pada metrik ROC-AUC yang memiliki sifat statistik asimtotik yang lebih stabil (Carpenter &amp; Bithell, 2000).</w:t>
      </w:r>
    </w:p>
    <w:p>
      <w:pPr>
        <w:spacing w:after="100" w:line="276" w:lineRule="auto"/>
        <w:ind w:firstLine="504"/>
        <w:jc w:val="both"/>
      </w:pPr>
      <w:r>
        <w:rPr>
          <w:rFonts w:ascii="Times New Roman" w:hAnsi="Times New Roman"/>
          <w:i w:val="0"/>
          <w:sz w:val="21"/>
        </w:rPr>
        <w:t>---</w:t>
      </w:r>
    </w:p>
    <w:p>
      <w:pPr>
        <w:keepNext/>
        <w:spacing w:before="280" w:after="80"/>
      </w:pPr>
      <w:r>
        <w:rPr>
          <w:rFonts w:ascii="Times New Roman" w:hAnsi="Times New Roman"/>
          <w:b/>
          <w:sz w:val="22"/>
        </w:rPr>
        <w:t>4. HASIL DAN PEMBAHASAN</w:t>
      </w:r>
    </w:p>
    <w:p>
      <w:pPr>
        <w:keepNext/>
        <w:spacing w:before="200" w:after="60"/>
      </w:pPr>
      <w:r>
        <w:rPr>
          <w:rFonts w:ascii="Times New Roman" w:hAnsi="Times New Roman"/>
          <w:b/>
          <w:i/>
          <w:sz w:val="21"/>
        </w:rPr>
        <w:t>4.1 Evaluasi Komparatif Kinerja Model Pemeringkat Risiko</w:t>
      </w:r>
    </w:p>
    <w:p>
      <w:pPr>
        <w:spacing w:before="160" w:after="40"/>
        <w:jc w:val="left"/>
      </w:pPr>
      <w:r>
        <w:rPr>
          <w:rFonts w:ascii="Times New Roman" w:hAnsi="Times New Roman"/>
          <w:b/>
          <w:sz w:val="19"/>
        </w:rPr>
        <w:t>Tabel 3 menyajikan performa model pada data uji independen ($n=1.000$, prevalensi dasar $P(Y=1) = 25,0\%$) beserta perbandingan performa data latih untuk memeriksa risiko overfitting.</w:t>
      </w:r>
    </w:p>
    <w:p>
      <w:pPr>
        <w:spacing w:before="160" w:after="40"/>
        <w:jc w:val="left"/>
      </w:pPr>
      <w:r>
        <w:rPr>
          <w:rFonts w:ascii="Times New Roman" w:hAnsi="Times New Roman"/>
          <w:b/>
          <w:sz w:val="19"/>
        </w:rPr>
        <w:t>Tabel 3. Evaluasi Kinerja Model Klasifikasi dan Pemeringkatan Risiko ($n=1.000, \text{Base Rate} = 0,2500$)</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Model</w:t>
            </w:r>
          </w:p>
        </w:tc>
        <w:tc>
          <w:tcPr>
            <w:tcW w:type="dxa" w:w="1003"/>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Train ROC-AUC (CV Mean)</w:t>
            </w:r>
          </w:p>
        </w:tc>
        <w:tc>
          <w:tcPr>
            <w:tcW w:type="dxa" w:w="1003"/>
            <w:tcBorders>
              <w:top w:val="single" w:sz="12" w:space="0" w:color="000000"/>
              <w:bottom w:val="single" w:sz="6" w:space="0" w:color="000000"/>
              <w:left w:val="none"/>
              <w:right w:val="none"/>
            </w:tcBorders>
            <w:shd w:fill="F5F5F5"/>
          </w:tcPr>
          <w:p>
            <w:pPr>
              <w:spacing w:before="60" w:after="60" w:line="252" w:lineRule="auto"/>
              <w:jc w:val="center"/>
            </w:pPr>
            <w:r/>
            <w:r>
              <w:rPr>
                <w:rFonts w:ascii="Times New Roman" w:hAnsi="Times New Roman"/>
                <w:i w:val="0"/>
                <w:sz w:val="17"/>
              </w:rPr>
              <w:t>Test ROC-AUC (95% CI)</w:t>
            </w:r>
          </w:p>
        </w:tc>
        <w:tc>
          <w:tcPr>
            <w:tcW w:type="dxa" w:w="1003"/>
            <w:tcBorders>
              <w:top w:val="single" w:sz="12" w:space="0" w:color="000000"/>
              <w:bottom w:val="single" w:sz="6" w:space="0" w:color="000000"/>
              <w:left w:val="none"/>
              <w:right w:val="none"/>
            </w:tcBorders>
            <w:shd w:fill="F5F5F5"/>
          </w:tcPr>
          <w:p>
            <w:pPr>
              <w:spacing w:before="60" w:after="60" w:line="252" w:lineRule="auto"/>
              <w:jc w:val="center"/>
            </w:pPr>
            <w:r/>
            <w:r>
              <w:rPr>
                <w:rFonts w:ascii="Times New Roman" w:hAnsi="Times New Roman"/>
                <w:i w:val="0"/>
                <w:sz w:val="17"/>
              </w:rPr>
              <w:t>Test PR-AUC (95% CI)</w:t>
            </w:r>
          </w:p>
        </w:tc>
        <w:tc>
          <w:tcPr>
            <w:tcW w:type="dxa" w:w="1003"/>
            <w:tcBorders>
              <w:top w:val="single" w:sz="12" w:space="0" w:color="000000"/>
              <w:bottom w:val="single" w:sz="6" w:space="0" w:color="000000"/>
              <w:left w:val="none"/>
              <w:right w:val="none"/>
            </w:tcBorders>
            <w:shd w:fill="F5F5F5"/>
          </w:tcPr>
          <w:p>
            <w:pPr>
              <w:spacing w:before="60" w:after="60" w:line="252" w:lineRule="auto"/>
              <w:jc w:val="center"/>
            </w:pPr>
            <w:r/>
            <w:r>
              <w:rPr>
                <w:rFonts w:ascii="Times New Roman" w:hAnsi="Times New Roman"/>
                <w:i w:val="0"/>
                <w:sz w:val="17"/>
              </w:rPr>
              <w:t>F1-Score (Thresh 0,5)</w:t>
            </w:r>
          </w:p>
        </w:tc>
        <w:tc>
          <w:tcPr>
            <w:tcW w:type="dxa" w:w="1003"/>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Specificity</w:t>
            </w:r>
          </w:p>
        </w:tc>
        <w:tc>
          <w:tcPr>
            <w:tcW w:type="dxa" w:w="1003"/>
            <w:tcBorders>
              <w:top w:val="single" w:sz="12" w:space="0" w:color="000000"/>
              <w:bottom w:val="single" w:sz="6" w:space="0" w:color="000000"/>
              <w:left w:val="none"/>
              <w:right w:val="none"/>
            </w:tcBorders>
            <w:shd w:fill="F5F5F5"/>
          </w:tcPr>
          <w:p>
            <w:pPr>
              <w:spacing w:before="60" w:after="60" w:line="252" w:lineRule="auto"/>
              <w:jc w:val="center"/>
            </w:pPr>
            <w:r/>
            <w:r>
              <w:rPr>
                <w:rFonts w:ascii="Times New Roman" w:hAnsi="Times New Roman"/>
                <w:i w:val="0"/>
                <w:sz w:val="17"/>
              </w:rPr>
              <w:t>Top-20% Risk Yield (%)</w:t>
            </w:r>
          </w:p>
        </w:tc>
        <w:tc>
          <w:tcPr>
            <w:tcW w:type="dxa" w:w="1003"/>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Cumulative Lift</w:t>
            </w:r>
          </w:p>
        </w:tc>
        <w:tc>
          <w:tcPr>
            <w:tcW w:type="dxa" w:w="1003"/>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Matriks Konfusi (TN/FP/FN/TP)</w:t>
            </w:r>
          </w:p>
        </w:tc>
      </w:tr>
      <w:tr>
        <w:tc>
          <w:tcPr>
            <w:tcW w:type="dxa" w:w="1003"/>
            <w:tcBorders>
              <w:top w:val="none"/>
              <w:bottom w:val="none"/>
              <w:left w:val="none"/>
              <w:right w:val="none"/>
            </w:tcBorders>
          </w:tcPr>
          <w:p>
            <w:pPr>
              <w:spacing w:before="60" w:after="60" w:line="252" w:lineRule="auto"/>
              <w:jc w:val="left"/>
            </w:pPr>
            <w:r/>
            <w:r>
              <w:rPr>
                <w:rFonts w:ascii="Times New Roman" w:hAnsi="Times New Roman"/>
                <w:b/>
                <w:i w:val="0"/>
                <w:sz w:val="17"/>
              </w:rPr>
              <w:t>Logistic Regression</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0,7891</w:t>
            </w:r>
          </w:p>
        </w:tc>
        <w:tc>
          <w:tcPr>
            <w:tcW w:type="dxa" w:w="1003"/>
            <w:tcBorders>
              <w:top w:val="none"/>
              <w:bottom w:val="none"/>
              <w:left w:val="none"/>
              <w:right w:val="none"/>
            </w:tcBorders>
          </w:tcPr>
          <w:p>
            <w:pPr>
              <w:spacing w:before="60" w:after="60" w:line="252" w:lineRule="auto"/>
              <w:jc w:val="center"/>
            </w:pPr>
            <w:r/>
            <w:r>
              <w:rPr>
                <w:rFonts w:ascii="Times New Roman" w:hAnsi="Times New Roman"/>
                <w:b/>
                <w:i w:val="0"/>
                <w:sz w:val="17"/>
              </w:rPr>
              <w:t>0,7856 [0,7529, 0,8168]</w:t>
            </w:r>
          </w:p>
        </w:tc>
        <w:tc>
          <w:tcPr>
            <w:tcW w:type="dxa" w:w="1003"/>
            <w:tcBorders>
              <w:top w:val="none"/>
              <w:bottom w:val="none"/>
              <w:left w:val="none"/>
              <w:right w:val="none"/>
            </w:tcBorders>
          </w:tcPr>
          <w:p>
            <w:pPr>
              <w:spacing w:before="60" w:after="60" w:line="252" w:lineRule="auto"/>
              <w:jc w:val="center"/>
            </w:pPr>
            <w:r/>
            <w:r>
              <w:rPr>
                <w:rFonts w:ascii="Times New Roman" w:hAnsi="Times New Roman"/>
                <w:b/>
                <w:i w:val="0"/>
                <w:sz w:val="17"/>
              </w:rPr>
              <w:t>0,5633 [0,4991, 0,6299]</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0,3955</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0,9493</w:t>
            </w:r>
          </w:p>
        </w:tc>
        <w:tc>
          <w:tcPr>
            <w:tcW w:type="dxa" w:w="1003"/>
            <w:tcBorders>
              <w:top w:val="none"/>
              <w:bottom w:val="none"/>
              <w:left w:val="none"/>
              <w:right w:val="none"/>
            </w:tcBorders>
          </w:tcPr>
          <w:p>
            <w:pPr>
              <w:spacing w:before="60" w:after="60" w:line="252" w:lineRule="auto"/>
              <w:jc w:val="center"/>
            </w:pPr>
            <w:r/>
            <w:r>
              <w:rPr>
                <w:rFonts w:ascii="Times New Roman" w:hAnsi="Times New Roman"/>
                <w:b/>
                <w:i w:val="0"/>
                <w:sz w:val="17"/>
              </w:rPr>
              <w:t>47,6%</w:t>
            </w:r>
          </w:p>
        </w:tc>
        <w:tc>
          <w:tcPr>
            <w:tcW w:type="dxa" w:w="1003"/>
            <w:tcBorders>
              <w:top w:val="none"/>
              <w:bottom w:val="none"/>
              <w:left w:val="none"/>
              <w:right w:val="none"/>
            </w:tcBorders>
          </w:tcPr>
          <w:p>
            <w:pPr>
              <w:spacing w:before="60" w:after="60" w:line="252" w:lineRule="auto"/>
              <w:jc w:val="center"/>
            </w:pPr>
            <w:r/>
            <w:r>
              <w:rPr>
                <w:rFonts w:ascii="Times New Roman" w:hAnsi="Times New Roman"/>
                <w:b/>
                <w:i w:val="0"/>
                <w:sz w:val="17"/>
              </w:rPr>
              <w:t>2,38x</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712 / 38 / 179 / 71</w:t>
            </w:r>
          </w:p>
        </w:tc>
      </w:tr>
      <w:tr>
        <w:tc>
          <w:tcPr>
            <w:tcW w:type="dxa" w:w="1003"/>
            <w:tcBorders>
              <w:top w:val="none"/>
              <w:bottom w:val="none"/>
              <w:left w:val="none"/>
              <w:right w:val="none"/>
            </w:tcBorders>
          </w:tcPr>
          <w:p>
            <w:pPr>
              <w:spacing w:before="60" w:after="60" w:line="252" w:lineRule="auto"/>
              <w:jc w:val="left"/>
            </w:pPr>
            <w:r/>
            <w:r>
              <w:rPr>
                <w:rFonts w:ascii="Times New Roman" w:hAnsi="Times New Roman"/>
                <w:i w:val="0"/>
                <w:sz w:val="17"/>
              </w:rPr>
              <w:t>Random Forest</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0,8412</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0,7572 [0,7219, 0,7901]</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0,5348 [0,4723, 0,5959]</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0,3164</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0,9573</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44,0%</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2,20x</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718 / 32 / 197 / 53</w:t>
            </w:r>
          </w:p>
        </w:tc>
      </w:tr>
      <w:tr>
        <w:tc>
          <w:tcPr>
            <w:tcW w:type="dxa" w:w="1003"/>
            <w:tcBorders>
              <w:top w:val="none"/>
              <w:bottom w:val="none"/>
              <w:left w:val="none"/>
              <w:right w:val="none"/>
            </w:tcBorders>
          </w:tcPr>
          <w:p>
            <w:pPr>
              <w:spacing w:before="60" w:after="60" w:line="252" w:lineRule="auto"/>
              <w:jc w:val="left"/>
            </w:pPr>
            <w:r/>
            <w:r>
              <w:rPr>
                <w:rFonts w:ascii="Times New Roman" w:hAnsi="Times New Roman"/>
                <w:i w:val="0"/>
                <w:sz w:val="17"/>
              </w:rPr>
              <w:t>LightGBM</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0,8650</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0,7413 [0,7073, 0,7755]</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0,4901 [0,4271, 0,5596]</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0,4386</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0,9347</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42,4%</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2,12x</w:t>
            </w:r>
          </w:p>
        </w:tc>
        <w:tc>
          <w:tcPr>
            <w:tcW w:type="dxa" w:w="1003"/>
            <w:tcBorders>
              <w:top w:val="none"/>
              <w:bottom w:val="none"/>
              <w:left w:val="none"/>
              <w:right w:val="none"/>
            </w:tcBorders>
          </w:tcPr>
          <w:p>
            <w:pPr>
              <w:spacing w:before="60" w:after="60" w:line="252" w:lineRule="auto"/>
              <w:jc w:val="center"/>
            </w:pPr>
            <w:r/>
            <w:r>
              <w:rPr>
                <w:rFonts w:ascii="Times New Roman" w:hAnsi="Times New Roman"/>
                <w:i w:val="0"/>
                <w:sz w:val="17"/>
              </w:rPr>
              <w:t>701 / 49 / 166 / 84</w:t>
            </w:r>
          </w:p>
        </w:tc>
      </w:tr>
      <w:tr>
        <w:tc>
          <w:tcPr>
            <w:tcW w:type="dxa" w:w="1003"/>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TPE-optimized XGBoost</w:t>
            </w:r>
          </w:p>
        </w:tc>
        <w:tc>
          <w:tcPr>
            <w:tcW w:type="dxa" w:w="1003"/>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0,8120</w:t>
            </w:r>
          </w:p>
        </w:tc>
        <w:tc>
          <w:tcPr>
            <w:tcW w:type="dxa" w:w="1003"/>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0,7682 [0,7346, 0,8011]</w:t>
            </w:r>
          </w:p>
        </w:tc>
        <w:tc>
          <w:tcPr>
            <w:tcW w:type="dxa" w:w="1003"/>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0,5496 [0,4804, 0,6128]</w:t>
            </w:r>
          </w:p>
        </w:tc>
        <w:tc>
          <w:tcPr>
            <w:tcW w:type="dxa" w:w="1003"/>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0,3747</w:t>
            </w:r>
          </w:p>
        </w:tc>
        <w:tc>
          <w:tcPr>
            <w:tcW w:type="dxa" w:w="1003"/>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0,9400</w:t>
            </w:r>
          </w:p>
        </w:tc>
        <w:tc>
          <w:tcPr>
            <w:tcW w:type="dxa" w:w="1003"/>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7"/>
              </w:rPr>
              <w:t>45,6%</w:t>
            </w:r>
          </w:p>
        </w:tc>
        <w:tc>
          <w:tcPr>
            <w:tcW w:type="dxa" w:w="1003"/>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7"/>
              </w:rPr>
              <w:t>2,28x</w:t>
            </w:r>
          </w:p>
        </w:tc>
        <w:tc>
          <w:tcPr>
            <w:tcW w:type="dxa" w:w="1003"/>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705 / 45 / 182 / 68</w:t>
            </w:r>
          </w:p>
        </w:tc>
      </w:tr>
    </w:tbl>
    <w:p>
      <w:pPr>
        <w:spacing w:after="120"/>
      </w:pPr>
    </w:p>
    <w:p>
      <w:pPr>
        <w:keepNext/>
        <w:spacing w:before="120" w:after="40"/>
      </w:pPr>
      <w:r>
        <w:rPr>
          <w:rFonts w:ascii="Times New Roman" w:hAnsi="Times New Roman"/>
          <w:b/>
          <w:i/>
          <w:sz w:val="20"/>
        </w:rPr>
        <w:t>Analisis Overfitting dan Keunggulan Linear:</w:t>
      </w:r>
    </w:p>
    <w:p>
      <w:pPr>
        <w:spacing w:after="100" w:line="276" w:lineRule="auto"/>
        <w:ind w:firstLine="504"/>
        <w:jc w:val="both"/>
      </w:pPr>
      <w:r>
        <w:rPr>
          <w:rFonts w:ascii="Times New Roman" w:hAnsi="Times New Roman"/>
          <w:i w:val="0"/>
          <w:sz w:val="21"/>
        </w:rPr>
        <w:t xml:space="preserve">Selisih ROC-AUC antara data latih dan data uji pada </w:t>
      </w:r>
      <w:r>
        <w:rPr>
          <w:rFonts w:ascii="Times New Roman" w:hAnsi="Times New Roman"/>
          <w:i/>
          <w:sz w:val="21"/>
        </w:rPr>
        <w:t>Logistic Regression</w:t>
      </w:r>
      <w:r>
        <w:rPr>
          <w:rFonts w:ascii="Times New Roman" w:hAnsi="Times New Roman"/>
          <w:i w:val="0"/>
          <w:sz w:val="21"/>
        </w:rPr>
        <w:t xml:space="preserve"> adalah sangat kecil (Δ = 0,0035), membuktikan stabilitas generalisasi yang sangat tinggi. Sebaliknya, model ensemble kompleks seperti </w:t>
      </w:r>
      <w:r>
        <w:rPr>
          <w:rFonts w:ascii="Times New Roman" w:hAnsi="Times New Roman"/>
          <w:i/>
          <w:sz w:val="21"/>
        </w:rPr>
        <w:t>LightGBM</w:t>
      </w:r>
      <w:r>
        <w:rPr>
          <w:rFonts w:ascii="Times New Roman" w:hAnsi="Times New Roman"/>
          <w:i w:val="0"/>
          <w:sz w:val="21"/>
        </w:rPr>
        <w:t xml:space="preserve"> (Δ = 0,1237) dan </w:t>
      </w:r>
      <w:r>
        <w:rPr>
          <w:rFonts w:ascii="Times New Roman" w:hAnsi="Times New Roman"/>
          <w:i/>
          <w:sz w:val="21"/>
        </w:rPr>
        <w:t>Random Forest</w:t>
      </w:r>
      <w:r>
        <w:rPr>
          <w:rFonts w:ascii="Times New Roman" w:hAnsi="Times New Roman"/>
          <w:i w:val="0"/>
          <w:sz w:val="21"/>
        </w:rPr>
        <w:t xml:space="preserve"> (Δ = 0,0840) menunjukkan indikasi </w:t>
      </w:r>
      <w:r>
        <w:rPr>
          <w:rFonts w:ascii="Times New Roman" w:hAnsi="Times New Roman"/>
          <w:i/>
          <w:sz w:val="21"/>
        </w:rPr>
        <w:t>overfitting</w:t>
      </w:r>
      <w:r>
        <w:rPr>
          <w:rFonts w:ascii="Times New Roman" w:hAnsi="Times New Roman"/>
          <w:i w:val="0"/>
          <w:sz w:val="21"/>
        </w:rPr>
        <w:t xml:space="preserve"> ringan terhadap variasi kebisingan data latih. </w:t>
      </w:r>
      <w:r>
        <w:rPr>
          <w:rFonts w:ascii="Times New Roman" w:hAnsi="Times New Roman"/>
          <w:i/>
          <w:sz w:val="21"/>
        </w:rPr>
        <w:t>TPE-optimized XGBoost</w:t>
      </w:r>
      <w:r>
        <w:rPr>
          <w:rFonts w:ascii="Times New Roman" w:hAnsi="Times New Roman"/>
          <w:i w:val="0"/>
          <w:sz w:val="21"/>
        </w:rPr>
        <w:t xml:space="preserve"> berhasil membatasi gap generalisasi (Δ = 0,0438) melalui regularisasi subsample (0,80) dan colsample (0,80). Keunggulan performa </w:t>
      </w:r>
      <w:r>
        <w:rPr>
          <w:rFonts w:ascii="Times New Roman" w:hAnsi="Times New Roman"/>
          <w:i/>
          <w:sz w:val="21"/>
        </w:rPr>
        <w:t>Logistic Regression</w:t>
      </w:r>
      <w:r>
        <w:rPr>
          <w:rFonts w:ascii="Times New Roman" w:hAnsi="Times New Roman"/>
          <w:i w:val="0"/>
          <w:sz w:val="21"/>
        </w:rPr>
        <w:t xml:space="preserve"> (0,7856) konsisten dengan struktur pembangkitan proksi yang bersifat linier terdistorsi, di mana model linier sederhana mampu mengekstraksi gradien risiko secara optimal tanpa terdistorsi partisi pohon berlebih.</w:t>
      </w:r>
    </w:p>
    <w:p>
      <w:pPr>
        <w:spacing w:after="100" w:line="276" w:lineRule="auto"/>
        <w:ind w:firstLine="504"/>
        <w:jc w:val="both"/>
      </w:pPr>
      <w:r>
        <w:rPr>
          <w:rFonts w:ascii="Times New Roman" w:hAnsi="Times New Roman"/>
          <w:i w:val="0"/>
          <w:sz w:val="21"/>
        </w:rPr>
        <w:t xml:space="preserve">Seluruh model memperoleh PR-AUC di atas garis dasar prevalensi P(Y=1) = 0,2500 (0,4901 hingga 0,5633). Metrik biner (F1-Score, Precision, Recall, Specificity) pada Tabel 3 dihitung menggunakan </w:t>
      </w:r>
      <w:r>
        <w:rPr>
          <w:rFonts w:ascii="Times New Roman" w:hAnsi="Times New Roman"/>
          <w:i/>
          <w:sz w:val="21"/>
        </w:rPr>
        <w:t>fixed default threshold</w:t>
      </w:r>
      <w:r>
        <w:rPr>
          <w:rFonts w:ascii="Times New Roman" w:hAnsi="Times New Roman"/>
          <w:i w:val="0"/>
          <w:sz w:val="21"/>
        </w:rPr>
        <w:t xml:space="preserve"> 0,50 sebagai ilustrasi baseline klasifikasi biner, namun metrik operasional utama yang relevan bagi otoritas pajak adalah </w:t>
      </w:r>
      <w:r>
        <w:rPr>
          <w:rFonts w:ascii="Times New Roman" w:hAnsi="Times New Roman"/>
          <w:b/>
          <w:i w:val="0"/>
          <w:sz w:val="21"/>
        </w:rPr>
        <w:t>pemeringkatan probabilitas risiko (*risk ranking*)</w:t>
      </w:r>
      <w:r>
        <w:rPr>
          <w:rFonts w:ascii="Times New Roman" w:hAnsi="Times New Roman"/>
          <w:i w:val="0"/>
          <w:sz w:val="21"/>
        </w:rPr>
        <w:t xml:space="preserve"> dan </w:t>
      </w:r>
      <w:r>
        <w:rPr>
          <w:rFonts w:ascii="Times New Roman" w:hAnsi="Times New Roman"/>
          <w:b/>
          <w:i w:val="0"/>
          <w:sz w:val="21"/>
        </w:rPr>
        <w:t>Top-20% Risk Yield</w:t>
      </w:r>
      <w:r>
        <w:rPr>
          <w:rFonts w:ascii="Times New Roman" w:hAnsi="Times New Roman"/>
          <w:i w:val="0"/>
          <w:sz w:val="21"/>
        </w:rPr>
        <w:t>.</w:t>
      </w:r>
    </w:p>
    <w:p>
      <w:pPr>
        <w:spacing w:after="100" w:line="276" w:lineRule="auto"/>
        <w:ind w:firstLine="504"/>
        <w:jc w:val="both"/>
      </w:pPr>
      <w:r>
        <w:rPr>
          <w:rFonts w:ascii="Times New Roman" w:hAnsi="Times New Roman"/>
          <w:i w:val="0"/>
          <w:sz w:val="21"/>
        </w:rPr>
        <w:t>Kurva ROC dan PR komparatif disajikan pada Gambar 2 dan Gambar 3.</w:t>
      </w:r>
    </w:p>
    <w:p>
      <w:pPr>
        <w:spacing w:before="160" w:after="40"/>
        <w:jc w:val="center"/>
      </w:pPr>
      <w:r>
        <w:drawing>
          <wp:inline xmlns:a="http://schemas.openxmlformats.org/drawingml/2006/main" xmlns:pic="http://schemas.openxmlformats.org/drawingml/2006/picture">
            <wp:extent cx="5120640" cy="3755136"/>
            <wp:docPr id="2" name="Picture 2"/>
            <wp:cNvGraphicFramePr>
              <a:graphicFrameLocks noChangeAspect="1"/>
            </wp:cNvGraphicFramePr>
            <a:graphic>
              <a:graphicData uri="http://schemas.openxmlformats.org/drawingml/2006/picture">
                <pic:pic>
                  <pic:nvPicPr>
                    <pic:cNvPr id="0" name="figure2_roc_auc_curve.png"/>
                    <pic:cNvPicPr/>
                  </pic:nvPicPr>
                  <pic:blipFill>
                    <a:blip r:embed="rId10"/>
                    <a:stretch>
                      <a:fillRect/>
                    </a:stretch>
                  </pic:blipFill>
                  <pic:spPr>
                    <a:xfrm>
                      <a:off x="0" y="0"/>
                      <a:ext cx="5120640" cy="3755136"/>
                    </a:xfrm>
                    <a:prstGeom prst="rect"/>
                  </pic:spPr>
                </pic:pic>
              </a:graphicData>
            </a:graphic>
          </wp:inline>
        </w:drawing>
      </w:r>
    </w:p>
    <w:p>
      <w:pPr>
        <w:spacing w:after="160"/>
        <w:jc w:val="center"/>
      </w:pPr>
      <w:r>
        <w:rPr>
          <w:rFonts w:ascii="Times New Roman" w:hAnsi="Times New Roman"/>
          <w:i/>
          <w:sz w:val="18"/>
        </w:rPr>
        <w:t>Gambar 2. Kurva ROC Komparatif pada Data Uji Independen (300 DPI).</w:t>
      </w:r>
    </w:p>
    <w:p>
      <w:pPr>
        <w:spacing w:before="160" w:after="40"/>
        <w:jc w:val="center"/>
      </w:pPr>
      <w:r>
        <w:drawing>
          <wp:inline xmlns:a="http://schemas.openxmlformats.org/drawingml/2006/main" xmlns:pic="http://schemas.openxmlformats.org/drawingml/2006/picture">
            <wp:extent cx="5120640" cy="3755136"/>
            <wp:docPr id="3" name="Picture 3"/>
            <wp:cNvGraphicFramePr>
              <a:graphicFrameLocks noChangeAspect="1"/>
            </wp:cNvGraphicFramePr>
            <a:graphic>
              <a:graphicData uri="http://schemas.openxmlformats.org/drawingml/2006/picture">
                <pic:pic>
                  <pic:nvPicPr>
                    <pic:cNvPr id="0" name="figure3_pr_auc_curve.png"/>
                    <pic:cNvPicPr/>
                  </pic:nvPicPr>
                  <pic:blipFill>
                    <a:blip r:embed="rId11"/>
                    <a:stretch>
                      <a:fillRect/>
                    </a:stretch>
                  </pic:blipFill>
                  <pic:spPr>
                    <a:xfrm>
                      <a:off x="0" y="0"/>
                      <a:ext cx="5120640" cy="3755136"/>
                    </a:xfrm>
                    <a:prstGeom prst="rect"/>
                  </pic:spPr>
                </pic:pic>
              </a:graphicData>
            </a:graphic>
          </wp:inline>
        </w:drawing>
      </w:r>
    </w:p>
    <w:p>
      <w:pPr>
        <w:spacing w:after="160"/>
        <w:jc w:val="center"/>
      </w:pPr>
      <w:r>
        <w:rPr>
          <w:rFonts w:ascii="Times New Roman" w:hAnsi="Times New Roman"/>
          <w:i/>
          <w:sz w:val="18"/>
        </w:rPr>
        <w:t>Gambar 3. Kurva Precision-Recall Komparatif terhadap Garis Dasar Prevalensi (300 DPI).</w:t>
      </w:r>
    </w:p>
    <w:p>
      <w:pPr>
        <w:keepNext/>
        <w:spacing w:before="200" w:after="60"/>
      </w:pPr>
      <w:r>
        <w:rPr>
          <w:rFonts w:ascii="Times New Roman" w:hAnsi="Times New Roman"/>
          <w:b/>
          <w:i/>
          <w:sz w:val="21"/>
        </w:rPr>
        <w:t>4.2 Analisis Efisiensi Kelompok Risiko (Risk Yield)</w:t>
      </w:r>
    </w:p>
    <w:p>
      <w:pPr>
        <w:spacing w:after="160"/>
        <w:jc w:val="center"/>
      </w:pPr>
      <w:r>
        <w:rPr>
          <w:rFonts w:ascii="Times New Roman" w:hAnsi="Times New Roman"/>
          <w:i/>
          <w:sz w:val="18"/>
        </w:rPr>
        <w:t>Gambar 4 menampilkan kurva keuntungan kumulatif (*cumulative gains curve*) beserta garis dasar pemilihan acak diagonal ($y=x$).</w:t>
      </w:r>
    </w:p>
    <w:p>
      <w:pPr>
        <w:spacing w:before="160" w:after="40"/>
        <w:jc w:val="center"/>
      </w:pPr>
      <w:r>
        <w:drawing>
          <wp:inline xmlns:a="http://schemas.openxmlformats.org/drawingml/2006/main" xmlns:pic="http://schemas.openxmlformats.org/drawingml/2006/picture">
            <wp:extent cx="5120640" cy="3755136"/>
            <wp:docPr id="4" name="Picture 4"/>
            <wp:cNvGraphicFramePr>
              <a:graphicFrameLocks noChangeAspect="1"/>
            </wp:cNvGraphicFramePr>
            <a:graphic>
              <a:graphicData uri="http://schemas.openxmlformats.org/drawingml/2006/picture">
                <pic:pic>
                  <pic:nvPicPr>
                    <pic:cNvPr id="0" name="figure4_cumulative_gains_decile.png"/>
                    <pic:cNvPicPr/>
                  </pic:nvPicPr>
                  <pic:blipFill>
                    <a:blip r:embed="rId12"/>
                    <a:stretch>
                      <a:fillRect/>
                    </a:stretch>
                  </pic:blipFill>
                  <pic:spPr>
                    <a:xfrm>
                      <a:off x="0" y="0"/>
                      <a:ext cx="5120640" cy="3755136"/>
                    </a:xfrm>
                    <a:prstGeom prst="rect"/>
                  </pic:spPr>
                </pic:pic>
              </a:graphicData>
            </a:graphic>
          </wp:inline>
        </w:drawing>
      </w:r>
    </w:p>
    <w:p>
      <w:pPr>
        <w:spacing w:after="160"/>
        <w:jc w:val="center"/>
      </w:pPr>
      <w:r>
        <w:rPr>
          <w:rFonts w:ascii="Times New Roman" w:hAnsi="Times New Roman"/>
          <w:i/>
          <w:sz w:val="18"/>
        </w:rPr>
        <w:t>Gambar 4. Kurva Keuntungan Kumulatif Temuan Audit per Desil Risiko terhadap Baseline Acak (300 DPI).</w:t>
      </w:r>
    </w:p>
    <w:p>
      <w:pPr>
        <w:spacing w:after="100" w:line="276" w:lineRule="auto"/>
        <w:ind w:firstLine="504"/>
        <w:jc w:val="both"/>
      </w:pPr>
      <w:r>
        <w:rPr>
          <w:rFonts w:ascii="Times New Roman" w:hAnsi="Times New Roman"/>
          <w:i w:val="0"/>
          <w:sz w:val="21"/>
        </w:rPr>
        <w:t xml:space="preserve">Dengan memprioritaskan pemeriksaan pada </w:t>
      </w:r>
      <w:r>
        <w:rPr>
          <w:rFonts w:ascii="Times New Roman" w:hAnsi="Times New Roman"/>
          <w:b/>
          <w:i w:val="0"/>
          <w:sz w:val="21"/>
        </w:rPr>
        <w:t>Top 20% kelompok berisiko tertinggi (Desil 1 dan 2)</w:t>
      </w:r>
      <w:r>
        <w:rPr>
          <w:rFonts w:ascii="Times New Roman" w:hAnsi="Times New Roman"/>
          <w:i w:val="0"/>
          <w:sz w:val="21"/>
        </w:rPr>
        <w:t xml:space="preserve">, rentang tangkapan temuan lintas kombinasi model dan konfigurasi fitur yang dievaluasi berkisar antara </w:t>
      </w:r>
      <w:r>
        <w:rPr>
          <w:rFonts w:ascii="Times New Roman" w:hAnsi="Times New Roman"/>
          <w:b/>
          <w:i w:val="0"/>
          <w:sz w:val="21"/>
        </w:rPr>
        <w:t>45,2% hingga 47,6% dari total kasus positif yang disimulasikan</w:t>
      </w:r>
      <w:r>
        <w:rPr>
          <w:rFonts w:ascii="Times New Roman" w:hAnsi="Times New Roman"/>
          <w:i w:val="0"/>
          <w:sz w:val="21"/>
        </w:rPr>
        <w:t xml:space="preserve"> (menghasilkan faktor pengali </w:t>
      </w:r>
      <w:r>
        <w:rPr>
          <w:rFonts w:ascii="Times New Roman" w:hAnsi="Times New Roman"/>
          <w:i/>
          <w:sz w:val="21"/>
        </w:rPr>
        <w:t>cumulative lift</w:t>
      </w:r>
      <w:r>
        <w:rPr>
          <w:rFonts w:ascii="Times New Roman" w:hAnsi="Times New Roman"/>
          <w:i w:val="0"/>
          <w:sz w:val="21"/>
        </w:rPr>
        <w:t xml:space="preserve"> sebesar </w:t>
      </w:r>
      <w:r>
        <w:rPr>
          <w:rFonts w:ascii="Times New Roman" w:hAnsi="Times New Roman"/>
          <w:b/>
          <w:i w:val="0"/>
          <w:sz w:val="21"/>
        </w:rPr>
        <w:t>2,26x hingga 2,38x</w:t>
      </w:r>
      <w:r>
        <w:rPr>
          <w:rFonts w:ascii="Times New Roman" w:hAnsi="Times New Roman"/>
          <w:i w:val="0"/>
          <w:sz w:val="21"/>
        </w:rPr>
        <w:t xml:space="preserve"> dibandingkan pemilihan acak 20%). Spesifisitas sebesar </w:t>
      </w:r>
      <w:r>
        <w:rPr>
          <w:rFonts w:ascii="Times New Roman" w:hAnsi="Times New Roman"/>
          <w:b/>
          <w:i w:val="0"/>
          <w:sz w:val="21"/>
        </w:rPr>
        <w:t>94,0%</w:t>
      </w:r>
      <w:r>
        <w:rPr>
          <w:rFonts w:ascii="Times New Roman" w:hAnsi="Times New Roman"/>
          <w:i w:val="0"/>
          <w:sz w:val="21"/>
        </w:rPr>
        <w:t xml:space="preserve"> menunjukkan tingkat </w:t>
      </w:r>
      <w:r>
        <w:rPr>
          <w:rFonts w:ascii="Times New Roman" w:hAnsi="Times New Roman"/>
          <w:i/>
          <w:sz w:val="21"/>
        </w:rPr>
        <w:t>false-positive rate</w:t>
      </w:r>
      <w:r>
        <w:rPr>
          <w:rFonts w:ascii="Times New Roman" w:hAnsi="Times New Roman"/>
          <w:i w:val="0"/>
          <w:sz w:val="21"/>
        </w:rPr>
        <w:t xml:space="preserve"> yang relatif rendah pada ambang batas tersebut, yang berpotensi mengurangi jumlah wajib pajak patuh yang terkena pemanggilan audit keliru.</w:t>
      </w:r>
    </w:p>
    <w:p>
      <w:pPr>
        <w:keepNext/>
        <w:spacing w:before="200" w:after="60"/>
      </w:pPr>
      <w:r>
        <w:rPr>
          <w:rFonts w:ascii="Times New Roman" w:hAnsi="Times New Roman"/>
          <w:b/>
          <w:i/>
          <w:sz w:val="21"/>
        </w:rPr>
        <w:t>4.3 Studi Ablasi Fitur Bertahap (Feature Ablation Study)</w:t>
      </w:r>
    </w:p>
    <w:p>
      <w:pPr>
        <w:spacing w:before="160" w:after="40"/>
        <w:jc w:val="left"/>
      </w:pPr>
      <w:r>
        <w:rPr>
          <w:rFonts w:ascii="Times New Roman" w:hAnsi="Times New Roman"/>
          <w:b/>
          <w:sz w:val="19"/>
        </w:rPr>
        <w:t>Tabel 4 dan Gambar 5 menyajikan hasil evaluasi ablasi fitur beserta analisis interval kepercayaan bootstrap.</w:t>
      </w:r>
    </w:p>
    <w:p>
      <w:pPr>
        <w:spacing w:before="160" w:after="40"/>
        <w:jc w:val="left"/>
      </w:pPr>
      <w:r>
        <w:rPr>
          <w:rFonts w:ascii="Times New Roman" w:hAnsi="Times New Roman"/>
          <w:b/>
          <w:sz w:val="19"/>
        </w:rPr>
        <w:t>Tabel 4. Hasil Studi Ablasi Fitur Menggunakan Model XGBoost</w:t>
      </w:r>
    </w:p>
    <w:p>
      <w:pPr>
        <w:spacing w:after="100" w:line="276" w:lineRule="auto"/>
        <w:ind w:firstLine="504"/>
        <w:jc w:val="both"/>
      </w:pPr>
      <w:r>
        <w:rPr>
          <w:rFonts w:ascii="Times New Roman" w:hAnsi="Times New Roman"/>
          <w:i/>
          <w:sz w:val="21"/>
        </w:rPr>
        <w:t>(Catatan metodologis: Evaluasi ablasi dijalankan dengan retraining model XGBoost secara terpisah pada setiap subset fitur menggunakan regularisasi default tanpa parameter subsample/colsample khusus pada Tabel 3, menghasilkan ROC-AUC model penuh sebesar 0,7684 yang selaras secara operasional dengan 0,7682 pada model utama Tabel 3).</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Konfigurasi Fitur</w:t>
            </w:r>
          </w:p>
        </w:tc>
        <w:tc>
          <w:tcPr>
            <w:tcW w:type="dxa" w:w="1505"/>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ROC-AUC</w:t>
            </w:r>
          </w:p>
        </w:tc>
        <w:tc>
          <w:tcPr>
            <w:tcW w:type="dxa" w:w="1505"/>
            <w:tcBorders>
              <w:top w:val="single" w:sz="12" w:space="0" w:color="000000"/>
              <w:bottom w:val="single" w:sz="6" w:space="0" w:color="000000"/>
              <w:left w:val="none"/>
              <w:right w:val="none"/>
            </w:tcBorders>
            <w:shd w:fill="F5F5F5"/>
          </w:tcPr>
          <w:p>
            <w:pPr>
              <w:spacing w:before="60" w:after="60" w:line="252" w:lineRule="auto"/>
              <w:jc w:val="center"/>
            </w:pPr>
            <w:r/>
            <w:r>
              <w:rPr>
                <w:rFonts w:ascii="Times New Roman" w:hAnsi="Times New Roman"/>
                <w:i w:val="0"/>
                <w:sz w:val="17"/>
              </w:rPr>
              <w:t>PR-AUC (vs Base 0,25)</w:t>
            </w:r>
          </w:p>
        </w:tc>
        <w:tc>
          <w:tcPr>
            <w:tcW w:type="dxa" w:w="1505"/>
            <w:tcBorders>
              <w:top w:val="single" w:sz="12" w:space="0" w:color="000000"/>
              <w:bottom w:val="single" w:sz="6" w:space="0" w:color="000000"/>
              <w:left w:val="none"/>
              <w:right w:val="none"/>
            </w:tcBorders>
            <w:shd w:fill="F5F5F5"/>
          </w:tcPr>
          <w:p>
            <w:pPr>
              <w:spacing w:before="60" w:after="60" w:line="252" w:lineRule="auto"/>
              <w:jc w:val="center"/>
            </w:pPr>
            <w:r/>
            <w:r>
              <w:rPr>
                <w:rFonts w:ascii="Times New Roman" w:hAnsi="Times New Roman"/>
                <w:i w:val="0"/>
                <w:sz w:val="17"/>
              </w:rPr>
              <w:t>Top-20% Risk Yield [95% CI]</w:t>
            </w:r>
          </w:p>
        </w:tc>
        <w:tc>
          <w:tcPr>
            <w:tcW w:type="dxa" w:w="1505"/>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Cumulative Lift</w:t>
            </w:r>
          </w:p>
        </w:tc>
        <w:tc>
          <w:tcPr>
            <w:tcW w:type="dxa" w:w="1505"/>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Temuan Empiris</w:t>
            </w:r>
          </w:p>
        </w:tc>
      </w:tr>
      <w:tr>
        <w:tc>
          <w:tcPr>
            <w:tcW w:type="dxa" w:w="1505"/>
            <w:tcBorders>
              <w:top w:val="none"/>
              <w:bottom w:val="none"/>
              <w:left w:val="none"/>
              <w:right w:val="none"/>
            </w:tcBorders>
          </w:tcPr>
          <w:p>
            <w:pPr>
              <w:spacing w:before="60" w:after="60" w:line="252" w:lineRule="auto"/>
              <w:jc w:val="left"/>
            </w:pPr>
            <w:r/>
            <w:r>
              <w:rPr>
                <w:rFonts w:ascii="Times New Roman" w:hAnsi="Times New Roman"/>
                <w:b/>
                <w:i w:val="0"/>
                <w:sz w:val="17"/>
              </w:rPr>
              <w:t>1. Data SPT Mandiri Saja</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0,5641</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0,3192</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27,2% [22,8%, 31,6%]</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1,36x</w:t>
            </w:r>
          </w:p>
        </w:tc>
        <w:tc>
          <w:tcPr>
            <w:tcW w:type="dxa" w:w="1505"/>
            <w:tcBorders>
              <w:top w:val="none"/>
              <w:bottom w:val="none"/>
              <w:left w:val="none"/>
              <w:right w:val="none"/>
            </w:tcBorders>
          </w:tcPr>
          <w:p>
            <w:pPr>
              <w:spacing w:before="60" w:after="60" w:line="252" w:lineRule="auto"/>
              <w:jc w:val="left"/>
            </w:pPr>
            <w:r/>
            <w:r>
              <w:rPr>
                <w:rFonts w:ascii="Times New Roman" w:hAnsi="Times New Roman"/>
                <w:i w:val="0"/>
                <w:sz w:val="17"/>
              </w:rPr>
              <w:t>Pelaporan mandiri semata memiliki daya pembeda yang sangat terbatas</w:t>
            </w:r>
          </w:p>
        </w:tc>
      </w:tr>
      <w:tr>
        <w:tc>
          <w:tcPr>
            <w:tcW w:type="dxa" w:w="1505"/>
            <w:tcBorders>
              <w:top w:val="none"/>
              <w:bottom w:val="none"/>
              <w:left w:val="none"/>
              <w:right w:val="none"/>
            </w:tcBorders>
          </w:tcPr>
          <w:p>
            <w:pPr>
              <w:spacing w:before="60" w:after="60" w:line="252" w:lineRule="auto"/>
              <w:jc w:val="left"/>
            </w:pPr>
            <w:r/>
            <w:r>
              <w:rPr>
                <w:rFonts w:ascii="Times New Roman" w:hAnsi="Times New Roman"/>
                <w:b/>
                <w:i w:val="0"/>
                <w:sz w:val="17"/>
              </w:rPr>
              <w:t>2. + Transaksi Digital (Gateway &amp; GMV)</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0,7348</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0,5197</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43,6% [38,8%, 48,4%]</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2,18x</w:t>
            </w:r>
          </w:p>
        </w:tc>
        <w:tc>
          <w:tcPr>
            <w:tcW w:type="dxa" w:w="1505"/>
            <w:tcBorders>
              <w:top w:val="none"/>
              <w:bottom w:val="none"/>
              <w:left w:val="none"/>
              <w:right w:val="none"/>
            </w:tcBorders>
          </w:tcPr>
          <w:p>
            <w:pPr>
              <w:spacing w:before="60" w:after="60" w:line="252" w:lineRule="auto"/>
              <w:jc w:val="left"/>
            </w:pPr>
            <w:r/>
            <w:r>
              <w:rPr>
                <w:rFonts w:ascii="Times New Roman" w:hAnsi="Times New Roman"/>
                <w:i w:val="0"/>
                <w:sz w:val="17"/>
              </w:rPr>
              <w:t>Peningkatan substansial (+0,1707 AUC); menangkap volume peredaran usaha</w:t>
            </w:r>
          </w:p>
        </w:tc>
      </w:tr>
      <w:tr>
        <w:tc>
          <w:tcPr>
            <w:tcW w:type="dxa" w:w="1505"/>
            <w:tcBorders>
              <w:top w:val="none"/>
              <w:bottom w:val="none"/>
              <w:left w:val="none"/>
              <w:right w:val="none"/>
            </w:tcBorders>
          </w:tcPr>
          <w:p>
            <w:pPr>
              <w:spacing w:before="60" w:after="60" w:line="252" w:lineRule="auto"/>
              <w:jc w:val="left"/>
            </w:pPr>
            <w:r/>
            <w:r>
              <w:rPr>
                <w:rFonts w:ascii="Times New Roman" w:hAnsi="Times New Roman"/>
                <w:b/>
                <w:i w:val="0"/>
                <w:sz w:val="17"/>
              </w:rPr>
              <w:t>3. + Data Logistik Pengiriman</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0,7667</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0,5455</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46,0% [41,2%, 50,4%]</w:t>
            </w:r>
          </w:p>
        </w:tc>
        <w:tc>
          <w:tcPr>
            <w:tcW w:type="dxa" w:w="1505"/>
            <w:tcBorders>
              <w:top w:val="none"/>
              <w:bottom w:val="none"/>
              <w:left w:val="none"/>
              <w:right w:val="none"/>
            </w:tcBorders>
          </w:tcPr>
          <w:p>
            <w:pPr>
              <w:spacing w:before="60" w:after="60" w:line="252" w:lineRule="auto"/>
              <w:jc w:val="center"/>
            </w:pPr>
            <w:r/>
            <w:r>
              <w:rPr>
                <w:rFonts w:ascii="Times New Roman" w:hAnsi="Times New Roman"/>
                <w:i w:val="0"/>
                <w:sz w:val="17"/>
              </w:rPr>
              <w:t>2,30x</w:t>
            </w:r>
          </w:p>
        </w:tc>
        <w:tc>
          <w:tcPr>
            <w:tcW w:type="dxa" w:w="1505"/>
            <w:tcBorders>
              <w:top w:val="none"/>
              <w:bottom w:val="none"/>
              <w:left w:val="none"/>
              <w:right w:val="none"/>
            </w:tcBorders>
          </w:tcPr>
          <w:p>
            <w:pPr>
              <w:spacing w:before="60" w:after="60" w:line="252" w:lineRule="auto"/>
              <w:jc w:val="left"/>
            </w:pPr>
            <w:r/>
            <w:r>
              <w:rPr>
                <w:rFonts w:ascii="Times New Roman" w:hAnsi="Times New Roman"/>
                <w:i w:val="0"/>
                <w:sz w:val="17"/>
              </w:rPr>
              <w:t>Peningkatan diskriminasi tertinggi melalui verifikasi pergerakan barang fisik</w:t>
            </w:r>
          </w:p>
        </w:tc>
      </w:tr>
      <w:tr>
        <w:tc>
          <w:tcPr>
            <w:tcW w:type="dxa" w:w="1505"/>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4. Model Penuh (+ 2 Indikator Makro BPS)</w:t>
            </w:r>
          </w:p>
        </w:tc>
        <w:tc>
          <w:tcPr>
            <w:tcW w:type="dxa" w:w="1505"/>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7"/>
              </w:rPr>
              <w:t>0,7684</w:t>
            </w:r>
          </w:p>
        </w:tc>
        <w:tc>
          <w:tcPr>
            <w:tcW w:type="dxa" w:w="1505"/>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7"/>
              </w:rPr>
              <w:t>0,5467</w:t>
            </w:r>
          </w:p>
        </w:tc>
        <w:tc>
          <w:tcPr>
            <w:tcW w:type="dxa" w:w="1505"/>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7"/>
              </w:rPr>
              <w:t>45,2% [40,8%, 49,6%]</w:t>
            </w:r>
          </w:p>
        </w:tc>
        <w:tc>
          <w:tcPr>
            <w:tcW w:type="dxa" w:w="1505"/>
            <w:tcBorders>
              <w:top w:val="none"/>
              <w:bottom w:val="single" w:sz="12" w:space="0" w:color="000000"/>
              <w:left w:val="none"/>
              <w:right w:val="none"/>
            </w:tcBorders>
          </w:tcPr>
          <w:p>
            <w:pPr>
              <w:spacing w:before="60" w:after="60" w:line="252" w:lineRule="auto"/>
              <w:jc w:val="center"/>
            </w:pPr>
            <w:r/>
            <w:r>
              <w:rPr>
                <w:rFonts w:ascii="Times New Roman" w:hAnsi="Times New Roman"/>
                <w:b/>
                <w:i w:val="0"/>
                <w:sz w:val="17"/>
              </w:rPr>
              <w:t>2,26x</w:t>
            </w:r>
          </w:p>
        </w:tc>
        <w:tc>
          <w:tcPr>
            <w:tcW w:type="dxa" w:w="1505"/>
            <w:tcBorders>
              <w:top w:val="none"/>
              <w:bottom w:val="single" w:sz="12" w:space="0" w:color="000000"/>
              <w:left w:val="none"/>
              <w:right w:val="none"/>
            </w:tcBorders>
          </w:tcPr>
          <w:p>
            <w:pPr>
              <w:spacing w:before="60" w:after="60" w:line="252" w:lineRule="auto"/>
              <w:jc w:val="left"/>
            </w:pPr>
            <w:r/>
            <w:r>
              <w:rPr>
                <w:rFonts w:ascii="Times New Roman" w:hAnsi="Times New Roman"/>
                <w:i w:val="0"/>
                <w:sz w:val="17"/>
              </w:rPr>
              <w:t>Memberikan konteks makro wilayah (marginal ΔAUC=+0,0017)</w:t>
            </w:r>
          </w:p>
        </w:tc>
      </w:tr>
    </w:tbl>
    <w:p>
      <w:pPr>
        <w:spacing w:after="120"/>
      </w:pPr>
    </w:p>
    <w:p>
      <w:pPr>
        <w:spacing w:before="160" w:after="40"/>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figure5_ablation_study_bars.png"/>
                    <pic:cNvPicPr/>
                  </pic:nvPicPr>
                  <pic:blipFill>
                    <a:blip r:embed="rId13"/>
                    <a:stretch>
                      <a:fillRect/>
                    </a:stretch>
                  </pic:blipFill>
                  <pic:spPr>
                    <a:xfrm>
                      <a:off x="0" y="0"/>
                      <a:ext cx="5120640" cy="2880360"/>
                    </a:xfrm>
                    <a:prstGeom prst="rect"/>
                  </pic:spPr>
                </pic:pic>
              </a:graphicData>
            </a:graphic>
          </wp:inline>
        </w:drawing>
      </w:r>
    </w:p>
    <w:p>
      <w:pPr>
        <w:spacing w:after="160"/>
        <w:jc w:val="center"/>
      </w:pPr>
      <w:r>
        <w:rPr>
          <w:rFonts w:ascii="Times New Roman" w:hAnsi="Times New Roman"/>
          <w:i/>
          <w:sz w:val="18"/>
        </w:rPr>
        <w:t>Gambar 5. Perbandingan Skor ROC-AUC pada Studi Ablasi Fitur (300 DPI).</w:t>
      </w:r>
    </w:p>
    <w:p>
      <w:pPr>
        <w:keepNext/>
        <w:spacing w:before="120" w:after="40"/>
      </w:pPr>
      <w:r>
        <w:rPr>
          <w:rFonts w:ascii="Times New Roman" w:hAnsi="Times New Roman"/>
          <w:b/>
          <w:i/>
          <w:sz w:val="20"/>
        </w:rPr>
        <w:t>Analisis Penyelarasan Top-20% Yield dan ROC-AUC:</w:t>
      </w:r>
    </w:p>
    <w:p>
      <w:pPr>
        <w:spacing w:after="100" w:line="276" w:lineRule="auto"/>
        <w:ind w:firstLine="504"/>
        <w:jc w:val="both"/>
      </w:pPr>
      <w:r>
        <w:rPr>
          <w:rFonts w:ascii="Times New Roman" w:hAnsi="Times New Roman"/>
          <w:i w:val="0"/>
          <w:sz w:val="21"/>
        </w:rPr>
        <w:t>Berdasarkan Tabel 4, penambahan indikator makro regional BPS meningkatkan ROC-AUC dari 0,7667 menjadi 0,7684, namun nilai titik (</w:t>
      </w:r>
      <w:r>
        <w:rPr>
          <w:rFonts w:ascii="Times New Roman" w:hAnsi="Times New Roman"/>
          <w:i/>
          <w:sz w:val="21"/>
        </w:rPr>
        <w:t>point estimate</w:t>
      </w:r>
      <w:r>
        <w:rPr>
          <w:rFonts w:ascii="Times New Roman" w:hAnsi="Times New Roman"/>
          <w:i w:val="0"/>
          <w:sz w:val="21"/>
        </w:rPr>
        <w:t>) Top-20% Yield mengalami pergeseran marjinal dari 46,0% ke 45,2%. Analisis bootstrap (B=500) membuktikan bahwa interval kepercayaan 95% antara Tahap 3 ([41,2%, 50,4%]) dan Tahap 4 ([40,8%, 49,6%]) saling beririsan secara luas (</w:t>
      </w:r>
      <w:r>
        <w:rPr>
          <w:rFonts w:ascii="Times New Roman" w:hAnsi="Times New Roman"/>
          <w:i/>
          <w:sz w:val="21"/>
        </w:rPr>
        <w:t>broadly overlapping</w:t>
      </w:r>
      <w:r>
        <w:rPr>
          <w:rFonts w:ascii="Times New Roman" w:hAnsi="Times New Roman"/>
          <w:i w:val="0"/>
          <w:sz w:val="21"/>
        </w:rPr>
        <w:t>). Secara empiris, penambahan fitur makro menyebabkan sedikit penataan ulang (</w:t>
      </w:r>
      <w:r>
        <w:rPr>
          <w:rFonts w:ascii="Times New Roman" w:hAnsi="Times New Roman"/>
          <w:i/>
          <w:sz w:val="21"/>
        </w:rPr>
        <w:t>re-ordering</w:t>
      </w:r>
      <w:r>
        <w:rPr>
          <w:rFonts w:ascii="Times New Roman" w:hAnsi="Times New Roman"/>
          <w:i w:val="0"/>
          <w:sz w:val="21"/>
        </w:rPr>
        <w:t>) probabilitas prediksi pada observasi di sekitar batas ambang desil kedua, namun tidak mencerminkan penurunan performa pemeringkatan yang signifikan secara statistik. Di samping itu, nilai PR-AUC pada konfigurasi SPT mandiri (0,3192) hanya mencatatkan keunggulan tipis di atas garis dasar prevalensi 0,2500 (rasio 1,28x), mengonfirmasi bahwa pelaporan mandiri semata hampir tidak mengandung sinyal prediktif diskriminatif yang memadai bagi fiskus.</w:t>
      </w:r>
    </w:p>
    <w:p>
      <w:pPr>
        <w:keepNext/>
        <w:spacing w:before="200" w:after="60"/>
      </w:pPr>
      <w:r>
        <w:rPr>
          <w:rFonts w:ascii="Times New Roman" w:hAnsi="Times New Roman"/>
          <w:b/>
          <w:i/>
          <w:sz w:val="21"/>
        </w:rPr>
        <w:t>4.4 Atribusi Prediktif Berbasis SHAP sebagai Sanity Check Keselarasan DGP</w:t>
      </w:r>
    </w:p>
    <w:p>
      <w:pPr>
        <w:spacing w:after="160"/>
        <w:jc w:val="center"/>
      </w:pPr>
      <w:r>
        <w:rPr>
          <w:rFonts w:ascii="Times New Roman" w:hAnsi="Times New Roman"/>
          <w:i/>
          <w:sz w:val="18"/>
        </w:rPr>
        <w:t>Gambar 6 menampilkan distribusi nilai SHAP global pada model XGBoost.</w:t>
      </w:r>
    </w:p>
    <w:p>
      <w:pPr>
        <w:spacing w:before="160" w:after="40"/>
        <w:jc w:val="center"/>
      </w:pPr>
      <w:r>
        <w:drawing>
          <wp:inline xmlns:a="http://schemas.openxmlformats.org/drawingml/2006/main" xmlns:pic="http://schemas.openxmlformats.org/drawingml/2006/picture">
            <wp:extent cx="5120640" cy="3520440"/>
            <wp:docPr id="6" name="Picture 6"/>
            <wp:cNvGraphicFramePr>
              <a:graphicFrameLocks noChangeAspect="1"/>
            </wp:cNvGraphicFramePr>
            <a:graphic>
              <a:graphicData uri="http://schemas.openxmlformats.org/drawingml/2006/picture">
                <pic:pic>
                  <pic:nvPicPr>
                    <pic:cNvPr id="0" name="figure6_shap_beeswarm.png"/>
                    <pic:cNvPicPr/>
                  </pic:nvPicPr>
                  <pic:blipFill>
                    <a:blip r:embed="rId14"/>
                    <a:stretch>
                      <a:fillRect/>
                    </a:stretch>
                  </pic:blipFill>
                  <pic:spPr>
                    <a:xfrm>
                      <a:off x="0" y="0"/>
                      <a:ext cx="5120640" cy="3520440"/>
                    </a:xfrm>
                    <a:prstGeom prst="rect"/>
                  </pic:spPr>
                </pic:pic>
              </a:graphicData>
            </a:graphic>
          </wp:inline>
        </w:drawing>
      </w:r>
    </w:p>
    <w:p>
      <w:pPr>
        <w:spacing w:after="160"/>
        <w:jc w:val="center"/>
      </w:pPr>
      <w:r>
        <w:rPr>
          <w:rFonts w:ascii="Times New Roman" w:hAnsi="Times New Roman"/>
          <w:i/>
          <w:sz w:val="18"/>
        </w:rPr>
        <w:t>Gambar 6. Distribusi Nilai SHAP: Kontribusi Fitur terhadap Prediksi Risiko (300 DPI).</w:t>
      </w:r>
    </w:p>
    <w:p>
      <w:pPr>
        <w:spacing w:after="100" w:line="276" w:lineRule="auto"/>
        <w:ind w:firstLine="504"/>
        <w:jc w:val="both"/>
      </w:pPr>
      <w:r>
        <w:rPr>
          <w:rFonts w:ascii="Times New Roman" w:hAnsi="Times New Roman"/>
          <w:i w:val="0"/>
          <w:sz w:val="21"/>
        </w:rPr>
        <w:t xml:space="preserve">Analisis SHAP dalam studi simulasi ini berfungsi sebagai </w:t>
      </w:r>
      <w:r>
        <w:rPr>
          <w:rFonts w:ascii="Times New Roman" w:hAnsi="Times New Roman"/>
          <w:i/>
          <w:sz w:val="21"/>
        </w:rPr>
        <w:t>sanity check</w:t>
      </w:r>
      <w:r>
        <w:rPr>
          <w:rFonts w:ascii="Times New Roman" w:hAnsi="Times New Roman"/>
          <w:i w:val="0"/>
          <w:sz w:val="21"/>
        </w:rPr>
        <w:t xml:space="preserve"> untuk memverifikasi bahwa model mengekstrak sinyal yang selaras dengan mekanisme DGP (</w:t>
      </w:r>
      <w:r>
        <w:rPr>
          <w:rFonts w:ascii="Times New Roman" w:hAnsi="Times New Roman"/>
          <w:i/>
          <w:sz w:val="21"/>
        </w:rPr>
        <w:t>verification of DGP alignment</w:t>
      </w:r>
      <w:r>
        <w:rPr>
          <w:rFonts w:ascii="Times New Roman" w:hAnsi="Times New Roman"/>
          <w:i w:val="0"/>
          <w:sz w:val="21"/>
        </w:rPr>
        <w:t xml:space="preserve">). Berdasarkan metrik </w:t>
      </w:r>
      <w:r>
        <w:rPr>
          <w:rFonts w:ascii="Times New Roman" w:hAnsi="Times New Roman"/>
          <w:i/>
          <w:sz w:val="21"/>
        </w:rPr>
        <w:t>mean absolute SHAP value</w:t>
      </w:r>
      <w:r>
        <w:rPr>
          <w:rFonts w:ascii="Times New Roman" w:hAnsi="Times New Roman"/>
          <w:i w:val="0"/>
          <w:sz w:val="21"/>
        </w:rPr>
        <w:t xml:space="preserve"> (mean(|SHAP|)), variabel rasio pembayaran digital (PayRatio) dan keterlacakan logistik (Logistics) diidentifikasi sebagai variabel dengan atribusi prediktif tertinggi. Hal ini mengonfirmasi bahwa model secara konsisten memanfaatkan proksi yang paling sensitif terhadap perilaku laten δ_cash dan δ_log, tanpa mengklaim adanya mekanisme kausalitas langsung di lapangan.</w:t>
      </w:r>
    </w:p>
    <w:p>
      <w:pPr>
        <w:keepNext/>
        <w:spacing w:before="200" w:after="60"/>
      </w:pPr>
      <w:r>
        <w:rPr>
          <w:rFonts w:ascii="Times New Roman" w:hAnsi="Times New Roman"/>
          <w:b/>
          <w:i/>
          <w:sz w:val="21"/>
        </w:rPr>
        <w:t>4.5 Evaluasi Matriks Konfusi</w:t>
      </w:r>
    </w:p>
    <w:p>
      <w:pPr>
        <w:spacing w:after="160"/>
        <w:jc w:val="center"/>
      </w:pPr>
      <w:r>
        <w:rPr>
          <w:rFonts w:ascii="Times New Roman" w:hAnsi="Times New Roman"/>
          <w:i/>
          <w:sz w:val="18"/>
        </w:rPr>
        <w:t>Gambar 7 menampilkan matriks konfusi ternormalisasi pada data uji independen.</w:t>
      </w:r>
    </w:p>
    <w:p>
      <w:pPr>
        <w:spacing w:before="160" w:after="40"/>
        <w:jc w:val="center"/>
      </w:pPr>
      <w:r>
        <w:drawing>
          <wp:inline xmlns:a="http://schemas.openxmlformats.org/drawingml/2006/main" xmlns:pic="http://schemas.openxmlformats.org/drawingml/2006/picture">
            <wp:extent cx="5120640" cy="4267200"/>
            <wp:docPr id="7" name="Picture 7"/>
            <wp:cNvGraphicFramePr>
              <a:graphicFrameLocks noChangeAspect="1"/>
            </wp:cNvGraphicFramePr>
            <a:graphic>
              <a:graphicData uri="http://schemas.openxmlformats.org/drawingml/2006/picture">
                <pic:pic>
                  <pic:nvPicPr>
                    <pic:cNvPr id="0" name="figure7_confusion_matrix.png"/>
                    <pic:cNvPicPr/>
                  </pic:nvPicPr>
                  <pic:blipFill>
                    <a:blip r:embed="rId15"/>
                    <a:stretch>
                      <a:fillRect/>
                    </a:stretch>
                  </pic:blipFill>
                  <pic:spPr>
                    <a:xfrm>
                      <a:off x="0" y="0"/>
                      <a:ext cx="5120640" cy="4267200"/>
                    </a:xfrm>
                    <a:prstGeom prst="rect"/>
                  </pic:spPr>
                </pic:pic>
              </a:graphicData>
            </a:graphic>
          </wp:inline>
        </w:drawing>
      </w:r>
    </w:p>
    <w:p>
      <w:pPr>
        <w:spacing w:after="160"/>
        <w:jc w:val="center"/>
      </w:pPr>
      <w:r>
        <w:rPr>
          <w:rFonts w:ascii="Times New Roman" w:hAnsi="Times New Roman"/>
          <w:i/>
          <w:sz w:val="18"/>
        </w:rPr>
        <w:t>Gambar 7. Normalized Confusion Matrix Model XGBoost (300 DPI).</w:t>
      </w:r>
    </w:p>
    <w:p>
      <w:pPr>
        <w:keepNext/>
        <w:spacing w:before="200" w:after="60"/>
      </w:pPr>
      <w:r>
        <w:rPr>
          <w:rFonts w:ascii="Times New Roman" w:hAnsi="Times New Roman"/>
          <w:b/>
          <w:i/>
          <w:sz w:val="21"/>
        </w:rPr>
        <w:t>4.6 Uji Generalisasi Lintas Provinsi dan Sensitivitas Bobot DGP</w:t>
      </w:r>
    </w:p>
    <w:p>
      <w:pPr>
        <w:spacing w:before="160" w:after="40"/>
        <w:jc w:val="left"/>
      </w:pPr>
      <w:r>
        <w:rPr>
          <w:rFonts w:ascii="Times New Roman" w:hAnsi="Times New Roman"/>
          <w:b/>
          <w:sz w:val="19"/>
        </w:rPr>
        <w:t>Tabel 5 dan Gambar 8 merangkum hasil uji sensitivitas model terhadap variasi bobot parameter laten serta validasi lintas provinsi.</w:t>
      </w:r>
    </w:p>
    <w:p>
      <w:pPr>
        <w:spacing w:before="160" w:after="40"/>
        <w:jc w:val="left"/>
      </w:pPr>
      <w:r>
        <w:rPr>
          <w:rFonts w:ascii="Times New Roman" w:hAnsi="Times New Roman"/>
          <w:b/>
          <w:sz w:val="19"/>
        </w:rPr>
        <w:t>Tabel 5. Hasil Uji Sensitivitas Spesifikasi Parameter Bobot Laten DGP</w:t>
      </w:r>
    </w:p>
    <w:p>
      <w:pPr>
        <w:spacing w:after="100" w:line="276" w:lineRule="auto"/>
        <w:ind w:firstLine="504"/>
        <w:jc w:val="both"/>
      </w:pPr>
      <w:r>
        <w:rPr>
          <w:rFonts w:ascii="Times New Roman" w:hAnsi="Times New Roman"/>
          <w:i/>
          <w:sz w:val="21"/>
        </w:rPr>
        <w:t>(Catatan metodologis: Setiap skenario sensitivitas dibangkitkan sebagai eksperimen replikasi independen berbasis generator random state lokal; oleh karena itu, nilai ROC-AUC Skenario A [0,7804] tidak dimaksudkan sebagai replikasi numerik identik terhadap dataset utama Tabel 3 [0,7856]).</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Skenario Bobot Laten DGP (δ_cash / δ_inv / δ_log)</w:t>
            </w:r>
          </w:p>
        </w:tc>
        <w:tc>
          <w:tcPr>
            <w:tcW w:type="dxa" w:w="2257"/>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Karakteristik Skenario</w:t>
            </w:r>
          </w:p>
        </w:tc>
        <w:tc>
          <w:tcPr>
            <w:tcW w:type="dxa" w:w="2257"/>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Logistic Regression ROC-AUC</w:t>
            </w:r>
          </w:p>
        </w:tc>
        <w:tc>
          <w:tcPr>
            <w:tcW w:type="dxa" w:w="2257"/>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XGBoost ROC-AUC</w:t>
            </w:r>
          </w:p>
        </w:tc>
      </w:tr>
      <w:tr>
        <w:tc>
          <w:tcPr>
            <w:tcW w:type="dxa" w:w="2257"/>
            <w:tcBorders>
              <w:top w:val="none"/>
              <w:bottom w:val="none"/>
              <w:left w:val="none"/>
              <w:right w:val="none"/>
            </w:tcBorders>
          </w:tcPr>
          <w:p>
            <w:pPr>
              <w:spacing w:before="60" w:after="60" w:line="252" w:lineRule="auto"/>
              <w:jc w:val="left"/>
            </w:pPr>
            <w:r/>
            <w:r>
              <w:rPr>
                <w:rFonts w:ascii="Times New Roman" w:hAnsi="Times New Roman"/>
                <w:b/>
                <w:i w:val="0"/>
                <w:sz w:val="17"/>
              </w:rPr>
              <w:t>Skenario A (0,40 / 0,35 / 0,25)</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Baseline Seimbang</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0,7804</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0,7531</w:t>
            </w:r>
          </w:p>
        </w:tc>
      </w:tr>
      <w:tr>
        <w:tc>
          <w:tcPr>
            <w:tcW w:type="dxa" w:w="2257"/>
            <w:tcBorders>
              <w:top w:val="none"/>
              <w:bottom w:val="none"/>
              <w:left w:val="none"/>
              <w:right w:val="none"/>
            </w:tcBorders>
          </w:tcPr>
          <w:p>
            <w:pPr>
              <w:spacing w:before="60" w:after="60" w:line="252" w:lineRule="auto"/>
              <w:jc w:val="left"/>
            </w:pPr>
            <w:r/>
            <w:r>
              <w:rPr>
                <w:rFonts w:ascii="Times New Roman" w:hAnsi="Times New Roman"/>
                <w:b/>
                <w:i w:val="0"/>
                <w:sz w:val="17"/>
              </w:rPr>
              <w:t>Skenario B (0,25 / 0,50 / 0,25)</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Dominan Distorsi Inventaris</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0,7430</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0,6931</w:t>
            </w:r>
          </w:p>
        </w:tc>
      </w:tr>
      <w:tr>
        <w:tc>
          <w:tcPr>
            <w:tcW w:type="dxa" w:w="2257"/>
            <w:tcBorders>
              <w:top w:val="none"/>
              <w:bottom w:val="single" w:sz="12" w:space="0" w:color="000000"/>
              <w:left w:val="none"/>
              <w:right w:val="none"/>
            </w:tcBorders>
          </w:tcPr>
          <w:p>
            <w:pPr>
              <w:spacing w:before="60" w:after="60" w:line="252" w:lineRule="auto"/>
              <w:jc w:val="left"/>
            </w:pPr>
            <w:r/>
            <w:r>
              <w:rPr>
                <w:rFonts w:ascii="Times New Roman" w:hAnsi="Times New Roman"/>
                <w:b/>
                <w:i w:val="0"/>
                <w:sz w:val="17"/>
              </w:rPr>
              <w:t>Skenario C (0,30 / 0,25 / 0,45)</w:t>
            </w:r>
          </w:p>
        </w:tc>
        <w:tc>
          <w:tcPr>
            <w:tcW w:type="dxa" w:w="2257"/>
            <w:tcBorders>
              <w:top w:val="none"/>
              <w:bottom w:val="single" w:sz="12" w:space="0" w:color="000000"/>
              <w:left w:val="none"/>
              <w:right w:val="none"/>
            </w:tcBorders>
          </w:tcPr>
          <w:p>
            <w:pPr>
              <w:spacing w:before="60" w:after="60" w:line="252" w:lineRule="auto"/>
              <w:jc w:val="left"/>
            </w:pPr>
            <w:r/>
            <w:r>
              <w:rPr>
                <w:rFonts w:ascii="Times New Roman" w:hAnsi="Times New Roman"/>
                <w:i w:val="0"/>
                <w:sz w:val="17"/>
              </w:rPr>
              <w:t>Dominan Anomali Logistik</w:t>
            </w:r>
          </w:p>
        </w:tc>
        <w:tc>
          <w:tcPr>
            <w:tcW w:type="dxa" w:w="2257"/>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0,7681</w:t>
            </w:r>
          </w:p>
        </w:tc>
        <w:tc>
          <w:tcPr>
            <w:tcW w:type="dxa" w:w="2257"/>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0,7648</w:t>
            </w:r>
          </w:p>
        </w:tc>
      </w:tr>
    </w:tbl>
    <w:p>
      <w:pPr>
        <w:spacing w:after="120"/>
      </w:pPr>
    </w:p>
    <w:p>
      <w:pPr>
        <w:spacing w:before="160" w:after="40"/>
        <w:jc w:val="center"/>
      </w:pPr>
      <w:r>
        <w:drawing>
          <wp:inline xmlns:a="http://schemas.openxmlformats.org/drawingml/2006/main" xmlns:pic="http://schemas.openxmlformats.org/drawingml/2006/picture">
            <wp:extent cx="5120640" cy="3072384"/>
            <wp:docPr id="8" name="Picture 8"/>
            <wp:cNvGraphicFramePr>
              <a:graphicFrameLocks noChangeAspect="1"/>
            </wp:cNvGraphicFramePr>
            <a:graphic>
              <a:graphicData uri="http://schemas.openxmlformats.org/drawingml/2006/picture">
                <pic:pic>
                  <pic:nvPicPr>
                    <pic:cNvPr id="0" name="figure8_geographical_holdout.png"/>
                    <pic:cNvPicPr/>
                  </pic:nvPicPr>
                  <pic:blipFill>
                    <a:blip r:embed="rId16"/>
                    <a:stretch>
                      <a:fillRect/>
                    </a:stretch>
                  </pic:blipFill>
                  <pic:spPr>
                    <a:xfrm>
                      <a:off x="0" y="0"/>
                      <a:ext cx="5120640" cy="3072384"/>
                    </a:xfrm>
                    <a:prstGeom prst="rect"/>
                  </pic:spPr>
                </pic:pic>
              </a:graphicData>
            </a:graphic>
          </wp:inline>
        </w:drawing>
      </w:r>
    </w:p>
    <w:p>
      <w:pPr>
        <w:spacing w:after="160"/>
        <w:jc w:val="center"/>
      </w:pPr>
      <w:r>
        <w:rPr>
          <w:rFonts w:ascii="Times New Roman" w:hAnsi="Times New Roman"/>
          <w:i/>
          <w:sz w:val="18"/>
        </w:rPr>
        <w:t>Gambar 8. Evaluasi Validasi Spasial Lintas $R=5$ Pasangan Provinsi Holdout terhadap Garis Dasar Acak (0,50) dan Model Uji Penuh (300 DPI). Sumbu Y menunjukkan skor ROC-AUC pada kelompok data holdout provinsi yang tidak terlihat dalam proses pelatihan.</w:t>
      </w:r>
    </w:p>
    <w:p>
      <w:pPr>
        <w:spacing w:after="100" w:line="276" w:lineRule="auto"/>
        <w:ind w:firstLine="504"/>
        <w:jc w:val="both"/>
      </w:pPr>
      <w:r>
        <w:rPr>
          <w:rFonts w:ascii="Times New Roman" w:hAnsi="Times New Roman"/>
          <w:i w:val="0"/>
          <w:sz w:val="21"/>
        </w:rPr>
        <w:t xml:space="preserve">Validasi lintas provinsi berulang (R=5 pasangan provinsi holdout) pada Gambar 8 menghasilkan skor rata-rata </w:t>
      </w:r>
      <w:r>
        <w:rPr>
          <w:rFonts w:ascii="Times New Roman" w:hAnsi="Times New Roman"/>
          <w:b/>
          <w:i w:val="0"/>
          <w:sz w:val="21"/>
        </w:rPr>
        <w:t>0,7643 ± 0,0321</w:t>
      </w:r>
      <w:r>
        <w:rPr>
          <w:rFonts w:ascii="Times New Roman" w:hAnsi="Times New Roman"/>
          <w:i w:val="0"/>
          <w:sz w:val="21"/>
        </w:rPr>
        <w:t xml:space="preserve">. Seluruh skor holdout provinsi berada jauh di atas garis dasar tebakan acak (0,50) dan mendekati performa model uji penuh (0,7682). Karena eksperimen simulasi ini menggunakan formula DGP laten yang seragam lintas provinsi, hasil ini diinterpretasikan secara hati-hati sebagai </w:t>
      </w:r>
      <w:r>
        <w:rPr>
          <w:rFonts w:ascii="Times New Roman" w:hAnsi="Times New Roman"/>
          <w:b/>
          <w:i w:val="0"/>
          <w:sz w:val="21"/>
        </w:rPr>
        <w:t>bukti awal kemampuan interpolasi spasial model pada wilayah yang tidak terlihat (*unseen provinces*) dalam lingkungan simulasi</w:t>
      </w:r>
      <w:r>
        <w:rPr>
          <w:rFonts w:ascii="Times New Roman" w:hAnsi="Times New Roman"/>
          <w:i w:val="0"/>
          <w:sz w:val="21"/>
        </w:rPr>
        <w:t>, dan bukan sebagai klaim ketahanan terhadap perbedaan kelembagaan atau ekonomi struktural di dunia nyata. Hasil Tabel 5 menunjukkan bahwa performa model mengalami variasi (XGBoost turun ke 0,6931 pada Skenario B di mana distorsi inventaris dominan), yang mencerminkan sensitivitas model terhadap perubahan struktur risiko laten yang diasumsikan.</w:t>
      </w:r>
    </w:p>
    <w:p>
      <w:pPr>
        <w:spacing w:after="100" w:line="276" w:lineRule="auto"/>
        <w:ind w:firstLine="504"/>
        <w:jc w:val="both"/>
      </w:pPr>
      <w:r>
        <w:rPr>
          <w:rFonts w:ascii="Times New Roman" w:hAnsi="Times New Roman"/>
          <w:i w:val="0"/>
          <w:sz w:val="21"/>
        </w:rPr>
        <w:t>---</w:t>
      </w:r>
    </w:p>
    <w:p>
      <w:pPr>
        <w:keepNext/>
        <w:spacing w:before="280" w:after="80"/>
      </w:pPr>
      <w:r>
        <w:rPr>
          <w:rFonts w:ascii="Times New Roman" w:hAnsi="Times New Roman"/>
          <w:b/>
          <w:sz w:val="22"/>
        </w:rPr>
        <w:t>5. PEMBAHASAN DAN IMPLIKASI TATA KELOLA</w:t>
      </w:r>
    </w:p>
    <w:p>
      <w:pPr>
        <w:keepNext/>
        <w:spacing w:before="200" w:after="60"/>
      </w:pPr>
      <w:r>
        <w:rPr>
          <w:rFonts w:ascii="Times New Roman" w:hAnsi="Times New Roman"/>
          <w:b/>
          <w:i/>
          <w:sz w:val="21"/>
        </w:rPr>
        <w:t>5.1 Implikasi Regulasi, Tata Kelola Data, dan Kepatuhan UU PDP</w:t>
      </w:r>
    </w:p>
    <w:p>
      <w:pPr>
        <w:spacing w:after="100" w:line="276" w:lineRule="auto"/>
        <w:ind w:firstLine="504"/>
        <w:jc w:val="both"/>
      </w:pPr>
      <w:r>
        <w:rPr>
          <w:rFonts w:ascii="Times New Roman" w:hAnsi="Times New Roman"/>
          <w:i w:val="0"/>
          <w:sz w:val="21"/>
        </w:rPr>
        <w:t>Penerapan praktis dari kerangka kerja pemeringkatan risiko berbasis data pihak ketiga menuntut kepatuhan ketat terhadap kerangka hukum yang berlaku di Indonesia:</w:t>
      </w:r>
    </w:p>
    <w:p>
      <w:pPr>
        <w:spacing w:after="60" w:line="276" w:lineRule="auto"/>
        <w:ind w:left="360"/>
        <w:jc w:val="both"/>
      </w:pPr>
      <w:r>
        <w:rPr>
          <w:rFonts w:ascii="Times New Roman" w:hAnsi="Times New Roman"/>
          <w:i w:val="0"/>
          <w:sz w:val="21"/>
        </w:rPr>
        <w:t xml:space="preserve">a. </w:t>
      </w:r>
      <w:r>
        <w:rPr>
          <w:rFonts w:ascii="Times New Roman" w:hAnsi="Times New Roman"/>
          <w:b/>
          <w:i w:val="0"/>
          <w:sz w:val="21"/>
        </w:rPr>
        <w:t>Dasar Hukum Integrasi Data Pihak Ketiga:</w:t>
      </w:r>
      <w:r>
        <w:rPr>
          <w:rFonts w:ascii="Times New Roman" w:hAnsi="Times New Roman"/>
          <w:i w:val="0"/>
          <w:sz w:val="21"/>
        </w:rPr>
        <w:t xml:space="preserve"> Integrasi data transaksi perbankan dan lokapasar memerlukan landasan hukum sektoral perpajakan (seperti mandat pelaporan data instansi, lembaga, asosiasi, dan pihak lain/ILAP berdasarkan UU KUP dan PMK terkait) yang diselaraskan dengan asas pemrosesan data spesifik pada UU Nomor 27 Tahun 2022 (UU PDP).</w:t>
      </w:r>
    </w:p>
    <w:p>
      <w:pPr>
        <w:spacing w:after="60" w:line="276" w:lineRule="auto"/>
        <w:ind w:left="360"/>
        <w:jc w:val="both"/>
      </w:pPr>
      <w:r>
        <w:rPr>
          <w:rFonts w:ascii="Times New Roman" w:hAnsi="Times New Roman"/>
          <w:i w:val="0"/>
          <w:sz w:val="21"/>
        </w:rPr>
        <w:t xml:space="preserve">b. </w:t>
      </w:r>
      <w:r>
        <w:rPr>
          <w:rFonts w:ascii="Times New Roman" w:hAnsi="Times New Roman"/>
          <w:b/>
          <w:i w:val="0"/>
          <w:sz w:val="21"/>
        </w:rPr>
        <w:t>Anonimisasi dan Agregasi Data:</w:t>
      </w:r>
      <w:r>
        <w:rPr>
          <w:rFonts w:ascii="Times New Roman" w:hAnsi="Times New Roman"/>
          <w:i w:val="0"/>
          <w:sz w:val="21"/>
        </w:rPr>
        <w:t xml:space="preserve"> Untuk melindungi privasi wajib pajak, proses penggabungan data (</w:t>
      </w:r>
      <w:r>
        <w:rPr>
          <w:rFonts w:ascii="Times New Roman" w:hAnsi="Times New Roman"/>
          <w:i/>
          <w:sz w:val="21"/>
        </w:rPr>
        <w:t>data matching</w:t>
      </w:r>
      <w:r>
        <w:rPr>
          <w:rFonts w:ascii="Times New Roman" w:hAnsi="Times New Roman"/>
          <w:i w:val="0"/>
          <w:sz w:val="21"/>
        </w:rPr>
        <w:t>) pihak ketiga idealnya dilakukan melalui metode enkripsi satu arah (</w:t>
      </w:r>
      <w:r>
        <w:rPr>
          <w:rFonts w:ascii="Times New Roman" w:hAnsi="Times New Roman"/>
          <w:i/>
          <w:sz w:val="21"/>
        </w:rPr>
        <w:t>salted cryptographic hashing</w:t>
      </w:r>
      <w:r>
        <w:rPr>
          <w:rFonts w:ascii="Times New Roman" w:hAnsi="Times New Roman"/>
          <w:i w:val="0"/>
          <w:sz w:val="21"/>
        </w:rPr>
        <w:t>) pada Nomor Induk Kependudukan (NIK) atau Nomor Pokok Wajib Pajak (NPWP), sehingga data masukan yang diproses oleh algoritma berada dalam bentuk terpseudonimisir (</w:t>
      </w:r>
      <w:r>
        <w:rPr>
          <w:rFonts w:ascii="Times New Roman" w:hAnsi="Times New Roman"/>
          <w:i/>
          <w:sz w:val="21"/>
        </w:rPr>
        <w:t>pseudonymized</w:t>
      </w:r>
      <w:r>
        <w:rPr>
          <w:rFonts w:ascii="Times New Roman" w:hAnsi="Times New Roman"/>
          <w:i w:val="0"/>
          <w:sz w:val="21"/>
        </w:rPr>
        <w:t>).</w:t>
      </w:r>
    </w:p>
    <w:p>
      <w:pPr>
        <w:spacing w:after="60" w:line="276" w:lineRule="auto"/>
        <w:ind w:left="360"/>
        <w:jc w:val="both"/>
      </w:pPr>
      <w:r>
        <w:rPr>
          <w:rFonts w:ascii="Times New Roman" w:hAnsi="Times New Roman"/>
          <w:i w:val="0"/>
          <w:sz w:val="21"/>
        </w:rPr>
        <w:t xml:space="preserve">c. </w:t>
      </w:r>
      <w:r>
        <w:rPr>
          <w:rFonts w:ascii="Times New Roman" w:hAnsi="Times New Roman"/>
          <w:b/>
          <w:i w:val="0"/>
          <w:sz w:val="21"/>
        </w:rPr>
        <w:t>Pencegahan Bias Algoritmik Regional:</w:t>
      </w:r>
      <w:r>
        <w:rPr>
          <w:rFonts w:ascii="Times New Roman" w:hAnsi="Times New Roman"/>
          <w:i w:val="0"/>
          <w:sz w:val="21"/>
        </w:rPr>
        <w:t xml:space="preserve"> Penggunaan indikator wilayah tidak boleh dijadikan dasar diskriminasi perlakuan audit otomatis terhadap pedagang dari wilayah tertentu; indikator makro murni berperan sebagai variabel kontrol kontekstual.</w:t>
      </w:r>
    </w:p>
    <w:p>
      <w:pPr>
        <w:keepNext/>
        <w:spacing w:before="200" w:after="60"/>
      </w:pPr>
      <w:r>
        <w:rPr>
          <w:rFonts w:ascii="Times New Roman" w:hAnsi="Times New Roman"/>
          <w:b/>
          <w:i/>
          <w:sz w:val="21"/>
        </w:rPr>
        <w:t>5.2 Pertimbangan Ambang Batas Operasional dan Kompromi Kesalahan Audit</w:t>
      </w:r>
    </w:p>
    <w:p>
      <w:pPr>
        <w:spacing w:after="100" w:line="276" w:lineRule="auto"/>
        <w:ind w:firstLine="504"/>
        <w:jc w:val="both"/>
      </w:pPr>
      <w:r>
        <w:rPr>
          <w:rFonts w:ascii="Times New Roman" w:hAnsi="Times New Roman"/>
          <w:i w:val="0"/>
          <w:sz w:val="21"/>
        </w:rPr>
        <w:t xml:space="preserve">Dalam implementasi praktis di otoritas perpajakan, pemilihan wajib pajak yang diaudit tidak didasarkan pada ambang batas probabilitas arbitrer (seperti 0,50), melainkan ditentukan oleh </w:t>
      </w:r>
      <w:r>
        <w:rPr>
          <w:rFonts w:ascii="Times New Roman" w:hAnsi="Times New Roman"/>
          <w:b/>
          <w:i w:val="0"/>
          <w:sz w:val="21"/>
        </w:rPr>
        <w:t>kapasitas audit operasional (*audit capacity*)</w:t>
      </w:r>
      <w:r>
        <w:rPr>
          <w:rFonts w:ascii="Times New Roman" w:hAnsi="Times New Roman"/>
          <w:i w:val="0"/>
          <w:sz w:val="21"/>
        </w:rPr>
        <w:t xml:space="preserve"> dan pertimbangan rasio biaya kesalahan:</w:t>
      </w:r>
    </w:p>
    <w:p>
      <w:pPr>
        <w:spacing w:after="60" w:line="276" w:lineRule="auto"/>
        <w:ind w:left="360"/>
        <w:jc w:val="both"/>
      </w:pPr>
      <w:r>
        <w:rPr>
          <w:rFonts w:ascii="Times New Roman" w:hAnsi="Times New Roman"/>
          <w:i w:val="0"/>
          <w:sz w:val="21"/>
        </w:rPr>
        <w:t xml:space="preserve">a. </w:t>
      </w:r>
      <w:r>
        <w:rPr>
          <w:rFonts w:ascii="Times New Roman" w:hAnsi="Times New Roman"/>
          <w:b/>
          <w:i w:val="0"/>
          <w:sz w:val="21"/>
        </w:rPr>
        <w:t>Biaya Sosial Positif Palsu (*False Positive Cost*):</w:t>
      </w:r>
      <w:r>
        <w:rPr>
          <w:rFonts w:ascii="Times New Roman" w:hAnsi="Times New Roman"/>
          <w:i w:val="0"/>
          <w:sz w:val="21"/>
        </w:rPr>
        <w:t xml:space="preserve"> Pemanggilan pemeriksaan terhadap wajib pajak yang sebenarnya patuh menimbulkan beban biaya kepatuhan (</w:t>
      </w:r>
      <w:r>
        <w:rPr>
          <w:rFonts w:ascii="Times New Roman" w:hAnsi="Times New Roman"/>
          <w:i/>
          <w:sz w:val="21"/>
        </w:rPr>
        <w:t>compliance cost</w:t>
      </w:r>
      <w:r>
        <w:rPr>
          <w:rFonts w:ascii="Times New Roman" w:hAnsi="Times New Roman"/>
          <w:i w:val="0"/>
          <w:sz w:val="21"/>
        </w:rPr>
        <w:t>), hilangnya waktu produktif pelaku usaha UMKM, serta risiko mengikis kepercayaan publik (</w:t>
      </w:r>
      <w:r>
        <w:rPr>
          <w:rFonts w:ascii="Times New Roman" w:hAnsi="Times New Roman"/>
          <w:i/>
          <w:sz w:val="21"/>
        </w:rPr>
        <w:t>tax morale</w:t>
      </w:r>
      <w:r>
        <w:rPr>
          <w:rFonts w:ascii="Times New Roman" w:hAnsi="Times New Roman"/>
          <w:i w:val="0"/>
          <w:sz w:val="21"/>
        </w:rPr>
        <w:t>) terhadap asas keadilan fiskal (Alm &amp; Malézieux, 2021).</w:t>
      </w:r>
    </w:p>
    <w:p>
      <w:pPr>
        <w:spacing w:after="60" w:line="276" w:lineRule="auto"/>
        <w:ind w:left="360"/>
        <w:jc w:val="both"/>
      </w:pPr>
      <w:r>
        <w:rPr>
          <w:rFonts w:ascii="Times New Roman" w:hAnsi="Times New Roman"/>
          <w:i w:val="0"/>
          <w:sz w:val="21"/>
        </w:rPr>
        <w:t xml:space="preserve">b. </w:t>
      </w:r>
      <w:r>
        <w:rPr>
          <w:rFonts w:ascii="Times New Roman" w:hAnsi="Times New Roman"/>
          <w:b/>
          <w:i w:val="0"/>
          <w:sz w:val="21"/>
        </w:rPr>
        <w:t>Biaya Fiskal Negatif Palsu (*False Negative Cost*):</w:t>
      </w:r>
      <w:r>
        <w:rPr>
          <w:rFonts w:ascii="Times New Roman" w:hAnsi="Times New Roman"/>
          <w:i w:val="0"/>
          <w:sz w:val="21"/>
        </w:rPr>
        <w:t xml:space="preserve"> Lolosnya wajib pajak tidak patuh dari pengawasan menyebabkan potensi kebocoran penerimaan negara (</w:t>
      </w:r>
      <w:r>
        <w:rPr>
          <w:rFonts w:ascii="Times New Roman" w:hAnsi="Times New Roman"/>
          <w:i/>
          <w:sz w:val="21"/>
        </w:rPr>
        <w:t>tax gap</w:t>
      </w:r>
      <w:r>
        <w:rPr>
          <w:rFonts w:ascii="Times New Roman" w:hAnsi="Times New Roman"/>
          <w:i w:val="0"/>
          <w:sz w:val="21"/>
        </w:rPr>
        <w:t>) dan menciptakan ketidakadilan persaingan usaha (</w:t>
      </w:r>
      <w:r>
        <w:rPr>
          <w:rFonts w:ascii="Times New Roman" w:hAnsi="Times New Roman"/>
          <w:i/>
          <w:sz w:val="21"/>
        </w:rPr>
        <w:t>unfair competition</w:t>
      </w:r>
      <w:r>
        <w:rPr>
          <w:rFonts w:ascii="Times New Roman" w:hAnsi="Times New Roman"/>
          <w:i w:val="0"/>
          <w:sz w:val="21"/>
        </w:rPr>
        <w:t>) terhadap pedagang yang patuh membayar pajak.</w:t>
      </w:r>
    </w:p>
    <w:p>
      <w:pPr>
        <w:spacing w:after="60" w:line="276" w:lineRule="auto"/>
        <w:ind w:left="360"/>
        <w:jc w:val="both"/>
      </w:pPr>
      <w:r>
        <w:rPr>
          <w:rFonts w:ascii="Times New Roman" w:hAnsi="Times New Roman"/>
          <w:i w:val="0"/>
          <w:sz w:val="21"/>
        </w:rPr>
        <w:t xml:space="preserve">c. </w:t>
      </w:r>
      <w:r>
        <w:rPr>
          <w:rFonts w:ascii="Times New Roman" w:hAnsi="Times New Roman"/>
          <w:b/>
          <w:i w:val="0"/>
          <w:sz w:val="21"/>
        </w:rPr>
        <w:t>Penetapan Kuota Pemeriksaan Berbasis Persentil (*Capacity-Agnostic Top-K% Selection*):</w:t>
      </w:r>
      <w:r>
        <w:rPr>
          <w:rFonts w:ascii="Times New Roman" w:hAnsi="Times New Roman"/>
          <w:i w:val="0"/>
          <w:sz w:val="21"/>
        </w:rPr>
        <w:t xml:space="preserve"> Mengingat keterbatasan personel pemeriksa pajak, DJP dapat memanfaatkan model murni untuk memeringkat risiko wajib pajak secara kontinu, kemudian memilih kuota K% teratas (misalnya 10% atau 20% teratas) sesuai kapasitas sumber daya unit vertikal kantor pelayanan pajak setempat.</w:t>
      </w:r>
    </w:p>
    <w:p>
      <w:pPr>
        <w:keepNext/>
        <w:spacing w:before="200" w:after="60"/>
      </w:pPr>
      <w:r>
        <w:rPr>
          <w:rFonts w:ascii="Times New Roman" w:hAnsi="Times New Roman"/>
          <w:b/>
          <w:i/>
          <w:sz w:val="21"/>
        </w:rPr>
        <w:t>5.3 Keterbatasan Simulasi dan Validasi Eksternal</w:t>
      </w:r>
    </w:p>
    <w:p>
      <w:pPr>
        <w:spacing w:after="100" w:line="276" w:lineRule="auto"/>
        <w:ind w:firstLine="504"/>
        <w:jc w:val="both"/>
      </w:pPr>
      <w:r>
        <w:rPr>
          <w:rFonts w:ascii="Times New Roman" w:hAnsi="Times New Roman"/>
          <w:i w:val="0"/>
          <w:sz w:val="21"/>
        </w:rPr>
        <w:t>Penelitian ini memiliki sejumlah keterbatasan epistemik dan metodologis yang harus ditekankan secara transparan:</w:t>
      </w:r>
    </w:p>
    <w:p>
      <w:pPr>
        <w:spacing w:after="60" w:line="276" w:lineRule="auto"/>
        <w:ind w:left="360"/>
        <w:jc w:val="both"/>
      </w:pPr>
      <w:r>
        <w:rPr>
          <w:rFonts w:ascii="Times New Roman" w:hAnsi="Times New Roman"/>
          <w:i w:val="0"/>
          <w:sz w:val="21"/>
        </w:rPr>
        <w:t xml:space="preserve">a. </w:t>
      </w:r>
      <w:r>
        <w:rPr>
          <w:rFonts w:ascii="Times New Roman" w:hAnsi="Times New Roman"/>
          <w:b/>
          <w:i w:val="0"/>
          <w:sz w:val="21"/>
        </w:rPr>
        <w:t>Karakteristik Proof-of-Concept:</w:t>
      </w:r>
      <w:r>
        <w:rPr>
          <w:rFonts w:ascii="Times New Roman" w:hAnsi="Times New Roman"/>
          <w:i w:val="0"/>
          <w:sz w:val="21"/>
        </w:rPr>
        <w:t xml:space="preserve"> Seluruh temuan kuantitatif (seperti ROC-AUC 0,7856 dan Decile Lift 2,38x) diperoleh dari lingkungan simulasi sintetis berbasis asumsi DGP yang dirancang oleh penulis. Hasil ini berfungsi sebagai pembuktian kelayakan metodologis (</w:t>
      </w:r>
      <w:r>
        <w:rPr>
          <w:rFonts w:ascii="Times New Roman" w:hAnsi="Times New Roman"/>
          <w:i/>
          <w:sz w:val="21"/>
        </w:rPr>
        <w:t>proof-of-concept</w:t>
      </w:r>
      <w:r>
        <w:rPr>
          <w:rFonts w:ascii="Times New Roman" w:hAnsi="Times New Roman"/>
          <w:i w:val="0"/>
          <w:sz w:val="21"/>
        </w:rPr>
        <w:t>) dan belum dapat diekstrapolasi langsung sebagai evaluasi efektivitas kebijakan empiris pada populasi wajib pajak riil (Snoke et al., 2018).</w:t>
      </w:r>
    </w:p>
    <w:p>
      <w:pPr>
        <w:spacing w:after="60" w:line="276" w:lineRule="auto"/>
        <w:ind w:left="360"/>
        <w:jc w:val="both"/>
      </w:pPr>
      <w:r>
        <w:rPr>
          <w:rFonts w:ascii="Times New Roman" w:hAnsi="Times New Roman"/>
          <w:i w:val="0"/>
          <w:sz w:val="21"/>
        </w:rPr>
        <w:t xml:space="preserve">b. </w:t>
      </w:r>
      <w:r>
        <w:rPr>
          <w:rFonts w:ascii="Times New Roman" w:hAnsi="Times New Roman"/>
          <w:b/>
          <w:i w:val="0"/>
          <w:sz w:val="21"/>
        </w:rPr>
        <w:t>Keterbatasan Dua Indikator BPS:</w:t>
      </w:r>
      <w:r>
        <w:rPr>
          <w:rFonts w:ascii="Times New Roman" w:hAnsi="Times New Roman"/>
          <w:i w:val="0"/>
          <w:sz w:val="21"/>
        </w:rPr>
        <w:t xml:space="preserve"> Evaluasi makroekonomi dalam penelitian ini hanya mencakup dua indikator (penetrasi e-commerce dan IP-TIK). Kesimpulan bahwa data makro memberikan kontribusi marginal hanya berlaku khusus pada dua indikator yang diuji dalam DGP ini, dan tidak dapat digeneralisasikan pada seluruh portofolio data statistik BPS.</w:t>
      </w:r>
    </w:p>
    <w:p>
      <w:pPr>
        <w:spacing w:after="60" w:line="276" w:lineRule="auto"/>
        <w:ind w:left="360"/>
        <w:jc w:val="both"/>
      </w:pPr>
      <w:r>
        <w:rPr>
          <w:rFonts w:ascii="Times New Roman" w:hAnsi="Times New Roman"/>
          <w:i w:val="0"/>
          <w:sz w:val="21"/>
        </w:rPr>
        <w:t xml:space="preserve">c. </w:t>
      </w:r>
      <w:r>
        <w:rPr>
          <w:rFonts w:ascii="Times New Roman" w:hAnsi="Times New Roman"/>
          <w:b/>
          <w:i w:val="0"/>
          <w:sz w:val="21"/>
        </w:rPr>
        <w:t>Kebutuhan Validasi Lapangan:</w:t>
      </w:r>
      <w:r>
        <w:rPr>
          <w:rFonts w:ascii="Times New Roman" w:hAnsi="Times New Roman"/>
          <w:i w:val="0"/>
          <w:sz w:val="21"/>
        </w:rPr>
        <w:t xml:space="preserve"> Validasi eksternal memerlukan akses terhadap sampel audit historis teranomisasi (</w:t>
      </w:r>
      <w:r>
        <w:rPr>
          <w:rFonts w:ascii="Times New Roman" w:hAnsi="Times New Roman"/>
          <w:i/>
          <w:sz w:val="21"/>
        </w:rPr>
        <w:t>historical tax audit sample</w:t>
      </w:r>
      <w:r>
        <w:rPr>
          <w:rFonts w:ascii="Times New Roman" w:hAnsi="Times New Roman"/>
          <w:i w:val="0"/>
          <w:sz w:val="21"/>
        </w:rPr>
        <w:t>) dari otoritas pajak untuk menguji apakah korelasi antara proksi pihak ketiga dan temuan audit riil memiliki kekuatan sinyal yang setara dengan asumsi DGP.</w:t>
      </w:r>
    </w:p>
    <w:p>
      <w:pPr>
        <w:spacing w:after="100" w:line="276" w:lineRule="auto"/>
        <w:ind w:firstLine="504"/>
        <w:jc w:val="both"/>
      </w:pPr>
      <w:r>
        <w:rPr>
          <w:rFonts w:ascii="Times New Roman" w:hAnsi="Times New Roman"/>
          <w:i w:val="0"/>
          <w:sz w:val="21"/>
        </w:rPr>
        <w:t>---</w:t>
      </w:r>
    </w:p>
    <w:p>
      <w:pPr>
        <w:keepNext/>
        <w:spacing w:before="280" w:after="80"/>
      </w:pPr>
      <w:r>
        <w:rPr>
          <w:rFonts w:ascii="Times New Roman" w:hAnsi="Times New Roman"/>
          <w:b/>
          <w:sz w:val="22"/>
        </w:rPr>
        <w:t>6. KESIMPULAN DAN REKOMENDASI</w:t>
      </w:r>
    </w:p>
    <w:p>
      <w:pPr>
        <w:keepNext/>
        <w:spacing w:before="200" w:after="60"/>
      </w:pPr>
      <w:r>
        <w:rPr>
          <w:rFonts w:ascii="Times New Roman" w:hAnsi="Times New Roman"/>
          <w:b/>
          <w:i/>
          <w:sz w:val="21"/>
        </w:rPr>
        <w:t>6.1 Kesimpulan</w:t>
      </w:r>
    </w:p>
    <w:p>
      <w:pPr>
        <w:spacing w:after="100" w:line="276" w:lineRule="auto"/>
        <w:ind w:firstLine="504"/>
        <w:jc w:val="both"/>
      </w:pPr>
      <w:r>
        <w:rPr>
          <w:rFonts w:ascii="Times New Roman" w:hAnsi="Times New Roman"/>
          <w:i w:val="0"/>
          <w:sz w:val="21"/>
        </w:rPr>
        <w:t xml:space="preserve">Penelitian ini merumuskan kerangka tolok ukur simulasi untuk menguji nilai informasi integrasi data pihak ketiga dalam pemeringkatan risiko kepatuhan pedagang daring. Dalam batas lingkungan simulasi yang diasumsikan, studi ablasi mengindikasikan bahwa pelaporan mandiri semata memiliki daya pembeda yang sangat terbatas (ROC-AUC 0,5641), sedangkan integrasi data transaksi gerbang pembayaran digital dan logistik berkorelasi dengan peningkatan performa pemeringkatan risiko yang substansial (ROC-AUC 0,7667 dan Top-20% Risk Yield 46,0%). Dua indikator regional berbasis data BPS yang diuji memberikan kontribusi prediktif marginal (ΔAUC = +0,0017). Model linier </w:t>
      </w:r>
      <w:r>
        <w:rPr>
          <w:rFonts w:ascii="Times New Roman" w:hAnsi="Times New Roman"/>
          <w:i/>
          <w:sz w:val="21"/>
        </w:rPr>
        <w:t>Logistic Regression</w:t>
      </w:r>
      <w:r>
        <w:rPr>
          <w:rFonts w:ascii="Times New Roman" w:hAnsi="Times New Roman"/>
          <w:i w:val="0"/>
          <w:sz w:val="21"/>
        </w:rPr>
        <w:t xml:space="preserve"> memberikan kinerja diskriminasi tertinggi pada data uji (0,7856) karena kompleksitas model yang rendah dan minimnya risiko overfitting pada struktur data linier terdistorsi, sementara </w:t>
      </w:r>
      <w:r>
        <w:rPr>
          <w:rFonts w:ascii="Times New Roman" w:hAnsi="Times New Roman"/>
          <w:i/>
          <w:sz w:val="21"/>
        </w:rPr>
        <w:t>TPE-optimized XGBoost</w:t>
      </w:r>
      <w:r>
        <w:rPr>
          <w:rFonts w:ascii="Times New Roman" w:hAnsi="Times New Roman"/>
          <w:i w:val="0"/>
          <w:sz w:val="21"/>
        </w:rPr>
        <w:t xml:space="preserve"> menghasilkan ROC-AUC 0,7682. Validasi lintas provinsi memberikan indikasi awal kemampuan generalisasi model pada provinsi holdout di dalam lingkungan simulasi (0,7643 ± 0,0321).</w:t>
      </w:r>
    </w:p>
    <w:p>
      <w:pPr>
        <w:keepNext/>
        <w:spacing w:before="200" w:after="60"/>
      </w:pPr>
      <w:r>
        <w:rPr>
          <w:rFonts w:ascii="Times New Roman" w:hAnsi="Times New Roman"/>
          <w:b/>
          <w:i/>
          <w:sz w:val="21"/>
        </w:rPr>
        <w:t>6.2 Rekomendasi Kebijakan</w:t>
      </w:r>
    </w:p>
    <w:p>
      <w:pPr>
        <w:spacing w:after="60" w:line="276" w:lineRule="auto"/>
        <w:ind w:left="360"/>
        <w:jc w:val="both"/>
      </w:pPr>
      <w:r>
        <w:rPr>
          <w:rFonts w:ascii="Times New Roman" w:hAnsi="Times New Roman"/>
          <w:i w:val="0"/>
          <w:sz w:val="21"/>
        </w:rPr>
        <w:t xml:space="preserve">a. </w:t>
      </w:r>
      <w:r>
        <w:rPr>
          <w:rFonts w:ascii="Times New Roman" w:hAnsi="Times New Roman"/>
          <w:b/>
          <w:i w:val="0"/>
          <w:sz w:val="21"/>
        </w:rPr>
        <w:t>Interoperabilitas Data Pihak Ketiga:</w:t>
      </w:r>
      <w:r>
        <w:rPr>
          <w:rFonts w:ascii="Times New Roman" w:hAnsi="Times New Roman"/>
          <w:i w:val="0"/>
          <w:sz w:val="21"/>
        </w:rPr>
        <w:t xml:space="preserve"> Memprioritaskan standardisasi protokol pertukaran data terenkripsi antara otoritas pajak, penyedia gerbang pembayaran digital, dan platform logistik.</w:t>
      </w:r>
    </w:p>
    <w:p>
      <w:pPr>
        <w:spacing w:after="60" w:line="276" w:lineRule="auto"/>
        <w:ind w:left="360"/>
        <w:jc w:val="both"/>
      </w:pPr>
      <w:r>
        <w:rPr>
          <w:rFonts w:ascii="Times New Roman" w:hAnsi="Times New Roman"/>
          <w:i w:val="0"/>
          <w:sz w:val="21"/>
        </w:rPr>
        <w:t xml:space="preserve">b. </w:t>
      </w:r>
      <w:r>
        <w:rPr>
          <w:rFonts w:ascii="Times New Roman" w:hAnsi="Times New Roman"/>
          <w:b/>
          <w:i w:val="0"/>
          <w:sz w:val="21"/>
        </w:rPr>
        <w:t>Pemanfaatan Model sebagai Alat Pemeringkat Prioritas (*Decision Support System*):</w:t>
      </w:r>
      <w:r>
        <w:rPr>
          <w:rFonts w:ascii="Times New Roman" w:hAnsi="Times New Roman"/>
          <w:i w:val="0"/>
          <w:sz w:val="21"/>
        </w:rPr>
        <w:t xml:space="preserve"> Menggunakan skor probabilitas model murni sebagai instrumen penyaring prioritas pemeriksaan, bukan penentu sanksi hukum otomatis, guna menjaga akuntabilitas algoritma.</w:t>
      </w:r>
    </w:p>
    <w:p>
      <w:pPr>
        <w:spacing w:after="60" w:line="276" w:lineRule="auto"/>
        <w:ind w:left="360"/>
        <w:jc w:val="both"/>
      </w:pPr>
      <w:r>
        <w:rPr>
          <w:rFonts w:ascii="Times New Roman" w:hAnsi="Times New Roman"/>
          <w:i w:val="0"/>
          <w:sz w:val="21"/>
        </w:rPr>
        <w:t xml:space="preserve">c. </w:t>
      </w:r>
      <w:r>
        <w:rPr>
          <w:rFonts w:ascii="Times New Roman" w:hAnsi="Times New Roman"/>
          <w:b/>
          <w:i w:val="0"/>
          <w:sz w:val="21"/>
        </w:rPr>
        <w:t>Uji Validasi Empiris Bertahap:</w:t>
      </w:r>
      <w:r>
        <w:rPr>
          <w:rFonts w:ascii="Times New Roman" w:hAnsi="Times New Roman"/>
          <w:i w:val="0"/>
          <w:sz w:val="21"/>
        </w:rPr>
        <w:t xml:space="preserve"> Menjadikan kerangka simulasi ini sebagai landasan desain eksperimen sebelum menguji coba model pada basis data audit administratif riil berskala percontohan (</w:t>
      </w:r>
      <w:r>
        <w:rPr>
          <w:rFonts w:ascii="Times New Roman" w:hAnsi="Times New Roman"/>
          <w:i/>
          <w:sz w:val="21"/>
        </w:rPr>
        <w:t>pilot project</w:t>
      </w:r>
      <w:r>
        <w:rPr>
          <w:rFonts w:ascii="Times New Roman" w:hAnsi="Times New Roman"/>
          <w:i w:val="0"/>
          <w:sz w:val="21"/>
        </w:rPr>
        <w:t>).</w:t>
      </w:r>
    </w:p>
    <w:p>
      <w:pPr>
        <w:spacing w:after="100" w:line="276" w:lineRule="auto"/>
        <w:ind w:firstLine="504"/>
        <w:jc w:val="both"/>
      </w:pPr>
      <w:r>
        <w:rPr>
          <w:rFonts w:ascii="Times New Roman" w:hAnsi="Times New Roman"/>
          <w:i w:val="0"/>
          <w:sz w:val="21"/>
        </w:rPr>
        <w:t>---</w:t>
      </w:r>
    </w:p>
    <w:p>
      <w:pPr>
        <w:keepNext/>
        <w:spacing w:before="280" w:after="80"/>
      </w:pPr>
      <w:r>
        <w:rPr>
          <w:rFonts w:ascii="Times New Roman" w:hAnsi="Times New Roman"/>
          <w:b/>
          <w:sz w:val="22"/>
        </w:rPr>
        <w:t>DAFTAR PUSTAKA</w:t>
      </w:r>
    </w:p>
    <w:p>
      <w:pPr>
        <w:spacing w:after="80" w:line="252" w:lineRule="auto"/>
        <w:ind w:left="432" w:hanging="432"/>
        <w:jc w:val="both"/>
      </w:pPr>
      <w:r>
        <w:rPr>
          <w:rFonts w:ascii="Times New Roman" w:hAnsi="Times New Roman"/>
          <w:i w:val="0"/>
          <w:sz w:val="19"/>
        </w:rPr>
        <w:t xml:space="preserve">Alm, J., &amp; Malézieux, A. (2021). 40 years of tax evasion games: a meta-analysis. </w:t>
      </w:r>
      <w:r>
        <w:rPr>
          <w:rFonts w:ascii="Times New Roman" w:hAnsi="Times New Roman"/>
          <w:i/>
          <w:sz w:val="19"/>
        </w:rPr>
        <w:t>Experimental Economics</w:t>
      </w:r>
      <w:r>
        <w:rPr>
          <w:rFonts w:ascii="Times New Roman" w:hAnsi="Times New Roman"/>
          <w:i w:val="0"/>
          <w:sz w:val="19"/>
        </w:rPr>
        <w:t>, 24(3), 699-750. https://doi.org/10.1007/s10683-020-09679-3</w:t>
      </w:r>
    </w:p>
    <w:p>
      <w:pPr>
        <w:spacing w:after="80" w:line="252" w:lineRule="auto"/>
        <w:ind w:left="432" w:hanging="432"/>
        <w:jc w:val="both"/>
      </w:pPr>
      <w:r>
        <w:rPr>
          <w:rFonts w:ascii="Times New Roman" w:hAnsi="Times New Roman"/>
          <w:i w:val="0"/>
          <w:sz w:val="19"/>
        </w:rPr>
        <w:t xml:space="preserve">Badan Pusat Statistik. (2024). </w:t>
      </w:r>
      <w:r>
        <w:rPr>
          <w:rFonts w:ascii="Times New Roman" w:hAnsi="Times New Roman"/>
          <w:i/>
          <w:sz w:val="19"/>
        </w:rPr>
        <w:t>Indeks Pembangunan Teknologi Informasi dan Komunikasi 2023</w:t>
      </w:r>
      <w:r>
        <w:rPr>
          <w:rFonts w:ascii="Times New Roman" w:hAnsi="Times New Roman"/>
          <w:i w:val="0"/>
          <w:sz w:val="19"/>
        </w:rPr>
        <w:t>. Jakarta: BPS RI.</w:t>
      </w:r>
    </w:p>
    <w:p>
      <w:pPr>
        <w:spacing w:after="80" w:line="252" w:lineRule="auto"/>
        <w:ind w:left="432" w:hanging="432"/>
        <w:jc w:val="both"/>
      </w:pPr>
      <w:r>
        <w:rPr>
          <w:rFonts w:ascii="Times New Roman" w:hAnsi="Times New Roman"/>
          <w:i w:val="0"/>
          <w:sz w:val="19"/>
        </w:rPr>
        <w:t xml:space="preserve">Badan Pusat Statistik. (2024). </w:t>
      </w:r>
      <w:r>
        <w:rPr>
          <w:rFonts w:ascii="Times New Roman" w:hAnsi="Times New Roman"/>
          <w:i/>
          <w:sz w:val="19"/>
        </w:rPr>
        <w:t>Statistik E-Commerce 2024</w:t>
      </w:r>
      <w:r>
        <w:rPr>
          <w:rFonts w:ascii="Times New Roman" w:hAnsi="Times New Roman"/>
          <w:i w:val="0"/>
          <w:sz w:val="19"/>
        </w:rPr>
        <w:t>. Jakarta: BPS RI.</w:t>
      </w:r>
    </w:p>
    <w:p>
      <w:pPr>
        <w:spacing w:after="80" w:line="252" w:lineRule="auto"/>
        <w:ind w:left="432" w:hanging="432"/>
        <w:jc w:val="both"/>
      </w:pPr>
      <w:r>
        <w:rPr>
          <w:rFonts w:ascii="Times New Roman" w:hAnsi="Times New Roman"/>
          <w:i w:val="0"/>
          <w:sz w:val="19"/>
        </w:rPr>
        <w:t xml:space="preserve">Battaglini, M., Guiso, L., Lacava, C., Miller, D. L., &amp; Patacchini, E. (2022). </w:t>
      </w:r>
      <w:r>
        <w:rPr>
          <w:rFonts w:ascii="Times New Roman" w:hAnsi="Times New Roman"/>
          <w:i/>
          <w:sz w:val="19"/>
        </w:rPr>
        <w:t>Refining Public Policies with Machine Learning: The Case of Tax Auditing</w:t>
      </w:r>
      <w:r>
        <w:rPr>
          <w:rFonts w:ascii="Times New Roman" w:hAnsi="Times New Roman"/>
          <w:i w:val="0"/>
          <w:sz w:val="19"/>
        </w:rPr>
        <w:t xml:space="preserve"> (NBER Working Paper No. 30777). National Bureau of Economic Research. https://doi.org/10.3386/w30777</w:t>
      </w:r>
    </w:p>
    <w:p>
      <w:pPr>
        <w:spacing w:after="80" w:line="252" w:lineRule="auto"/>
        <w:ind w:left="432" w:hanging="432"/>
        <w:jc w:val="both"/>
      </w:pPr>
      <w:r>
        <w:rPr>
          <w:rFonts w:ascii="Times New Roman" w:hAnsi="Times New Roman"/>
          <w:i w:val="0"/>
          <w:sz w:val="19"/>
        </w:rPr>
        <w:t xml:space="preserve">Bergstra, J., Bardenet, R., Bengio, Y., &amp; Kégl, B. (2011). Algorithms for hyper-parameter optimization. </w:t>
      </w:r>
      <w:r>
        <w:rPr>
          <w:rFonts w:ascii="Times New Roman" w:hAnsi="Times New Roman"/>
          <w:i/>
          <w:sz w:val="19"/>
        </w:rPr>
        <w:t>Advances in Neural Information Processing Systems (NeurIPS)</w:t>
      </w:r>
      <w:r>
        <w:rPr>
          <w:rFonts w:ascii="Times New Roman" w:hAnsi="Times New Roman"/>
          <w:i w:val="0"/>
          <w:sz w:val="19"/>
        </w:rPr>
        <w:t>, 24, 2546-2554.</w:t>
      </w:r>
    </w:p>
    <w:p>
      <w:pPr>
        <w:spacing w:after="80" w:line="252" w:lineRule="auto"/>
        <w:ind w:left="432" w:hanging="432"/>
        <w:jc w:val="both"/>
      </w:pPr>
      <w:r>
        <w:rPr>
          <w:rFonts w:ascii="Times New Roman" w:hAnsi="Times New Roman"/>
          <w:i w:val="0"/>
          <w:sz w:val="19"/>
        </w:rPr>
        <w:t xml:space="preserve">Carpenter, J., &amp; Bithell, J. (2000). Bootstrap confidence intervals: when, which, what? A practical guide for medical statisticians. </w:t>
      </w:r>
      <w:r>
        <w:rPr>
          <w:rFonts w:ascii="Times New Roman" w:hAnsi="Times New Roman"/>
          <w:i/>
          <w:sz w:val="19"/>
        </w:rPr>
        <w:t>Statistics in Medicine</w:t>
      </w:r>
      <w:r>
        <w:rPr>
          <w:rFonts w:ascii="Times New Roman" w:hAnsi="Times New Roman"/>
          <w:i w:val="0"/>
          <w:sz w:val="19"/>
        </w:rPr>
        <w:t>, 19(9), 1141-1164. https://doi.org/10.1002/(sici)1097-0258(20000515)19:9&lt;1141::aid-sim479&gt;3.0.co;2-f</w:t>
      </w:r>
    </w:p>
    <w:p>
      <w:pPr>
        <w:spacing w:after="80" w:line="252" w:lineRule="auto"/>
        <w:ind w:left="432" w:hanging="432"/>
        <w:jc w:val="both"/>
      </w:pPr>
      <w:r>
        <w:rPr>
          <w:rFonts w:ascii="Times New Roman" w:hAnsi="Times New Roman"/>
          <w:i w:val="0"/>
          <w:sz w:val="19"/>
        </w:rPr>
        <w:t xml:space="preserve">de Roux, D., Pérez, B., Moreno, A., Villamil, M. P., &amp; Figueroa, C. (2018). Tax fraud detection for under-reporting declarations using an unsupervised machine learning approach. In </w:t>
      </w:r>
      <w:r>
        <w:rPr>
          <w:rFonts w:ascii="Times New Roman" w:hAnsi="Times New Roman"/>
          <w:i/>
          <w:sz w:val="19"/>
        </w:rPr>
        <w:t>Proceedings of the 24th ACM SIGKDD International Conference on Knowledge Discovery &amp; Data Mining (KDD '18)</w:t>
      </w:r>
      <w:r>
        <w:rPr>
          <w:rFonts w:ascii="Times New Roman" w:hAnsi="Times New Roman"/>
          <w:i w:val="0"/>
          <w:sz w:val="19"/>
        </w:rPr>
        <w:t xml:space="preserve"> (pp. 215-222). Association for Computing Machinery. https://doi.org/10.1145/3219819.3219878</w:t>
      </w:r>
    </w:p>
    <w:p>
      <w:pPr>
        <w:spacing w:after="80" w:line="252" w:lineRule="auto"/>
        <w:ind w:left="432" w:hanging="432"/>
        <w:jc w:val="both"/>
      </w:pPr>
      <w:r>
        <w:rPr>
          <w:rFonts w:ascii="Times New Roman" w:hAnsi="Times New Roman"/>
          <w:i w:val="0"/>
          <w:sz w:val="19"/>
        </w:rPr>
        <w:t xml:space="preserve">Direktorat Jenderal Pajak. (2023). </w:t>
      </w:r>
      <w:r>
        <w:rPr>
          <w:rFonts w:ascii="Times New Roman" w:hAnsi="Times New Roman"/>
          <w:i/>
          <w:sz w:val="19"/>
        </w:rPr>
        <w:t>Laporan Tahunan Direktorat Jenderal Pajak 2023: Transformasi Digital Perpajakan</w:t>
      </w:r>
      <w:r>
        <w:rPr>
          <w:rFonts w:ascii="Times New Roman" w:hAnsi="Times New Roman"/>
          <w:i w:val="0"/>
          <w:sz w:val="19"/>
        </w:rPr>
        <w:t>. Jakarta: Kementerian Keuangan Republik Indonesia.</w:t>
      </w:r>
    </w:p>
    <w:p>
      <w:pPr>
        <w:spacing w:after="80" w:line="252" w:lineRule="auto"/>
        <w:ind w:left="432" w:hanging="432"/>
        <w:jc w:val="both"/>
      </w:pPr>
      <w:r>
        <w:rPr>
          <w:rFonts w:ascii="Times New Roman" w:hAnsi="Times New Roman"/>
          <w:i w:val="0"/>
          <w:sz w:val="19"/>
        </w:rPr>
        <w:t xml:space="preserve">Direktorat Jenderal Pajak. (2026). </w:t>
      </w:r>
      <w:r>
        <w:rPr>
          <w:rFonts w:ascii="Times New Roman" w:hAnsi="Times New Roman"/>
          <w:i/>
          <w:sz w:val="19"/>
        </w:rPr>
        <w:t>Penerimaan Pajak Digital Capai Rp38,7 Triliun per Kuartal I-2026</w:t>
      </w:r>
      <w:r>
        <w:rPr>
          <w:rFonts w:ascii="Times New Roman" w:hAnsi="Times New Roman"/>
          <w:i w:val="0"/>
          <w:sz w:val="19"/>
        </w:rPr>
        <w:t xml:space="preserve"> (Siaran Pers No. SP-08/2026). Jakarta: Kementerian Keuangan Republik Indonesia.</w:t>
      </w:r>
    </w:p>
    <w:p>
      <w:pPr>
        <w:spacing w:after="80" w:line="252" w:lineRule="auto"/>
        <w:ind w:left="432" w:hanging="432"/>
        <w:jc w:val="both"/>
      </w:pPr>
      <w:r>
        <w:rPr>
          <w:rFonts w:ascii="Times New Roman" w:hAnsi="Times New Roman"/>
          <w:i w:val="0"/>
          <w:sz w:val="19"/>
        </w:rPr>
        <w:t xml:space="preserve">Feurer, M., Klein, A., Eggensperger, K., Springenberg, J., Blum, M., &amp; Hutter, F. (2019). Auto-sklearn: Efficient and robust automated machine learning. </w:t>
      </w:r>
      <w:r>
        <w:rPr>
          <w:rFonts w:ascii="Times New Roman" w:hAnsi="Times New Roman"/>
          <w:i/>
          <w:sz w:val="19"/>
        </w:rPr>
        <w:t>Automated Machine Learning</w:t>
      </w:r>
      <w:r>
        <w:rPr>
          <w:rFonts w:ascii="Times New Roman" w:hAnsi="Times New Roman"/>
          <w:i w:val="0"/>
          <w:sz w:val="19"/>
        </w:rPr>
        <w:t>, 113-134. Springer, Cham. https://doi.org/10.1007/978-3-030-05318-5_6</w:t>
      </w:r>
    </w:p>
    <w:p>
      <w:pPr>
        <w:spacing w:after="80" w:line="252" w:lineRule="auto"/>
        <w:ind w:left="432" w:hanging="432"/>
        <w:jc w:val="both"/>
      </w:pPr>
      <w:r>
        <w:rPr>
          <w:rFonts w:ascii="Times New Roman" w:hAnsi="Times New Roman"/>
          <w:i w:val="0"/>
          <w:sz w:val="19"/>
        </w:rPr>
        <w:t xml:space="preserve">Google, Temasek, &amp; Bain &amp; Company. (2025). </w:t>
      </w:r>
      <w:r>
        <w:rPr>
          <w:rFonts w:ascii="Times New Roman" w:hAnsi="Times New Roman"/>
          <w:i/>
          <w:sz w:val="19"/>
        </w:rPr>
        <w:t>e-Conomy SEA 2025: Navigating the Digital Acceleration in Southeast Asia</w:t>
      </w:r>
      <w:r>
        <w:rPr>
          <w:rFonts w:ascii="Times New Roman" w:hAnsi="Times New Roman"/>
          <w:i w:val="0"/>
          <w:sz w:val="19"/>
        </w:rPr>
        <w:t>. Singapore.</w:t>
      </w:r>
    </w:p>
    <w:p>
      <w:pPr>
        <w:spacing w:after="80" w:line="252" w:lineRule="auto"/>
        <w:ind w:left="432" w:hanging="432"/>
        <w:jc w:val="both"/>
      </w:pPr>
      <w:r>
        <w:rPr>
          <w:rFonts w:ascii="Times New Roman" w:hAnsi="Times New Roman"/>
          <w:i w:val="0"/>
          <w:sz w:val="19"/>
        </w:rPr>
        <w:t xml:space="preserve">Hutter, F., Kotthoff, L., &amp; Vanschoren, J. (Eds.). (2019). </w:t>
      </w:r>
      <w:r>
        <w:rPr>
          <w:rFonts w:ascii="Times New Roman" w:hAnsi="Times New Roman"/>
          <w:i/>
          <w:sz w:val="19"/>
        </w:rPr>
        <w:t>Automated Machine Learning: Methods, Systems, Challenges</w:t>
      </w:r>
      <w:r>
        <w:rPr>
          <w:rFonts w:ascii="Times New Roman" w:hAnsi="Times New Roman"/>
          <w:i w:val="0"/>
          <w:sz w:val="19"/>
        </w:rPr>
        <w:t>. Springer Nature. https://doi.org/10.1007/978-3-030-05318-5</w:t>
      </w:r>
    </w:p>
    <w:p>
      <w:pPr>
        <w:spacing w:after="80" w:line="252" w:lineRule="auto"/>
        <w:ind w:left="432" w:hanging="432"/>
        <w:jc w:val="both"/>
      </w:pPr>
      <w:r>
        <w:rPr>
          <w:rFonts w:ascii="Times New Roman" w:hAnsi="Times New Roman"/>
          <w:i w:val="0"/>
          <w:sz w:val="19"/>
        </w:rPr>
        <w:t xml:space="preserve">Kementerian Keuangan Republik Indonesia. (2024). </w:t>
      </w:r>
      <w:r>
        <w:rPr>
          <w:rFonts w:ascii="Times New Roman" w:hAnsi="Times New Roman"/>
          <w:i/>
          <w:sz w:val="19"/>
        </w:rPr>
        <w:t>Kerangka Ekonomi Makro dan Pokok-Pokok Kebijakan Fiskal Tahun 2025</w:t>
      </w:r>
      <w:r>
        <w:rPr>
          <w:rFonts w:ascii="Times New Roman" w:hAnsi="Times New Roman"/>
          <w:i w:val="0"/>
          <w:sz w:val="19"/>
        </w:rPr>
        <w:t>. Jakarta: Badan Kebijakan Fiskal.</w:t>
      </w:r>
    </w:p>
    <w:p>
      <w:pPr>
        <w:spacing w:after="80" w:line="252" w:lineRule="auto"/>
        <w:ind w:left="432" w:hanging="432"/>
        <w:jc w:val="both"/>
      </w:pPr>
      <w:r>
        <w:rPr>
          <w:rFonts w:ascii="Times New Roman" w:hAnsi="Times New Roman"/>
          <w:i w:val="0"/>
          <w:sz w:val="19"/>
        </w:rPr>
        <w:t xml:space="preserve">Khwaja, M. S., Awasthi, R., &amp; Loeprick, J. (Eds.). (2011). </w:t>
      </w:r>
      <w:r>
        <w:rPr>
          <w:rFonts w:ascii="Times New Roman" w:hAnsi="Times New Roman"/>
          <w:i/>
          <w:sz w:val="19"/>
        </w:rPr>
        <w:t>Risk-Based Tax Audits: Approaches and Country Experiences</w:t>
      </w:r>
      <w:r>
        <w:rPr>
          <w:rFonts w:ascii="Times New Roman" w:hAnsi="Times New Roman"/>
          <w:i w:val="0"/>
          <w:sz w:val="19"/>
        </w:rPr>
        <w:t>. Washington, DC: The World Bank. https://doi.org/10.1596/978-0-8213-8754-2</w:t>
      </w:r>
    </w:p>
    <w:p>
      <w:pPr>
        <w:spacing w:after="80" w:line="252" w:lineRule="auto"/>
        <w:ind w:left="432" w:hanging="432"/>
        <w:jc w:val="both"/>
      </w:pPr>
      <w:r>
        <w:rPr>
          <w:rFonts w:ascii="Times New Roman" w:hAnsi="Times New Roman"/>
          <w:i w:val="0"/>
          <w:sz w:val="19"/>
        </w:rPr>
        <w:t xml:space="preserve">Kim, S., Tsai, Y. C., Singh, K., Choi, Y., Ibok, E., Li, C. T., &amp; Cha, M. (2020). DATE: Dual attentive tree-aware embedding for customs fraud detection. In </w:t>
      </w:r>
      <w:r>
        <w:rPr>
          <w:rFonts w:ascii="Times New Roman" w:hAnsi="Times New Roman"/>
          <w:i/>
          <w:sz w:val="19"/>
        </w:rPr>
        <w:t>Proceedings of the 26th ACM SIGKDD International Conference on Knowledge Discovery &amp; Data Mining (KDD '20)</w:t>
      </w:r>
      <w:r>
        <w:rPr>
          <w:rFonts w:ascii="Times New Roman" w:hAnsi="Times New Roman"/>
          <w:i w:val="0"/>
          <w:sz w:val="19"/>
        </w:rPr>
        <w:t xml:space="preserve"> (pp. 2880-2890). Association for Computing Machinery. https://doi.org/10.1145/3394486.3403339</w:t>
      </w:r>
    </w:p>
    <w:p>
      <w:pPr>
        <w:spacing w:after="80" w:line="252" w:lineRule="auto"/>
        <w:ind w:left="432" w:hanging="432"/>
        <w:jc w:val="both"/>
      </w:pPr>
      <w:r>
        <w:rPr>
          <w:rFonts w:ascii="Times New Roman" w:hAnsi="Times New Roman"/>
          <w:i w:val="0"/>
          <w:sz w:val="19"/>
        </w:rPr>
        <w:t xml:space="preserve">Kleven, H. J., Knudsen, M. B., Kreiner, C. T., Pedersen, S., &amp; Saez, E. (2011). Unwilling or unable to cheat? Evidence from a tax audit experiment in Denmark. </w:t>
      </w:r>
      <w:r>
        <w:rPr>
          <w:rFonts w:ascii="Times New Roman" w:hAnsi="Times New Roman"/>
          <w:i/>
          <w:sz w:val="19"/>
        </w:rPr>
        <w:t>Econometrica</w:t>
      </w:r>
      <w:r>
        <w:rPr>
          <w:rFonts w:ascii="Times New Roman" w:hAnsi="Times New Roman"/>
          <w:i w:val="0"/>
          <w:sz w:val="19"/>
        </w:rPr>
        <w:t>, 79(3), 651-692. https://doi.org/10.3982/ECTA9113</w:t>
      </w:r>
    </w:p>
    <w:p>
      <w:pPr>
        <w:spacing w:after="80" w:line="252" w:lineRule="auto"/>
        <w:ind w:left="432" w:hanging="432"/>
        <w:jc w:val="both"/>
      </w:pPr>
      <w:r>
        <w:rPr>
          <w:rFonts w:ascii="Times New Roman" w:hAnsi="Times New Roman"/>
          <w:i w:val="0"/>
          <w:sz w:val="19"/>
        </w:rPr>
        <w:t xml:space="preserve">Lundberg, S. M., &amp; Lee, S. I. (2017). A unified approach to interpreting model predictions. </w:t>
      </w:r>
      <w:r>
        <w:rPr>
          <w:rFonts w:ascii="Times New Roman" w:hAnsi="Times New Roman"/>
          <w:i/>
          <w:sz w:val="19"/>
        </w:rPr>
        <w:t>Advances in Neural Information Processing Systems (NeurIPS)</w:t>
      </w:r>
      <w:r>
        <w:rPr>
          <w:rFonts w:ascii="Times New Roman" w:hAnsi="Times New Roman"/>
          <w:i w:val="0"/>
          <w:sz w:val="19"/>
        </w:rPr>
        <w:t>, 30, 4765-4774.</w:t>
      </w:r>
    </w:p>
    <w:p>
      <w:pPr>
        <w:spacing w:after="80" w:line="252" w:lineRule="auto"/>
        <w:ind w:left="432" w:hanging="432"/>
        <w:jc w:val="both"/>
      </w:pPr>
      <w:r>
        <w:rPr>
          <w:rFonts w:ascii="Times New Roman" w:hAnsi="Times New Roman"/>
          <w:i w:val="0"/>
          <w:sz w:val="19"/>
        </w:rPr>
        <w:t xml:space="preserve">Mascagni, N., &amp; Mengistu, A. T. (2019). The data revolution in tax administration: Applications, opportunities and challenges. </w:t>
      </w:r>
      <w:r>
        <w:rPr>
          <w:rFonts w:ascii="Times New Roman" w:hAnsi="Times New Roman"/>
          <w:i/>
          <w:sz w:val="19"/>
        </w:rPr>
        <w:t>ICTD Working Paper</w:t>
      </w:r>
      <w:r>
        <w:rPr>
          <w:rFonts w:ascii="Times New Roman" w:hAnsi="Times New Roman"/>
          <w:i w:val="0"/>
          <w:sz w:val="19"/>
        </w:rPr>
        <w:t>, 96, 1-38.</w:t>
      </w:r>
    </w:p>
    <w:p>
      <w:pPr>
        <w:spacing w:after="80" w:line="252" w:lineRule="auto"/>
        <w:ind w:left="432" w:hanging="432"/>
        <w:jc w:val="both"/>
      </w:pPr>
      <w:r>
        <w:rPr>
          <w:rFonts w:ascii="Times New Roman" w:hAnsi="Times New Roman"/>
          <w:i w:val="0"/>
          <w:sz w:val="19"/>
        </w:rPr>
        <w:t xml:space="preserve">Naritomi, J. (2019). Consumers as tax auditors: Electronic invoice programs and tax compliance in Brazil. </w:t>
      </w:r>
      <w:r>
        <w:rPr>
          <w:rFonts w:ascii="Times New Roman" w:hAnsi="Times New Roman"/>
          <w:i/>
          <w:sz w:val="19"/>
        </w:rPr>
        <w:t>American Economic Review</w:t>
      </w:r>
      <w:r>
        <w:rPr>
          <w:rFonts w:ascii="Times New Roman" w:hAnsi="Times New Roman"/>
          <w:i w:val="0"/>
          <w:sz w:val="19"/>
        </w:rPr>
        <w:t>, 109(5), 1730-1772. https://doi.org/10.1257/aer.20160658</w:t>
      </w:r>
    </w:p>
    <w:p>
      <w:pPr>
        <w:spacing w:after="80" w:line="252" w:lineRule="auto"/>
        <w:ind w:left="432" w:hanging="432"/>
        <w:jc w:val="both"/>
      </w:pPr>
      <w:r>
        <w:rPr>
          <w:rFonts w:ascii="Times New Roman" w:hAnsi="Times New Roman"/>
          <w:i w:val="0"/>
          <w:sz w:val="19"/>
        </w:rPr>
        <w:t xml:space="preserve">Nowok, B., Raab, G. M., &amp; Dibben, C. (2016). synthpop: Bespoke creation of synthetic data in R. </w:t>
      </w:r>
      <w:r>
        <w:rPr>
          <w:rFonts w:ascii="Times New Roman" w:hAnsi="Times New Roman"/>
          <w:i/>
          <w:sz w:val="19"/>
        </w:rPr>
        <w:t>Journal of Statistical Software</w:t>
      </w:r>
      <w:r>
        <w:rPr>
          <w:rFonts w:ascii="Times New Roman" w:hAnsi="Times New Roman"/>
          <w:i w:val="0"/>
          <w:sz w:val="19"/>
        </w:rPr>
        <w:t>, 74(11), 1-26. https://doi.org/10.18637/jss.v074.i11</w:t>
      </w:r>
    </w:p>
    <w:p>
      <w:pPr>
        <w:spacing w:after="80" w:line="252" w:lineRule="auto"/>
        <w:ind w:left="432" w:hanging="432"/>
        <w:jc w:val="both"/>
      </w:pPr>
      <w:r>
        <w:rPr>
          <w:rFonts w:ascii="Times New Roman" w:hAnsi="Times New Roman"/>
          <w:i w:val="0"/>
          <w:sz w:val="19"/>
        </w:rPr>
        <w:t xml:space="preserve">OECD. (2020). </w:t>
      </w:r>
      <w:r>
        <w:rPr>
          <w:rFonts w:ascii="Times New Roman" w:hAnsi="Times New Roman"/>
          <w:i/>
          <w:sz w:val="19"/>
        </w:rPr>
        <w:t>Tax Challenges Arising from Digitalisation – Report on Pillar One Blueprint</w:t>
      </w:r>
      <w:r>
        <w:rPr>
          <w:rFonts w:ascii="Times New Roman" w:hAnsi="Times New Roman"/>
          <w:i w:val="0"/>
          <w:sz w:val="19"/>
        </w:rPr>
        <w:t>. Paris: OECD Publishing. https://doi.org/10.1787/beba0634-en</w:t>
      </w:r>
    </w:p>
    <w:p>
      <w:pPr>
        <w:spacing w:after="80" w:line="252" w:lineRule="auto"/>
        <w:ind w:left="432" w:hanging="432"/>
        <w:jc w:val="both"/>
      </w:pPr>
      <w:r>
        <w:rPr>
          <w:rFonts w:ascii="Times New Roman" w:hAnsi="Times New Roman"/>
          <w:i w:val="0"/>
          <w:sz w:val="19"/>
        </w:rPr>
        <w:t xml:space="preserve">Perez-Truglia, R. (2020). The effects of income transparency: Evidence from digital disclosure in Norway. </w:t>
      </w:r>
      <w:r>
        <w:rPr>
          <w:rFonts w:ascii="Times New Roman" w:hAnsi="Times New Roman"/>
          <w:i/>
          <w:sz w:val="19"/>
        </w:rPr>
        <w:t>Journal of Political Economy</w:t>
      </w:r>
      <w:r>
        <w:rPr>
          <w:rFonts w:ascii="Times New Roman" w:hAnsi="Times New Roman"/>
          <w:i w:val="0"/>
          <w:sz w:val="19"/>
        </w:rPr>
        <w:t>, 128(7), 2677-2716. https://doi.org/10.1086/706798</w:t>
      </w:r>
    </w:p>
    <w:p>
      <w:pPr>
        <w:spacing w:after="80" w:line="252" w:lineRule="auto"/>
        <w:ind w:left="432" w:hanging="432"/>
        <w:jc w:val="both"/>
      </w:pPr>
      <w:r>
        <w:rPr>
          <w:rFonts w:ascii="Times New Roman" w:hAnsi="Times New Roman"/>
          <w:i w:val="0"/>
          <w:sz w:val="19"/>
        </w:rPr>
        <w:t xml:space="preserve">Republik Indonesia. (2022). </w:t>
      </w:r>
      <w:r>
        <w:rPr>
          <w:rFonts w:ascii="Times New Roman" w:hAnsi="Times New Roman"/>
          <w:i/>
          <w:sz w:val="19"/>
        </w:rPr>
        <w:t>Undang-Undang Republik Indonesia Nomor 27 Tahun 2022 tentang Pelindungan Data Pribadi</w:t>
      </w:r>
      <w:r>
        <w:rPr>
          <w:rFonts w:ascii="Times New Roman" w:hAnsi="Times New Roman"/>
          <w:i w:val="0"/>
          <w:sz w:val="19"/>
        </w:rPr>
        <w:t>. Lembaran Negara Republik Indonesia Tahun 2022 Nomor 196. Jakarta.</w:t>
      </w:r>
    </w:p>
    <w:p>
      <w:pPr>
        <w:spacing w:after="80" w:line="252" w:lineRule="auto"/>
        <w:ind w:left="432" w:hanging="432"/>
        <w:jc w:val="both"/>
      </w:pPr>
      <w:r>
        <w:rPr>
          <w:rFonts w:ascii="Times New Roman" w:hAnsi="Times New Roman"/>
          <w:i w:val="0"/>
          <w:sz w:val="19"/>
        </w:rPr>
        <w:t xml:space="preserve">Slemrod, J. (2019). Tax compliance and enforcement. </w:t>
      </w:r>
      <w:r>
        <w:rPr>
          <w:rFonts w:ascii="Times New Roman" w:hAnsi="Times New Roman"/>
          <w:i/>
          <w:sz w:val="19"/>
        </w:rPr>
        <w:t>Journal of Economic Literature</w:t>
      </w:r>
      <w:r>
        <w:rPr>
          <w:rFonts w:ascii="Times New Roman" w:hAnsi="Times New Roman"/>
          <w:i w:val="0"/>
          <w:sz w:val="19"/>
        </w:rPr>
        <w:t>, 57(4), 904-954. https://doi.org/10.1257/jel.20181437</w:t>
      </w:r>
    </w:p>
    <w:p>
      <w:pPr>
        <w:spacing w:after="80" w:line="252" w:lineRule="auto"/>
        <w:ind w:left="432" w:hanging="432"/>
        <w:jc w:val="both"/>
      </w:pPr>
      <w:r>
        <w:rPr>
          <w:rFonts w:ascii="Times New Roman" w:hAnsi="Times New Roman"/>
          <w:i w:val="0"/>
          <w:sz w:val="19"/>
        </w:rPr>
        <w:t xml:space="preserve">Snoke, J., Raab, G. M., Nowok, B., Dibben, C., &amp; Slavkovic, A. (2018). General and specific utility measures for synthetic data. </w:t>
      </w:r>
      <w:r>
        <w:rPr>
          <w:rFonts w:ascii="Times New Roman" w:hAnsi="Times New Roman"/>
          <w:i/>
          <w:sz w:val="19"/>
        </w:rPr>
        <w:t>Journal of the Royal Statistical Society: Series A (Statistics in Society)</w:t>
      </w:r>
      <w:r>
        <w:rPr>
          <w:rFonts w:ascii="Times New Roman" w:hAnsi="Times New Roman"/>
          <w:i w:val="0"/>
          <w:sz w:val="19"/>
        </w:rPr>
        <w:t>, 181(3), 663-688. https://doi.org/10.1111/rssa.12358</w:t>
      </w:r>
    </w:p>
    <w:p>
      <w:pPr>
        <w:spacing w:after="100" w:line="276" w:lineRule="auto"/>
        <w:ind w:firstLine="504"/>
        <w:jc w:val="both"/>
      </w:pPr>
      <w:r>
        <w:rPr>
          <w:rFonts w:ascii="Times New Roman" w:hAnsi="Times New Roman"/>
          <w:i w:val="0"/>
          <w:sz w:val="21"/>
        </w:rPr>
        <w:t>---</w:t>
      </w:r>
    </w:p>
    <w:p>
      <w:pPr>
        <w:keepNext/>
        <w:spacing w:before="280" w:after="80"/>
      </w:pPr>
      <w:r>
        <w:rPr>
          <w:rFonts w:ascii="Times New Roman" w:hAnsi="Times New Roman"/>
          <w:b/>
          <w:sz w:val="22"/>
        </w:rPr>
        <w:t>PERNYATAAN KETERSEDIAAN DATA DAN KODE (DATA AND CODE AVAILABILITY)</w:t>
      </w:r>
    </w:p>
    <w:p>
      <w:pPr>
        <w:spacing w:after="100" w:line="276" w:lineRule="auto"/>
        <w:ind w:firstLine="504"/>
        <w:jc w:val="both"/>
      </w:pPr>
      <w:r>
        <w:rPr>
          <w:rFonts w:ascii="Times New Roman" w:hAnsi="Times New Roman"/>
          <w:i w:val="0"/>
          <w:sz w:val="21"/>
        </w:rPr>
        <w:t>Dataset simulasi sintetis, skrip pembangkitan data (</w:t>
      </w:r>
      <w:r>
        <w:rPr>
          <w:rFonts w:ascii="Times New Roman" w:hAnsi="Times New Roman"/>
          <w:i/>
          <w:sz w:val="21"/>
        </w:rPr>
        <w:t>Data Generating Process</w:t>
      </w:r>
      <w:r>
        <w:rPr>
          <w:rFonts w:ascii="Times New Roman" w:hAnsi="Times New Roman"/>
          <w:i w:val="0"/>
          <w:sz w:val="21"/>
        </w:rPr>
        <w:t>), pipeline pelatihan machine learning, dan buku kerja analisis interaktif (</w:t>
      </w:r>
      <w:r>
        <w:rPr>
          <w:rFonts w:ascii="Times New Roman" w:hAnsi="Times New Roman"/>
          <w:i/>
          <w:sz w:val="21"/>
        </w:rPr>
        <w:t>Jupyter Notebook</w:t>
      </w:r>
      <w:r>
        <w:rPr>
          <w:rFonts w:ascii="Times New Roman" w:hAnsi="Times New Roman"/>
          <w:i w:val="0"/>
          <w:sz w:val="21"/>
        </w:rPr>
        <w:t>) tersedia secara terbuka untuk mendukung prinsip sains terbuka dan reprodusibilitas komputasional penuh melalui repositori publik: `https://github.com/izamrosiawan/tax-compliance-automl`.</w:t>
      </w:r>
    </w:p>
    <w:p>
      <w:pPr>
        <w:spacing w:after="100" w:line="276" w:lineRule="auto"/>
        <w:ind w:firstLine="504"/>
        <w:jc w:val="both"/>
      </w:pPr>
      <w:r>
        <w:rPr>
          <w:rFonts w:ascii="Times New Roman" w:hAnsi="Times New Roman"/>
          <w:i w:val="0"/>
          <w:sz w:val="21"/>
        </w:rPr>
        <w:t>---</w:t>
      </w:r>
    </w:p>
    <w:p>
      <w:pPr>
        <w:keepNext/>
        <w:spacing w:before="280" w:after="80"/>
      </w:pPr>
      <w:r>
        <w:rPr>
          <w:rFonts w:ascii="Times New Roman" w:hAnsi="Times New Roman"/>
          <w:b/>
          <w:sz w:val="22"/>
        </w:rPr>
        <w:t>LAMPIRAN A. NILAI JANGKAR INDIKATOR MAKRO PROVINSI BPS (DATA PROVENANCE)</w:t>
      </w:r>
    </w:p>
    <w:p>
      <w:pPr>
        <w:spacing w:before="160" w:after="40"/>
        <w:jc w:val="left"/>
      </w:pPr>
      <w:r>
        <w:rPr>
          <w:rFonts w:ascii="Times New Roman" w:hAnsi="Times New Roman"/>
          <w:b/>
          <w:sz w:val="19"/>
        </w:rPr>
        <w:t>Tabel A1 merangkum nilai jangkar makro agregat 10 provinsi yang digunakan dalam proses pembangkitan data sintetis (*Data Generating Process*).</w:t>
      </w:r>
    </w:p>
    <w:p>
      <w:pPr>
        <w:spacing w:before="160" w:after="40"/>
        <w:jc w:val="left"/>
      </w:pPr>
      <w:r>
        <w:rPr>
          <w:rFonts w:ascii="Times New Roman" w:hAnsi="Times New Roman"/>
          <w:b/>
          <w:sz w:val="19"/>
        </w:rPr>
        <w:t>Tabel A1. Nilai Jangkar Indikator Regional BPS pada 10 Provinsi Utama</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No</w:t>
            </w:r>
          </w:p>
        </w:tc>
        <w:tc>
          <w:tcPr>
            <w:tcW w:type="dxa" w:w="2257"/>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Provinsi</w:t>
            </w:r>
          </w:p>
        </w:tc>
        <w:tc>
          <w:tcPr>
            <w:tcW w:type="dxa" w:w="2257"/>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Persentase Usaha Melakukan Kegiatan E-Commerce (%)¹</w:t>
            </w:r>
          </w:p>
        </w:tc>
        <w:tc>
          <w:tcPr>
            <w:tcW w:type="dxa" w:w="2257"/>
            <w:tcBorders>
              <w:top w:val="single" w:sz="12" w:space="0" w:color="000000"/>
              <w:bottom w:val="single" w:sz="6" w:space="0" w:color="000000"/>
              <w:left w:val="none"/>
              <w:right w:val="none"/>
            </w:tcBorders>
            <w:shd w:fill="F5F5F5"/>
          </w:tcPr>
          <w:p>
            <w:pPr>
              <w:spacing w:before="60" w:after="60" w:line="252" w:lineRule="auto"/>
              <w:jc w:val="left"/>
            </w:pPr>
            <w:r/>
            <w:r>
              <w:rPr>
                <w:rFonts w:ascii="Times New Roman" w:hAnsi="Times New Roman"/>
                <w:i w:val="0"/>
                <w:sz w:val="17"/>
              </w:rPr>
              <w:t>Indeks Pembangunan TIK (IP-TIK 2023, Skala 0–10)²</w:t>
            </w:r>
          </w:p>
        </w:tc>
      </w:tr>
      <w:tr>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1</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DKI Jakarta</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63,54</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7,73</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2</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Bali</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48,74</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6,60</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3</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Banten</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44,12</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6,38</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4</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Jawa Barat</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43,38</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6,15</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5</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Jawa Timur</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36,85</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5,96</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6</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Jawa Tengah</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33,20</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5,86</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7</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Sumatera Utara</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28,41</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6,04</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8</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Sulawesi Selatan</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27,90</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6,01</w:t>
            </w:r>
          </w:p>
        </w:tc>
      </w:tr>
      <w:tr>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9</w:t>
            </w:r>
          </w:p>
        </w:tc>
        <w:tc>
          <w:tcPr>
            <w:tcW w:type="dxa" w:w="2257"/>
            <w:tcBorders>
              <w:top w:val="none"/>
              <w:bottom w:val="none"/>
              <w:left w:val="none"/>
              <w:right w:val="none"/>
            </w:tcBorders>
          </w:tcPr>
          <w:p>
            <w:pPr>
              <w:spacing w:before="60" w:after="60" w:line="252" w:lineRule="auto"/>
              <w:jc w:val="left"/>
            </w:pPr>
            <w:r/>
            <w:r>
              <w:rPr>
                <w:rFonts w:ascii="Times New Roman" w:hAnsi="Times New Roman"/>
                <w:i w:val="0"/>
                <w:sz w:val="17"/>
              </w:rPr>
              <w:t>Riau</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26,15</w:t>
            </w:r>
          </w:p>
        </w:tc>
        <w:tc>
          <w:tcPr>
            <w:tcW w:type="dxa" w:w="2257"/>
            <w:tcBorders>
              <w:top w:val="none"/>
              <w:bottom w:val="none"/>
              <w:left w:val="none"/>
              <w:right w:val="none"/>
            </w:tcBorders>
          </w:tcPr>
          <w:p>
            <w:pPr>
              <w:spacing w:before="60" w:after="60" w:line="252" w:lineRule="auto"/>
              <w:jc w:val="center"/>
            </w:pPr>
            <w:r/>
            <w:r>
              <w:rPr>
                <w:rFonts w:ascii="Times New Roman" w:hAnsi="Times New Roman"/>
                <w:i w:val="0"/>
                <w:sz w:val="17"/>
              </w:rPr>
              <w:t>6,07</w:t>
            </w:r>
          </w:p>
        </w:tc>
      </w:tr>
      <w:tr>
        <w:tc>
          <w:tcPr>
            <w:tcW w:type="dxa" w:w="2257"/>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10</w:t>
            </w:r>
          </w:p>
        </w:tc>
        <w:tc>
          <w:tcPr>
            <w:tcW w:type="dxa" w:w="2257"/>
            <w:tcBorders>
              <w:top w:val="none"/>
              <w:bottom w:val="single" w:sz="12" w:space="0" w:color="000000"/>
              <w:left w:val="none"/>
              <w:right w:val="none"/>
            </w:tcBorders>
          </w:tcPr>
          <w:p>
            <w:pPr>
              <w:spacing w:before="60" w:after="60" w:line="252" w:lineRule="auto"/>
              <w:jc w:val="left"/>
            </w:pPr>
            <w:r/>
            <w:r>
              <w:rPr>
                <w:rFonts w:ascii="Times New Roman" w:hAnsi="Times New Roman"/>
                <w:i w:val="0"/>
                <w:sz w:val="17"/>
              </w:rPr>
              <w:t>Sumatera Selatan</w:t>
            </w:r>
          </w:p>
        </w:tc>
        <w:tc>
          <w:tcPr>
            <w:tcW w:type="dxa" w:w="2257"/>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24,32</w:t>
            </w:r>
          </w:p>
        </w:tc>
        <w:tc>
          <w:tcPr>
            <w:tcW w:type="dxa" w:w="2257"/>
            <w:tcBorders>
              <w:top w:val="none"/>
              <w:bottom w:val="single" w:sz="12" w:space="0" w:color="000000"/>
              <w:left w:val="none"/>
              <w:right w:val="none"/>
            </w:tcBorders>
          </w:tcPr>
          <w:p>
            <w:pPr>
              <w:spacing w:before="60" w:after="60" w:line="252" w:lineRule="auto"/>
              <w:jc w:val="center"/>
            </w:pPr>
            <w:r/>
            <w:r>
              <w:rPr>
                <w:rFonts w:ascii="Times New Roman" w:hAnsi="Times New Roman"/>
                <w:i w:val="0"/>
                <w:sz w:val="17"/>
              </w:rPr>
              <w:t>5,88</w:t>
            </w:r>
          </w:p>
        </w:tc>
      </w:tr>
    </w:tbl>
    <w:p>
      <w:pPr>
        <w:spacing w:after="120"/>
      </w:pPr>
    </w:p>
    <w:p>
      <w:pPr>
        <w:keepNext/>
        <w:spacing w:before="120" w:after="40"/>
      </w:pPr>
      <w:r>
        <w:rPr>
          <w:rFonts w:ascii="Times New Roman" w:hAnsi="Times New Roman"/>
          <w:b/>
          <w:i/>
          <w:sz w:val="20"/>
        </w:rPr>
        <w:t>Sumber data:</w:t>
      </w:r>
    </w:p>
    <w:p>
      <w:pPr>
        <w:spacing w:after="100" w:line="276" w:lineRule="auto"/>
        <w:ind w:firstLine="504"/>
        <w:jc w:val="both"/>
      </w:pPr>
      <w:r>
        <w:rPr>
          <w:rFonts w:ascii="Times New Roman" w:hAnsi="Times New Roman"/>
          <w:i w:val="0"/>
          <w:sz w:val="21"/>
        </w:rPr>
        <w:t xml:space="preserve">¹ Badan Pusat Statistik. (2024). </w:t>
      </w:r>
      <w:r>
        <w:rPr>
          <w:rFonts w:ascii="Times New Roman" w:hAnsi="Times New Roman"/>
          <w:i/>
          <w:sz w:val="21"/>
        </w:rPr>
        <w:t>Statistik E-Commerce 2024</w:t>
      </w:r>
      <w:r>
        <w:rPr>
          <w:rFonts w:ascii="Times New Roman" w:hAnsi="Times New Roman"/>
          <w:i w:val="0"/>
          <w:sz w:val="21"/>
        </w:rPr>
        <w:t>, Tabel 3.1 (Persentase Usaha yang Melakukan Kegiatan E-Commerce Menurut Provinsi).</w:t>
      </w:r>
    </w:p>
    <w:p>
      <w:pPr>
        <w:spacing w:after="100" w:line="276" w:lineRule="auto"/>
        <w:ind w:firstLine="504"/>
        <w:jc w:val="both"/>
      </w:pPr>
      <w:r>
        <w:rPr>
          <w:rFonts w:ascii="Times New Roman" w:hAnsi="Times New Roman"/>
          <w:i w:val="0"/>
          <w:sz w:val="21"/>
        </w:rPr>
        <w:t xml:space="preserve">² Badan Pusat Statistik. (2024). </w:t>
      </w:r>
      <w:r>
        <w:rPr>
          <w:rFonts w:ascii="Times New Roman" w:hAnsi="Times New Roman"/>
          <w:i/>
          <w:sz w:val="21"/>
        </w:rPr>
        <w:t>Indeks Pembangunan Teknologi Informasi dan Komunikasi 2023</w:t>
      </w:r>
      <w:r>
        <w:rPr>
          <w:rFonts w:ascii="Times New Roman" w:hAnsi="Times New Roman"/>
          <w:i w:val="0"/>
          <w:sz w:val="21"/>
        </w:rPr>
        <w:t>, Tabel 4 (Indeks Pembangunan TIK Menurut Provinsi).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