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  <w:lang w:val="en-US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  <w:t>Sự khác nhau giữa nêm không khí và vân tròn newton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  <w:lang w:val="en-US"/>
        </w:rPr>
        <w:t xml:space="preserve"> 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  <w:t>nêm không khí là 2 bản mỏng phẳng newton là 1 thấu kính lồi với 1 bản thủy tinh vân newton cho ra các vân đường tròn đồng tâm nêm không khí cho ra các vân thẳng sáng tối xen kẽ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drawing>
          <wp:inline distT="0" distB="0" distL="114300" distR="114300">
            <wp:extent cx="5269865" cy="9086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  <w:t>Tại sao vân tròn newton lại có các vân là hình tròn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  <w:t>vì vân của newton là các điểm M cùng nằm trên 1 vân tròn cách bản mỏng 1 khoảng d ko đổi =&gt; có dạn vân tròn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  <w:t>vân sáng, tối phụ thuộc vào cía gì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  <w:t>vân sáng tối phụ thuộc độ dày môi trường nằm giữa 2 bản thủy tinh cụ thể trong hệ newton là độ dày môi trường nằm giữa thấu kính lồi và bản thủy tinh mỏng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  <w:t>Tại sao ở vân tron newton tại chính giữa là là hình tròn chứ không phải là 1 vân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0175" cy="1685925"/>
            <wp:effectExtent l="0" t="0" r="190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65676B"/>
          <w:spacing w:val="0"/>
          <w:sz w:val="15"/>
          <w:szCs w:val="15"/>
          <w:shd w:val="clear" w:fill="F6F9FA"/>
        </w:rPr>
        <w:t>phương trình dao động của sóng ánh sáng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  <w:t>Acos(omegat - 2piL/lamda) trong đó L là quang lộ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Còn có câu vì sao tính lamda phải dựa trên 2 tia sáng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  <w:t>do kính hiển vi không thể quan sát các vân sáng 1 cách rõ ràng mà khi quan sát thì các vân sẽ bị trùng lên nhau cho nên ta ko thể xác định được chính xác vị trí của k do đó chúng ta pải xét 2 vị trí i và k vì hiệu giữa k và i không đổi khi đó chúng ta loại bỏ được biến k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18"/>
          <w:szCs w:val="18"/>
          <w:shd w:val="clear" w:fill="E4E6EB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ar(--placeholder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85DAD"/>
    <w:rsid w:val="194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2021-10-05T05:25:00Z</dcterms:created>
  <dc:creator>Trần Vân Anh</dc:creator>
  <cp:lastModifiedBy>Trần Vân Anh</cp:lastModifiedBy>
  <dcterms:modified xsi:type="dcterms:W3CDTF">2021-10-05T09:45:59Z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6DB15B52C97E40A582303FC582FADB98</vt:lpwstr>
  </property>
</Properties>
</file>