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938" w:rsidRPr="00CD6938" w:rsidRDefault="007C152C" w:rsidP="00B17114">
      <w:pPr>
        <w:spacing w:after="0" w:line="360" w:lineRule="auto"/>
        <w:jc w:val="both"/>
        <w:rPr>
          <w:rFonts w:ascii="Times New Roman" w:hAnsi="Times New Roman"/>
          <w:b/>
          <w:caps/>
          <w:sz w:val="24"/>
          <w:szCs w:val="24"/>
        </w:rPr>
      </w:pPr>
      <w:bookmarkStart w:id="0" w:name="_GoBack"/>
      <w:bookmarkEnd w:id="0"/>
      <w:r>
        <w:rPr>
          <w:rFonts w:ascii="Times New Roman" w:hAnsi="Times New Roman"/>
          <w:b/>
          <w:caps/>
          <w:sz w:val="24"/>
          <w:szCs w:val="24"/>
        </w:rPr>
        <w:t>La me</w:t>
      </w:r>
      <w:r w:rsidRPr="00CD6938">
        <w:rPr>
          <w:rFonts w:ascii="Times New Roman" w:hAnsi="Times New Roman"/>
          <w:b/>
          <w:caps/>
          <w:sz w:val="24"/>
          <w:szCs w:val="24"/>
        </w:rPr>
        <w:t>todo</w:t>
      </w:r>
      <w:r>
        <w:rPr>
          <w:rFonts w:ascii="Times New Roman" w:hAnsi="Times New Roman"/>
          <w:b/>
          <w:caps/>
          <w:sz w:val="24"/>
          <w:szCs w:val="24"/>
        </w:rPr>
        <w:t>logía</w:t>
      </w:r>
      <w:r w:rsidRPr="00CD6938">
        <w:rPr>
          <w:rFonts w:ascii="Times New Roman" w:hAnsi="Times New Roman"/>
          <w:b/>
          <w:caps/>
          <w:sz w:val="24"/>
          <w:szCs w:val="24"/>
        </w:rPr>
        <w:t xml:space="preserve"> Codex </w:t>
      </w:r>
      <w:r>
        <w:rPr>
          <w:rFonts w:ascii="Times New Roman" w:hAnsi="Times New Roman"/>
          <w:b/>
          <w:caps/>
          <w:sz w:val="24"/>
          <w:szCs w:val="24"/>
        </w:rPr>
        <w:t xml:space="preserve">y </w:t>
      </w:r>
      <w:r w:rsidR="00933E7A" w:rsidRPr="00CD6938">
        <w:rPr>
          <w:rFonts w:ascii="Times New Roman" w:hAnsi="Times New Roman"/>
          <w:b/>
          <w:caps/>
          <w:sz w:val="24"/>
          <w:szCs w:val="24"/>
        </w:rPr>
        <w:t xml:space="preserve">Los </w:t>
      </w:r>
      <w:r>
        <w:rPr>
          <w:rFonts w:ascii="Times New Roman" w:hAnsi="Times New Roman"/>
          <w:b/>
          <w:i/>
          <w:caps/>
          <w:sz w:val="24"/>
          <w:szCs w:val="24"/>
        </w:rPr>
        <w:t>tituli picti gilvi</w:t>
      </w:r>
      <w:r w:rsidR="00933E7A" w:rsidRPr="00CD6938">
        <w:rPr>
          <w:rFonts w:ascii="Times New Roman" w:hAnsi="Times New Roman"/>
          <w:b/>
          <w:caps/>
          <w:sz w:val="24"/>
          <w:szCs w:val="24"/>
        </w:rPr>
        <w:t xml:space="preserve"> </w:t>
      </w:r>
      <w:r w:rsidR="001B08A5">
        <w:rPr>
          <w:rFonts w:ascii="Times New Roman" w:hAnsi="Times New Roman"/>
          <w:b/>
          <w:caps/>
          <w:sz w:val="24"/>
          <w:szCs w:val="24"/>
        </w:rPr>
        <w:t>de</w:t>
      </w:r>
      <w:r w:rsidR="00340EEF">
        <w:rPr>
          <w:rFonts w:ascii="Times New Roman" w:hAnsi="Times New Roman"/>
          <w:b/>
          <w:caps/>
          <w:sz w:val="24"/>
          <w:szCs w:val="24"/>
        </w:rPr>
        <w:t xml:space="preserve"> LAS ÁNFORAS </w:t>
      </w:r>
      <w:r w:rsidR="00340EEF" w:rsidRPr="001B08A5">
        <w:rPr>
          <w:rFonts w:ascii="Times New Roman" w:hAnsi="Times New Roman"/>
          <w:b/>
          <w:caps/>
          <w:sz w:val="24"/>
          <w:szCs w:val="24"/>
        </w:rPr>
        <w:t>POMPEII</w:t>
      </w:r>
      <w:r w:rsidR="001B08A5">
        <w:rPr>
          <w:rFonts w:ascii="Times New Roman" w:hAnsi="Times New Roman"/>
          <w:b/>
          <w:caps/>
          <w:sz w:val="24"/>
          <w:szCs w:val="24"/>
        </w:rPr>
        <w:t xml:space="preserve"> 8 – crétoise 2</w:t>
      </w:r>
      <w:r w:rsidR="00340EEF">
        <w:rPr>
          <w:rFonts w:ascii="Times New Roman" w:hAnsi="Times New Roman"/>
          <w:b/>
          <w:caps/>
          <w:sz w:val="24"/>
          <w:szCs w:val="24"/>
        </w:rPr>
        <w:t>.</w:t>
      </w:r>
    </w:p>
    <w:p w:rsidR="00632E9B" w:rsidRPr="001235A6" w:rsidRDefault="007C152C" w:rsidP="00B17114">
      <w:pPr>
        <w:spacing w:after="0" w:line="360" w:lineRule="auto"/>
        <w:jc w:val="both"/>
        <w:rPr>
          <w:rFonts w:ascii="Times New Roman" w:hAnsi="Times New Roman"/>
          <w:sz w:val="24"/>
          <w:szCs w:val="24"/>
          <w:lang w:val="en-GB"/>
        </w:rPr>
      </w:pPr>
      <w:r w:rsidRPr="001235A6">
        <w:rPr>
          <w:rFonts w:ascii="Times New Roman" w:hAnsi="Times New Roman"/>
          <w:b/>
          <w:sz w:val="24"/>
          <w:szCs w:val="24"/>
          <w:lang w:val="en-GB"/>
        </w:rPr>
        <w:t>Codex methodology</w:t>
      </w:r>
      <w:r>
        <w:rPr>
          <w:rFonts w:ascii="Times New Roman" w:hAnsi="Times New Roman"/>
          <w:b/>
          <w:sz w:val="24"/>
          <w:szCs w:val="24"/>
          <w:lang w:val="en-GB"/>
        </w:rPr>
        <w:t xml:space="preserve"> and</w:t>
      </w:r>
      <w:r w:rsidRPr="001235A6">
        <w:rPr>
          <w:rFonts w:ascii="Times New Roman" w:hAnsi="Times New Roman"/>
          <w:b/>
          <w:i/>
          <w:sz w:val="24"/>
          <w:szCs w:val="24"/>
          <w:lang w:val="en-GB"/>
        </w:rPr>
        <w:t xml:space="preserve"> </w:t>
      </w:r>
      <w:r>
        <w:rPr>
          <w:rFonts w:ascii="Times New Roman" w:hAnsi="Times New Roman"/>
          <w:b/>
          <w:i/>
          <w:sz w:val="24"/>
          <w:szCs w:val="24"/>
          <w:lang w:val="en-GB"/>
        </w:rPr>
        <w:t>t</w:t>
      </w:r>
      <w:r w:rsidR="00CD6938" w:rsidRPr="001235A6">
        <w:rPr>
          <w:rFonts w:ascii="Times New Roman" w:hAnsi="Times New Roman"/>
          <w:b/>
          <w:i/>
          <w:sz w:val="24"/>
          <w:szCs w:val="24"/>
          <w:lang w:val="en-GB"/>
        </w:rPr>
        <w:t>ituli picti</w:t>
      </w:r>
      <w:r>
        <w:rPr>
          <w:rFonts w:ascii="Times New Roman" w:hAnsi="Times New Roman"/>
          <w:b/>
          <w:i/>
          <w:sz w:val="24"/>
          <w:szCs w:val="24"/>
          <w:lang w:val="en-GB"/>
        </w:rPr>
        <w:t xml:space="preserve"> gilvi</w:t>
      </w:r>
      <w:r w:rsidR="00CD6938" w:rsidRPr="001235A6">
        <w:rPr>
          <w:rFonts w:ascii="Times New Roman" w:hAnsi="Times New Roman"/>
          <w:b/>
          <w:i/>
          <w:sz w:val="24"/>
          <w:szCs w:val="24"/>
          <w:lang w:val="en-GB"/>
        </w:rPr>
        <w:t xml:space="preserve"> </w:t>
      </w:r>
      <w:r w:rsidR="001235A6" w:rsidRPr="001235A6">
        <w:rPr>
          <w:rFonts w:ascii="Times New Roman" w:hAnsi="Times New Roman"/>
          <w:b/>
          <w:sz w:val="24"/>
          <w:szCs w:val="24"/>
          <w:lang w:val="en-GB"/>
        </w:rPr>
        <w:t>o</w:t>
      </w:r>
      <w:r w:rsidR="00CD6938" w:rsidRPr="001235A6">
        <w:rPr>
          <w:rFonts w:ascii="Times New Roman" w:hAnsi="Times New Roman"/>
          <w:b/>
          <w:sz w:val="24"/>
          <w:szCs w:val="24"/>
          <w:lang w:val="en-GB"/>
        </w:rPr>
        <w:t>n amphor</w:t>
      </w:r>
      <w:r>
        <w:rPr>
          <w:rFonts w:ascii="Times New Roman" w:hAnsi="Times New Roman"/>
          <w:b/>
          <w:sz w:val="24"/>
          <w:szCs w:val="24"/>
          <w:lang w:val="en-GB"/>
        </w:rPr>
        <w:t>ae</w:t>
      </w:r>
      <w:r w:rsidR="00340EEF">
        <w:rPr>
          <w:rFonts w:ascii="Times New Roman" w:hAnsi="Times New Roman"/>
          <w:b/>
          <w:sz w:val="24"/>
          <w:szCs w:val="24"/>
          <w:lang w:val="en-GB"/>
        </w:rPr>
        <w:t xml:space="preserve"> </w:t>
      </w:r>
      <w:r w:rsidR="00340EEF" w:rsidRPr="001B08A5">
        <w:rPr>
          <w:rFonts w:ascii="Times New Roman" w:hAnsi="Times New Roman"/>
          <w:b/>
          <w:sz w:val="24"/>
          <w:szCs w:val="24"/>
          <w:lang w:val="en-GB"/>
        </w:rPr>
        <w:t>Pompeii</w:t>
      </w:r>
      <w:r w:rsidR="001B08A5">
        <w:rPr>
          <w:rFonts w:ascii="Times New Roman" w:hAnsi="Times New Roman"/>
          <w:b/>
          <w:sz w:val="24"/>
          <w:szCs w:val="24"/>
          <w:lang w:val="en-GB"/>
        </w:rPr>
        <w:t xml:space="preserve"> 8 – Crétoise 2</w:t>
      </w:r>
      <w:r w:rsidR="00CD6938" w:rsidRPr="001235A6">
        <w:rPr>
          <w:rFonts w:ascii="Times New Roman" w:hAnsi="Times New Roman"/>
          <w:b/>
          <w:sz w:val="24"/>
          <w:szCs w:val="24"/>
          <w:lang w:val="en-GB"/>
        </w:rPr>
        <w:t>.</w:t>
      </w:r>
    </w:p>
    <w:p w:rsidR="00583ECD" w:rsidRPr="00393976" w:rsidRDefault="00583ECD" w:rsidP="00583ECD">
      <w:pPr>
        <w:spacing w:after="0"/>
        <w:jc w:val="both"/>
        <w:rPr>
          <w:rFonts w:ascii="Times New Roman" w:hAnsi="Times New Roman"/>
          <w:sz w:val="24"/>
          <w:szCs w:val="24"/>
        </w:rPr>
      </w:pPr>
      <w:r w:rsidRPr="00393976">
        <w:rPr>
          <w:rFonts w:ascii="Times New Roman" w:hAnsi="Times New Roman"/>
          <w:sz w:val="24"/>
          <w:szCs w:val="24"/>
        </w:rPr>
        <w:t>Daniel J. Martín-Arroyo Sánchez</w:t>
      </w:r>
    </w:p>
    <w:p w:rsidR="00583ECD" w:rsidRPr="00393976" w:rsidRDefault="00583ECD" w:rsidP="00583ECD">
      <w:pPr>
        <w:spacing w:after="0"/>
        <w:jc w:val="both"/>
        <w:rPr>
          <w:rFonts w:ascii="Times New Roman" w:hAnsi="Times New Roman"/>
          <w:sz w:val="24"/>
          <w:szCs w:val="24"/>
        </w:rPr>
      </w:pPr>
      <w:r w:rsidRPr="00393976">
        <w:rPr>
          <w:rFonts w:ascii="Times New Roman" w:hAnsi="Times New Roman"/>
          <w:sz w:val="24"/>
          <w:szCs w:val="24"/>
        </w:rPr>
        <w:t>Investigador Postdoctoral EPNet (ERC-2013-ADG 340828)</w:t>
      </w:r>
    </w:p>
    <w:p w:rsidR="00583ECD" w:rsidRPr="00393976" w:rsidRDefault="00583ECD" w:rsidP="00583ECD">
      <w:pPr>
        <w:spacing w:after="0"/>
        <w:jc w:val="both"/>
        <w:rPr>
          <w:rFonts w:ascii="Times New Roman" w:hAnsi="Times New Roman"/>
          <w:sz w:val="24"/>
          <w:szCs w:val="24"/>
        </w:rPr>
      </w:pPr>
      <w:r w:rsidRPr="00393976">
        <w:rPr>
          <w:rFonts w:ascii="Times New Roman" w:hAnsi="Times New Roman"/>
          <w:sz w:val="24"/>
          <w:szCs w:val="24"/>
        </w:rPr>
        <w:t>CEIPAC, Universidad de Barcelona</w:t>
      </w:r>
    </w:p>
    <w:p w:rsidR="00583ECD" w:rsidRPr="00393976" w:rsidRDefault="00583ECD" w:rsidP="00583ECD">
      <w:pPr>
        <w:spacing w:after="0"/>
        <w:jc w:val="both"/>
        <w:rPr>
          <w:rFonts w:ascii="Times New Roman" w:hAnsi="Times New Roman"/>
          <w:sz w:val="24"/>
          <w:szCs w:val="24"/>
        </w:rPr>
      </w:pPr>
      <w:r w:rsidRPr="00393976">
        <w:rPr>
          <w:rFonts w:ascii="Times New Roman" w:hAnsi="Times New Roman"/>
          <w:sz w:val="24"/>
          <w:szCs w:val="24"/>
        </w:rPr>
        <w:t>C/Montalegre, 6, 08001 Barcelona, España</w:t>
      </w:r>
    </w:p>
    <w:p w:rsidR="00583ECD" w:rsidRDefault="00D8743D" w:rsidP="00583ECD">
      <w:pPr>
        <w:spacing w:after="0" w:line="360" w:lineRule="auto"/>
        <w:jc w:val="both"/>
        <w:rPr>
          <w:rStyle w:val="Hyperlink"/>
          <w:rFonts w:ascii="Times New Roman" w:hAnsi="Times New Roman"/>
          <w:sz w:val="24"/>
          <w:szCs w:val="24"/>
        </w:rPr>
      </w:pPr>
      <w:hyperlink r:id="rId8" w:history="1">
        <w:r w:rsidR="00583ECD" w:rsidRPr="00393976">
          <w:rPr>
            <w:rStyle w:val="Hyperlink"/>
            <w:rFonts w:ascii="Times New Roman" w:hAnsi="Times New Roman"/>
            <w:sz w:val="24"/>
            <w:szCs w:val="24"/>
          </w:rPr>
          <w:t>martin-arroyo@ub.edu</w:t>
        </w:r>
      </w:hyperlink>
    </w:p>
    <w:p w:rsidR="00933E7A" w:rsidRPr="001E3EE6" w:rsidRDefault="00C5753E" w:rsidP="00583ECD">
      <w:pPr>
        <w:spacing w:after="0" w:line="360" w:lineRule="auto"/>
        <w:ind w:firstLine="709"/>
        <w:jc w:val="both"/>
        <w:rPr>
          <w:rFonts w:ascii="Times New Roman" w:hAnsi="Times New Roman"/>
          <w:smallCaps/>
          <w:sz w:val="24"/>
          <w:szCs w:val="24"/>
        </w:rPr>
      </w:pPr>
      <w:r w:rsidRPr="001E3EE6">
        <w:rPr>
          <w:rFonts w:ascii="Times New Roman" w:hAnsi="Times New Roman"/>
          <w:smallCaps/>
          <w:sz w:val="24"/>
          <w:szCs w:val="24"/>
        </w:rPr>
        <w:t>Resumen</w:t>
      </w:r>
      <w:r w:rsidR="00C052A7" w:rsidRPr="001E3EE6">
        <w:rPr>
          <w:rFonts w:ascii="Times New Roman" w:hAnsi="Times New Roman"/>
          <w:smallCaps/>
          <w:sz w:val="24"/>
          <w:szCs w:val="24"/>
        </w:rPr>
        <w:t xml:space="preserve"> </w:t>
      </w:r>
    </w:p>
    <w:p w:rsidR="00060C0E" w:rsidRDefault="001E3EE6" w:rsidP="00F34854">
      <w:pPr>
        <w:spacing w:after="0" w:line="360" w:lineRule="auto"/>
        <w:ind w:firstLine="709"/>
        <w:jc w:val="both"/>
        <w:rPr>
          <w:rFonts w:ascii="Times New Roman" w:hAnsi="Times New Roman"/>
          <w:sz w:val="24"/>
          <w:szCs w:val="24"/>
        </w:rPr>
      </w:pPr>
      <w:r>
        <w:rPr>
          <w:rFonts w:ascii="Times New Roman" w:hAnsi="Times New Roman"/>
          <w:sz w:val="24"/>
          <w:szCs w:val="24"/>
        </w:rPr>
        <w:t xml:space="preserve">La codificación de los conceptos y otros rasgos formales de los </w:t>
      </w:r>
      <w:r w:rsidRPr="001E3EE6">
        <w:rPr>
          <w:rFonts w:ascii="Times New Roman" w:hAnsi="Times New Roman"/>
          <w:i/>
          <w:sz w:val="24"/>
          <w:szCs w:val="24"/>
        </w:rPr>
        <w:t>tituli picti</w:t>
      </w:r>
      <w:r>
        <w:rPr>
          <w:rFonts w:ascii="Times New Roman" w:hAnsi="Times New Roman"/>
          <w:sz w:val="24"/>
          <w:szCs w:val="24"/>
        </w:rPr>
        <w:t xml:space="preserve"> anfóricos se plantea aquí como una estrategia de trabajo</w:t>
      </w:r>
      <w:r w:rsidR="002D4AC2">
        <w:rPr>
          <w:rFonts w:ascii="Times New Roman" w:hAnsi="Times New Roman"/>
          <w:sz w:val="24"/>
          <w:szCs w:val="24"/>
        </w:rPr>
        <w:t xml:space="preserve"> para su lectura e interpretación histórica</w:t>
      </w:r>
      <w:r>
        <w:rPr>
          <w:rFonts w:ascii="Times New Roman" w:hAnsi="Times New Roman"/>
          <w:sz w:val="24"/>
          <w:szCs w:val="24"/>
        </w:rPr>
        <w:t xml:space="preserve">. </w:t>
      </w:r>
      <w:r w:rsidR="002D4AC2">
        <w:rPr>
          <w:rFonts w:ascii="Times New Roman" w:hAnsi="Times New Roman"/>
          <w:sz w:val="24"/>
          <w:szCs w:val="24"/>
        </w:rPr>
        <w:t xml:space="preserve">La metodología Codex que se ha desarrollado con tal finalidad </w:t>
      </w:r>
      <w:r w:rsidR="001B08A5">
        <w:rPr>
          <w:rFonts w:ascii="Times New Roman" w:hAnsi="Times New Roman"/>
          <w:sz w:val="24"/>
          <w:szCs w:val="24"/>
        </w:rPr>
        <w:t xml:space="preserve">pretende limitar la incertidumbre y </w:t>
      </w:r>
      <w:r w:rsidR="002D4AC2">
        <w:rPr>
          <w:rFonts w:ascii="Times New Roman" w:hAnsi="Times New Roman"/>
          <w:sz w:val="24"/>
          <w:szCs w:val="24"/>
        </w:rPr>
        <w:t>facilita</w:t>
      </w:r>
      <w:r w:rsidR="001B08A5">
        <w:rPr>
          <w:rFonts w:ascii="Times New Roman" w:hAnsi="Times New Roman"/>
          <w:sz w:val="24"/>
          <w:szCs w:val="24"/>
        </w:rPr>
        <w:t>r</w:t>
      </w:r>
      <w:r w:rsidR="00583ECD">
        <w:rPr>
          <w:rFonts w:ascii="Times New Roman" w:hAnsi="Times New Roman"/>
          <w:sz w:val="24"/>
          <w:szCs w:val="24"/>
        </w:rPr>
        <w:t xml:space="preserve"> así un</w:t>
      </w:r>
      <w:r w:rsidR="00EF1193">
        <w:rPr>
          <w:rFonts w:ascii="Times New Roman" w:hAnsi="Times New Roman"/>
          <w:sz w:val="24"/>
          <w:szCs w:val="24"/>
        </w:rPr>
        <w:t xml:space="preserve"> análisis comparativo de tales titulaturas. </w:t>
      </w:r>
      <w:r>
        <w:rPr>
          <w:rFonts w:ascii="Times New Roman" w:hAnsi="Times New Roman"/>
          <w:sz w:val="24"/>
          <w:szCs w:val="24"/>
        </w:rPr>
        <w:t xml:space="preserve">Para mostrar la complejidad de </w:t>
      </w:r>
      <w:r w:rsidR="00EF1193">
        <w:rPr>
          <w:rFonts w:ascii="Times New Roman" w:hAnsi="Times New Roman"/>
          <w:sz w:val="24"/>
          <w:szCs w:val="24"/>
        </w:rPr>
        <w:t>est</w:t>
      </w:r>
      <w:r>
        <w:rPr>
          <w:rFonts w:ascii="Times New Roman" w:hAnsi="Times New Roman"/>
          <w:sz w:val="24"/>
          <w:szCs w:val="24"/>
        </w:rPr>
        <w:t xml:space="preserve">a documentación, se ha seleccionado un caso de estudio: </w:t>
      </w:r>
      <w:r w:rsidR="009C2465">
        <w:rPr>
          <w:rFonts w:ascii="Times New Roman" w:hAnsi="Times New Roman"/>
          <w:sz w:val="24"/>
          <w:szCs w:val="24"/>
        </w:rPr>
        <w:t xml:space="preserve">el posible </w:t>
      </w:r>
      <w:r w:rsidR="009C2465" w:rsidRPr="009C2465">
        <w:rPr>
          <w:rFonts w:ascii="Times New Roman" w:hAnsi="Times New Roman"/>
          <w:i/>
          <w:sz w:val="24"/>
          <w:szCs w:val="24"/>
        </w:rPr>
        <w:t>tria nomina</w:t>
      </w:r>
      <w:r w:rsidR="009C2465">
        <w:rPr>
          <w:rFonts w:ascii="Times New Roman" w:hAnsi="Times New Roman"/>
          <w:sz w:val="24"/>
          <w:szCs w:val="24"/>
        </w:rPr>
        <w:t xml:space="preserve"> abreviado</w:t>
      </w:r>
      <w:r>
        <w:rPr>
          <w:rFonts w:ascii="Times New Roman" w:hAnsi="Times New Roman"/>
          <w:sz w:val="24"/>
          <w:szCs w:val="24"/>
        </w:rPr>
        <w:t xml:space="preserve"> </w:t>
      </w:r>
      <w:r w:rsidRPr="009C2465">
        <w:rPr>
          <w:rFonts w:ascii="Times New Roman" w:hAnsi="Times New Roman"/>
          <w:i/>
          <w:sz w:val="24"/>
          <w:szCs w:val="24"/>
        </w:rPr>
        <w:t>C. A. R.</w:t>
      </w:r>
      <w:r w:rsidR="009C2465">
        <w:rPr>
          <w:rFonts w:ascii="Times New Roman" w:hAnsi="Times New Roman"/>
          <w:sz w:val="24"/>
          <w:szCs w:val="24"/>
        </w:rPr>
        <w:t>, escrito</w:t>
      </w:r>
      <w:r>
        <w:rPr>
          <w:rFonts w:ascii="Times New Roman" w:hAnsi="Times New Roman"/>
          <w:sz w:val="24"/>
          <w:szCs w:val="24"/>
        </w:rPr>
        <w:t xml:space="preserve"> en </w:t>
      </w:r>
      <w:r w:rsidRPr="001E3EE6">
        <w:rPr>
          <w:rFonts w:ascii="Times New Roman" w:hAnsi="Times New Roman"/>
          <w:i/>
          <w:sz w:val="24"/>
          <w:szCs w:val="24"/>
        </w:rPr>
        <w:t>gilvus</w:t>
      </w:r>
      <w:r>
        <w:rPr>
          <w:rFonts w:ascii="Times New Roman" w:hAnsi="Times New Roman"/>
          <w:sz w:val="24"/>
          <w:szCs w:val="24"/>
        </w:rPr>
        <w:t xml:space="preserve"> -amarillo-</w:t>
      </w:r>
      <w:r w:rsidR="009C2465">
        <w:rPr>
          <w:rFonts w:ascii="Times New Roman" w:hAnsi="Times New Roman"/>
          <w:sz w:val="24"/>
          <w:szCs w:val="24"/>
        </w:rPr>
        <w:t xml:space="preserve"> sobre</w:t>
      </w:r>
      <w:r>
        <w:rPr>
          <w:rFonts w:ascii="Times New Roman" w:hAnsi="Times New Roman"/>
          <w:sz w:val="24"/>
          <w:szCs w:val="24"/>
        </w:rPr>
        <w:t xml:space="preserve"> ánforas cretenses Pompeii 8. Su estudio se realiza a partir de la crítica epigráfica y la confrontación con un paralelo, la sigla </w:t>
      </w:r>
      <w:r w:rsidRPr="009C2465">
        <w:rPr>
          <w:rFonts w:ascii="Times New Roman" w:hAnsi="Times New Roman"/>
          <w:i/>
          <w:sz w:val="24"/>
          <w:szCs w:val="24"/>
        </w:rPr>
        <w:t>Ti. C. O.</w:t>
      </w:r>
      <w:r>
        <w:rPr>
          <w:rFonts w:ascii="Times New Roman" w:hAnsi="Times New Roman"/>
          <w:sz w:val="24"/>
          <w:szCs w:val="24"/>
        </w:rPr>
        <w:t xml:space="preserve"> sobre</w:t>
      </w:r>
      <w:r w:rsidR="00BE25A5">
        <w:rPr>
          <w:rFonts w:ascii="Times New Roman" w:hAnsi="Times New Roman"/>
          <w:sz w:val="24"/>
          <w:szCs w:val="24"/>
        </w:rPr>
        <w:t xml:space="preserve"> ánforas cilicias</w:t>
      </w:r>
      <w:r>
        <w:rPr>
          <w:rFonts w:ascii="Times New Roman" w:hAnsi="Times New Roman"/>
          <w:sz w:val="24"/>
          <w:szCs w:val="24"/>
        </w:rPr>
        <w:t xml:space="preserve"> Pompeii 13. De tal forma, se establecen seis gr</w:t>
      </w:r>
      <w:r w:rsidR="009C2465">
        <w:rPr>
          <w:rFonts w:ascii="Times New Roman" w:hAnsi="Times New Roman"/>
          <w:sz w:val="24"/>
          <w:szCs w:val="24"/>
        </w:rPr>
        <w:t>upos estructurales que sirven de base a una interpretación de las titulaturas en el contexto de las escalas comerciales entre Alejandría y Roma.</w:t>
      </w:r>
    </w:p>
    <w:p w:rsidR="00CD6938" w:rsidRPr="001E3EE6" w:rsidRDefault="00CD6938" w:rsidP="00F34854">
      <w:pPr>
        <w:spacing w:after="0" w:line="360" w:lineRule="auto"/>
        <w:ind w:firstLine="709"/>
        <w:jc w:val="both"/>
        <w:rPr>
          <w:rFonts w:ascii="Times New Roman" w:hAnsi="Times New Roman"/>
          <w:sz w:val="24"/>
          <w:szCs w:val="24"/>
        </w:rPr>
      </w:pPr>
      <w:r w:rsidRPr="001E3EE6">
        <w:rPr>
          <w:rFonts w:ascii="Times New Roman" w:hAnsi="Times New Roman"/>
          <w:sz w:val="24"/>
          <w:szCs w:val="24"/>
        </w:rPr>
        <w:t>Palabras clave</w:t>
      </w:r>
      <w:r w:rsidR="00340EEF" w:rsidRPr="001E3EE6">
        <w:rPr>
          <w:rFonts w:ascii="Times New Roman" w:hAnsi="Times New Roman"/>
          <w:sz w:val="24"/>
          <w:szCs w:val="24"/>
        </w:rPr>
        <w:t>:</w:t>
      </w:r>
      <w:r w:rsidR="00ED6806">
        <w:rPr>
          <w:rFonts w:ascii="Times New Roman" w:hAnsi="Times New Roman"/>
          <w:sz w:val="24"/>
          <w:szCs w:val="24"/>
        </w:rPr>
        <w:t xml:space="preserve"> Schoene-Mau VIII,</w:t>
      </w:r>
      <w:r w:rsidR="00340EEF" w:rsidRPr="001E3EE6">
        <w:rPr>
          <w:rFonts w:ascii="Times New Roman" w:hAnsi="Times New Roman"/>
          <w:sz w:val="24"/>
          <w:szCs w:val="24"/>
        </w:rPr>
        <w:t xml:space="preserve"> e</w:t>
      </w:r>
      <w:r w:rsidR="00116A56" w:rsidRPr="001E3EE6">
        <w:rPr>
          <w:rFonts w:ascii="Times New Roman" w:hAnsi="Times New Roman"/>
          <w:sz w:val="24"/>
          <w:szCs w:val="24"/>
        </w:rPr>
        <w:t>pigrafía</w:t>
      </w:r>
      <w:r w:rsidR="00E556BA" w:rsidRPr="001E3EE6">
        <w:rPr>
          <w:rFonts w:ascii="Times New Roman" w:hAnsi="Times New Roman"/>
          <w:sz w:val="24"/>
          <w:szCs w:val="24"/>
        </w:rPr>
        <w:t>,</w:t>
      </w:r>
      <w:r w:rsidR="00ED6806">
        <w:rPr>
          <w:rFonts w:ascii="Times New Roman" w:hAnsi="Times New Roman"/>
          <w:sz w:val="24"/>
          <w:szCs w:val="24"/>
        </w:rPr>
        <w:t xml:space="preserve"> incertidumbre</w:t>
      </w:r>
      <w:r w:rsidR="00340EEF" w:rsidRPr="001E3EE6">
        <w:rPr>
          <w:rFonts w:ascii="Times New Roman" w:hAnsi="Times New Roman"/>
          <w:sz w:val="24"/>
          <w:szCs w:val="24"/>
        </w:rPr>
        <w:t xml:space="preserve">, vino, </w:t>
      </w:r>
      <w:r w:rsidR="000C3D00" w:rsidRPr="000C3D00">
        <w:rPr>
          <w:rFonts w:ascii="Times New Roman" w:hAnsi="Times New Roman"/>
          <w:i/>
          <w:sz w:val="24"/>
          <w:szCs w:val="24"/>
        </w:rPr>
        <w:t>vectura</w:t>
      </w:r>
      <w:r w:rsidR="000C3D00">
        <w:rPr>
          <w:rFonts w:ascii="Times New Roman" w:hAnsi="Times New Roman"/>
          <w:sz w:val="24"/>
          <w:szCs w:val="24"/>
        </w:rPr>
        <w:t xml:space="preserve">, </w:t>
      </w:r>
      <w:r w:rsidR="000C3D00" w:rsidRPr="00AF59B0">
        <w:rPr>
          <w:rFonts w:ascii="Times New Roman" w:hAnsi="Times New Roman"/>
          <w:i/>
          <w:sz w:val="24"/>
          <w:szCs w:val="24"/>
        </w:rPr>
        <w:t>Annona</w:t>
      </w:r>
      <w:r w:rsidR="000C3D00">
        <w:rPr>
          <w:rFonts w:ascii="Times New Roman" w:hAnsi="Times New Roman"/>
          <w:sz w:val="24"/>
          <w:szCs w:val="24"/>
        </w:rPr>
        <w:t xml:space="preserve">, </w:t>
      </w:r>
      <w:r w:rsidR="00340EEF" w:rsidRPr="001E3EE6">
        <w:rPr>
          <w:rFonts w:ascii="Times New Roman" w:hAnsi="Times New Roman"/>
          <w:sz w:val="24"/>
          <w:szCs w:val="24"/>
        </w:rPr>
        <w:t xml:space="preserve">Alejandría, Cilicia, Creta, </w:t>
      </w:r>
      <w:r w:rsidR="00340EEF" w:rsidRPr="00485225">
        <w:rPr>
          <w:rFonts w:ascii="Times New Roman" w:hAnsi="Times New Roman"/>
          <w:i/>
          <w:sz w:val="24"/>
          <w:szCs w:val="24"/>
        </w:rPr>
        <w:t>Puteoli</w:t>
      </w:r>
      <w:r w:rsidR="00340EEF" w:rsidRPr="001E3EE6">
        <w:rPr>
          <w:rFonts w:ascii="Times New Roman" w:hAnsi="Times New Roman"/>
          <w:sz w:val="24"/>
          <w:szCs w:val="24"/>
        </w:rPr>
        <w:t>.</w:t>
      </w:r>
    </w:p>
    <w:p w:rsidR="007545F4" w:rsidRPr="001E3EE6" w:rsidRDefault="00C5753E" w:rsidP="007545F4">
      <w:pPr>
        <w:spacing w:after="0" w:line="360" w:lineRule="auto"/>
        <w:ind w:firstLine="709"/>
        <w:jc w:val="both"/>
        <w:rPr>
          <w:rFonts w:ascii="Times New Roman" w:hAnsi="Times New Roman"/>
          <w:smallCaps/>
          <w:sz w:val="24"/>
          <w:szCs w:val="24"/>
          <w:lang w:val="en-US"/>
        </w:rPr>
      </w:pPr>
      <w:r w:rsidRPr="001E3EE6">
        <w:rPr>
          <w:rFonts w:ascii="Times New Roman" w:hAnsi="Times New Roman"/>
          <w:smallCaps/>
          <w:sz w:val="24"/>
          <w:szCs w:val="24"/>
          <w:lang w:val="en-US"/>
        </w:rPr>
        <w:t>Abstract</w:t>
      </w:r>
    </w:p>
    <w:p w:rsidR="007545F4" w:rsidRDefault="007545F4" w:rsidP="00E556BA">
      <w:pPr>
        <w:spacing w:after="0" w:line="360" w:lineRule="auto"/>
        <w:ind w:firstLine="709"/>
        <w:jc w:val="both"/>
        <w:rPr>
          <w:rFonts w:ascii="Times New Roman" w:hAnsi="Times New Roman"/>
          <w:sz w:val="24"/>
          <w:szCs w:val="24"/>
          <w:lang w:val="en-US"/>
        </w:rPr>
      </w:pPr>
      <w:r w:rsidRPr="007545F4">
        <w:rPr>
          <w:rFonts w:ascii="Times New Roman" w:hAnsi="Times New Roman"/>
          <w:sz w:val="24"/>
          <w:szCs w:val="24"/>
          <w:lang w:val="en-US"/>
        </w:rPr>
        <w:t xml:space="preserve">The </w:t>
      </w:r>
      <w:r w:rsidR="00F653E9">
        <w:rPr>
          <w:rFonts w:ascii="Times New Roman" w:hAnsi="Times New Roman"/>
          <w:sz w:val="24"/>
          <w:szCs w:val="24"/>
          <w:lang w:val="en-US"/>
        </w:rPr>
        <w:t>transcription of</w:t>
      </w:r>
      <w:r w:rsidRPr="007545F4">
        <w:rPr>
          <w:rFonts w:ascii="Times New Roman" w:hAnsi="Times New Roman"/>
          <w:sz w:val="24"/>
          <w:szCs w:val="24"/>
          <w:lang w:val="en-US"/>
        </w:rPr>
        <w:t xml:space="preserve"> concepts and other formal features </w:t>
      </w:r>
      <w:r w:rsidR="00F653E9">
        <w:rPr>
          <w:rFonts w:ascii="Times New Roman" w:hAnsi="Times New Roman"/>
          <w:sz w:val="24"/>
          <w:szCs w:val="24"/>
          <w:lang w:val="en-US"/>
        </w:rPr>
        <w:t>from amphoric</w:t>
      </w:r>
      <w:r w:rsidRPr="007545F4">
        <w:rPr>
          <w:rFonts w:ascii="Times New Roman" w:hAnsi="Times New Roman"/>
          <w:sz w:val="24"/>
          <w:szCs w:val="24"/>
          <w:lang w:val="en-US"/>
        </w:rPr>
        <w:t xml:space="preserve"> </w:t>
      </w:r>
      <w:r w:rsidRPr="003F0D18">
        <w:rPr>
          <w:rFonts w:ascii="Times New Roman" w:hAnsi="Times New Roman"/>
          <w:i/>
          <w:sz w:val="24"/>
          <w:szCs w:val="24"/>
          <w:lang w:val="en-US"/>
        </w:rPr>
        <w:t>tituli picti</w:t>
      </w:r>
      <w:r w:rsidRPr="007545F4">
        <w:rPr>
          <w:rFonts w:ascii="Times New Roman" w:hAnsi="Times New Roman"/>
          <w:sz w:val="24"/>
          <w:szCs w:val="24"/>
          <w:lang w:val="en-US"/>
        </w:rPr>
        <w:t xml:space="preserve"> </w:t>
      </w:r>
      <w:r w:rsidR="00F653E9">
        <w:rPr>
          <w:rFonts w:ascii="Times New Roman" w:hAnsi="Times New Roman"/>
          <w:sz w:val="24"/>
          <w:szCs w:val="24"/>
          <w:lang w:val="en-US"/>
        </w:rPr>
        <w:t>into a code</w:t>
      </w:r>
      <w:r w:rsidRPr="007545F4">
        <w:rPr>
          <w:rFonts w:ascii="Times New Roman" w:hAnsi="Times New Roman"/>
          <w:sz w:val="24"/>
          <w:szCs w:val="24"/>
          <w:lang w:val="en-US"/>
        </w:rPr>
        <w:t xml:space="preserve"> is here </w:t>
      </w:r>
      <w:r w:rsidR="00583ECD">
        <w:rPr>
          <w:rFonts w:ascii="Times New Roman" w:hAnsi="Times New Roman"/>
          <w:sz w:val="24"/>
          <w:szCs w:val="24"/>
          <w:lang w:val="en-US"/>
        </w:rPr>
        <w:t>introduced</w:t>
      </w:r>
      <w:r w:rsidR="00F653E9">
        <w:rPr>
          <w:rFonts w:ascii="Times New Roman" w:hAnsi="Times New Roman"/>
          <w:sz w:val="24"/>
          <w:szCs w:val="24"/>
          <w:lang w:val="en-US"/>
        </w:rPr>
        <w:t xml:space="preserve"> as a working strategy for their</w:t>
      </w:r>
      <w:r w:rsidRPr="007545F4">
        <w:rPr>
          <w:rFonts w:ascii="Times New Roman" w:hAnsi="Times New Roman"/>
          <w:sz w:val="24"/>
          <w:szCs w:val="24"/>
          <w:lang w:val="en-US"/>
        </w:rPr>
        <w:t xml:space="preserve"> reading and historical interpretation</w:t>
      </w:r>
      <w:r w:rsidR="00060C0E">
        <w:rPr>
          <w:rFonts w:ascii="Times New Roman" w:hAnsi="Times New Roman"/>
          <w:sz w:val="24"/>
          <w:szCs w:val="24"/>
          <w:lang w:val="en-US"/>
        </w:rPr>
        <w:t>s</w:t>
      </w:r>
      <w:r w:rsidRPr="007545F4">
        <w:rPr>
          <w:rFonts w:ascii="Times New Roman" w:hAnsi="Times New Roman"/>
          <w:sz w:val="24"/>
          <w:szCs w:val="24"/>
          <w:lang w:val="en-US"/>
        </w:rPr>
        <w:t>. The Codex meth</w:t>
      </w:r>
      <w:r w:rsidR="00F653E9">
        <w:rPr>
          <w:rFonts w:ascii="Times New Roman" w:hAnsi="Times New Roman"/>
          <w:sz w:val="24"/>
          <w:szCs w:val="24"/>
          <w:lang w:val="en-US"/>
        </w:rPr>
        <w:t>odology</w:t>
      </w:r>
      <w:r w:rsidRPr="007545F4">
        <w:rPr>
          <w:rFonts w:ascii="Times New Roman" w:hAnsi="Times New Roman"/>
          <w:sz w:val="24"/>
          <w:szCs w:val="24"/>
          <w:lang w:val="en-US"/>
        </w:rPr>
        <w:t xml:space="preserve"> </w:t>
      </w:r>
      <w:r w:rsidR="00583ECD">
        <w:rPr>
          <w:rFonts w:ascii="Times New Roman" w:hAnsi="Times New Roman"/>
          <w:sz w:val="24"/>
          <w:szCs w:val="24"/>
          <w:lang w:val="en-US"/>
        </w:rPr>
        <w:t xml:space="preserve">that </w:t>
      </w:r>
      <w:r w:rsidRPr="007545F4">
        <w:rPr>
          <w:rFonts w:ascii="Times New Roman" w:hAnsi="Times New Roman"/>
          <w:sz w:val="24"/>
          <w:szCs w:val="24"/>
          <w:lang w:val="en-US"/>
        </w:rPr>
        <w:t xml:space="preserve">has been developed for this purpose </w:t>
      </w:r>
      <w:r w:rsidR="00F653E9">
        <w:rPr>
          <w:rFonts w:ascii="Times New Roman" w:hAnsi="Times New Roman"/>
          <w:sz w:val="24"/>
          <w:szCs w:val="24"/>
          <w:lang w:val="en-US"/>
        </w:rPr>
        <w:t xml:space="preserve">and it </w:t>
      </w:r>
      <w:r w:rsidRPr="007545F4">
        <w:rPr>
          <w:rFonts w:ascii="Times New Roman" w:hAnsi="Times New Roman"/>
          <w:sz w:val="24"/>
          <w:szCs w:val="24"/>
          <w:lang w:val="en-US"/>
        </w:rPr>
        <w:t xml:space="preserve">aims to limit </w:t>
      </w:r>
      <w:r w:rsidR="00F653E9">
        <w:rPr>
          <w:rFonts w:ascii="Times New Roman" w:hAnsi="Times New Roman"/>
          <w:sz w:val="24"/>
          <w:szCs w:val="24"/>
          <w:lang w:val="en-US"/>
        </w:rPr>
        <w:t xml:space="preserve">the </w:t>
      </w:r>
      <w:r w:rsidRPr="007545F4">
        <w:rPr>
          <w:rFonts w:ascii="Times New Roman" w:hAnsi="Times New Roman"/>
          <w:sz w:val="24"/>
          <w:szCs w:val="24"/>
          <w:lang w:val="en-US"/>
        </w:rPr>
        <w:t xml:space="preserve">uncertainty and </w:t>
      </w:r>
      <w:r w:rsidR="00583ECD">
        <w:rPr>
          <w:rFonts w:ascii="Times New Roman" w:hAnsi="Times New Roman"/>
          <w:sz w:val="24"/>
          <w:szCs w:val="24"/>
          <w:lang w:val="en-US"/>
        </w:rPr>
        <w:t xml:space="preserve">thus </w:t>
      </w:r>
      <w:r w:rsidRPr="007545F4">
        <w:rPr>
          <w:rFonts w:ascii="Times New Roman" w:hAnsi="Times New Roman"/>
          <w:sz w:val="24"/>
          <w:szCs w:val="24"/>
          <w:lang w:val="en-US"/>
        </w:rPr>
        <w:t xml:space="preserve">facilitate </w:t>
      </w:r>
      <w:r w:rsidR="00583ECD">
        <w:rPr>
          <w:rFonts w:ascii="Times New Roman" w:hAnsi="Times New Roman"/>
          <w:sz w:val="24"/>
          <w:szCs w:val="24"/>
          <w:lang w:val="en-US"/>
        </w:rPr>
        <w:t>a</w:t>
      </w:r>
      <w:r w:rsidRPr="007545F4">
        <w:rPr>
          <w:rFonts w:ascii="Times New Roman" w:hAnsi="Times New Roman"/>
          <w:sz w:val="24"/>
          <w:szCs w:val="24"/>
          <w:lang w:val="en-US"/>
        </w:rPr>
        <w:t xml:space="preserve"> comparative analysis of such </w:t>
      </w:r>
      <w:r w:rsidRPr="003F0D18">
        <w:rPr>
          <w:rFonts w:ascii="Times New Roman" w:hAnsi="Times New Roman"/>
          <w:i/>
          <w:sz w:val="24"/>
          <w:szCs w:val="24"/>
          <w:lang w:val="en-US"/>
        </w:rPr>
        <w:t>ti</w:t>
      </w:r>
      <w:r w:rsidR="00F653E9" w:rsidRPr="003F0D18">
        <w:rPr>
          <w:rFonts w:ascii="Times New Roman" w:hAnsi="Times New Roman"/>
          <w:i/>
          <w:sz w:val="24"/>
          <w:szCs w:val="24"/>
          <w:lang w:val="en-US"/>
        </w:rPr>
        <w:t>tuli</w:t>
      </w:r>
      <w:r w:rsidRPr="007545F4">
        <w:rPr>
          <w:rFonts w:ascii="Times New Roman" w:hAnsi="Times New Roman"/>
          <w:sz w:val="24"/>
          <w:szCs w:val="24"/>
          <w:lang w:val="en-US"/>
        </w:rPr>
        <w:t>.</w:t>
      </w:r>
      <w:r w:rsidR="003F0D18">
        <w:rPr>
          <w:rFonts w:ascii="Times New Roman" w:hAnsi="Times New Roman"/>
          <w:sz w:val="24"/>
          <w:szCs w:val="24"/>
          <w:lang w:val="en-US"/>
        </w:rPr>
        <w:t xml:space="preserve"> </w:t>
      </w:r>
      <w:r w:rsidR="003F0D18" w:rsidRPr="003F0D18">
        <w:rPr>
          <w:rFonts w:ascii="Times New Roman" w:hAnsi="Times New Roman"/>
          <w:sz w:val="24"/>
          <w:szCs w:val="24"/>
          <w:lang w:val="en-US"/>
        </w:rPr>
        <w:t xml:space="preserve">In order to show the complexity of this </w:t>
      </w:r>
      <w:r w:rsidR="00583ECD">
        <w:rPr>
          <w:rFonts w:ascii="Times New Roman" w:hAnsi="Times New Roman"/>
          <w:sz w:val="24"/>
          <w:szCs w:val="24"/>
          <w:lang w:val="en-US"/>
        </w:rPr>
        <w:t>epigraphic dossier</w:t>
      </w:r>
      <w:r w:rsidR="003F0D18" w:rsidRPr="003F0D18">
        <w:rPr>
          <w:rFonts w:ascii="Times New Roman" w:hAnsi="Times New Roman"/>
          <w:sz w:val="24"/>
          <w:szCs w:val="24"/>
          <w:lang w:val="en-US"/>
        </w:rPr>
        <w:t xml:space="preserve">, a case study has been selected: the </w:t>
      </w:r>
      <w:r w:rsidR="00855D6D">
        <w:rPr>
          <w:rFonts w:ascii="Times New Roman" w:hAnsi="Times New Roman"/>
          <w:sz w:val="24"/>
          <w:szCs w:val="24"/>
          <w:lang w:val="en-US"/>
        </w:rPr>
        <w:t>alleged</w:t>
      </w:r>
      <w:r w:rsidR="003F0D18" w:rsidRPr="003F0D18">
        <w:rPr>
          <w:rFonts w:ascii="Times New Roman" w:hAnsi="Times New Roman"/>
          <w:sz w:val="24"/>
          <w:szCs w:val="24"/>
          <w:lang w:val="en-US"/>
        </w:rPr>
        <w:t xml:space="preserve"> </w:t>
      </w:r>
      <w:r w:rsidR="003F0D18" w:rsidRPr="003F0D18">
        <w:rPr>
          <w:rFonts w:ascii="Times New Roman" w:hAnsi="Times New Roman"/>
          <w:i/>
          <w:sz w:val="24"/>
          <w:szCs w:val="24"/>
          <w:lang w:val="en-US"/>
        </w:rPr>
        <w:t>tria nomina</w:t>
      </w:r>
      <w:r w:rsidR="00855D6D">
        <w:rPr>
          <w:rFonts w:ascii="Times New Roman" w:hAnsi="Times New Roman"/>
          <w:sz w:val="24"/>
          <w:szCs w:val="24"/>
          <w:lang w:val="en-US"/>
        </w:rPr>
        <w:t xml:space="preserve"> </w:t>
      </w:r>
      <w:r w:rsidR="00855D6D" w:rsidRPr="003F0D18">
        <w:rPr>
          <w:rFonts w:ascii="Times New Roman" w:hAnsi="Times New Roman"/>
          <w:sz w:val="24"/>
          <w:szCs w:val="24"/>
          <w:lang w:val="en-US"/>
        </w:rPr>
        <w:t>abbreviated</w:t>
      </w:r>
      <w:r w:rsidR="00855D6D">
        <w:rPr>
          <w:rFonts w:ascii="Times New Roman" w:hAnsi="Times New Roman"/>
          <w:sz w:val="24"/>
          <w:szCs w:val="24"/>
          <w:lang w:val="en-US"/>
        </w:rPr>
        <w:t xml:space="preserve"> as</w:t>
      </w:r>
      <w:r w:rsidR="003F0D18" w:rsidRPr="003F0D18">
        <w:rPr>
          <w:rFonts w:ascii="Times New Roman" w:hAnsi="Times New Roman"/>
          <w:i/>
          <w:sz w:val="24"/>
          <w:szCs w:val="24"/>
          <w:lang w:val="en-US"/>
        </w:rPr>
        <w:t xml:space="preserve"> C. A. R.</w:t>
      </w:r>
      <w:r w:rsidR="003F0D18" w:rsidRPr="003F0D18">
        <w:rPr>
          <w:rFonts w:ascii="Times New Roman" w:hAnsi="Times New Roman"/>
          <w:sz w:val="24"/>
          <w:szCs w:val="24"/>
          <w:lang w:val="en-US"/>
        </w:rPr>
        <w:t xml:space="preserve">, written in </w:t>
      </w:r>
      <w:r w:rsidR="003F0D18" w:rsidRPr="003F0D18">
        <w:rPr>
          <w:rFonts w:ascii="Times New Roman" w:hAnsi="Times New Roman"/>
          <w:i/>
          <w:sz w:val="24"/>
          <w:szCs w:val="24"/>
          <w:lang w:val="en-US"/>
        </w:rPr>
        <w:t>gilvus</w:t>
      </w:r>
      <w:r w:rsidR="003F0D18" w:rsidRPr="003F0D18">
        <w:rPr>
          <w:rFonts w:ascii="Times New Roman" w:hAnsi="Times New Roman"/>
          <w:sz w:val="24"/>
          <w:szCs w:val="24"/>
          <w:lang w:val="en-US"/>
        </w:rPr>
        <w:t xml:space="preserve"> -</w:t>
      </w:r>
      <w:r w:rsidR="003F0D18">
        <w:rPr>
          <w:rFonts w:ascii="Times New Roman" w:hAnsi="Times New Roman"/>
          <w:sz w:val="24"/>
          <w:szCs w:val="24"/>
          <w:lang w:val="en-US"/>
        </w:rPr>
        <w:t>yellow- o</w:t>
      </w:r>
      <w:r w:rsidR="00855D6D">
        <w:rPr>
          <w:rFonts w:ascii="Times New Roman" w:hAnsi="Times New Roman"/>
          <w:sz w:val="24"/>
          <w:szCs w:val="24"/>
          <w:lang w:val="en-US"/>
        </w:rPr>
        <w:t>n Cretan amphorae Pompeii 8. This</w:t>
      </w:r>
      <w:r w:rsidR="003F0D18" w:rsidRPr="003F0D18">
        <w:rPr>
          <w:rFonts w:ascii="Times New Roman" w:hAnsi="Times New Roman"/>
          <w:sz w:val="24"/>
          <w:szCs w:val="24"/>
          <w:lang w:val="en-US"/>
        </w:rPr>
        <w:t xml:space="preserve"> study </w:t>
      </w:r>
      <w:r w:rsidR="00855D6D">
        <w:rPr>
          <w:rFonts w:ascii="Times New Roman" w:hAnsi="Times New Roman"/>
          <w:sz w:val="24"/>
          <w:szCs w:val="24"/>
          <w:lang w:val="en-US"/>
        </w:rPr>
        <w:t>draws on</w:t>
      </w:r>
      <w:r w:rsidR="003F0D18" w:rsidRPr="003F0D18">
        <w:rPr>
          <w:rFonts w:ascii="Times New Roman" w:hAnsi="Times New Roman"/>
          <w:sz w:val="24"/>
          <w:szCs w:val="24"/>
          <w:lang w:val="en-US"/>
        </w:rPr>
        <w:t xml:space="preserve"> epigraphic criticism </w:t>
      </w:r>
      <w:r w:rsidR="003F0D18">
        <w:rPr>
          <w:rFonts w:ascii="Times New Roman" w:hAnsi="Times New Roman"/>
          <w:sz w:val="24"/>
          <w:szCs w:val="24"/>
          <w:lang w:val="en-US"/>
        </w:rPr>
        <w:t>and</w:t>
      </w:r>
      <w:r w:rsidR="003F0D18" w:rsidRPr="003F0D18">
        <w:rPr>
          <w:rFonts w:ascii="Times New Roman" w:hAnsi="Times New Roman"/>
          <w:sz w:val="24"/>
          <w:szCs w:val="24"/>
          <w:lang w:val="en-US"/>
        </w:rPr>
        <w:t xml:space="preserve"> </w:t>
      </w:r>
      <w:r w:rsidR="00855D6D">
        <w:rPr>
          <w:rFonts w:ascii="Times New Roman" w:hAnsi="Times New Roman"/>
          <w:sz w:val="24"/>
          <w:szCs w:val="24"/>
          <w:lang w:val="en-US"/>
        </w:rPr>
        <w:t>comparison with</w:t>
      </w:r>
      <w:r w:rsidR="00F735F2">
        <w:rPr>
          <w:rFonts w:ascii="Times New Roman" w:hAnsi="Times New Roman"/>
          <w:sz w:val="24"/>
          <w:szCs w:val="24"/>
          <w:lang w:val="en-US"/>
        </w:rPr>
        <w:t xml:space="preserve"> </w:t>
      </w:r>
      <w:r w:rsidR="003F0D18" w:rsidRPr="003F0D18">
        <w:rPr>
          <w:rFonts w:ascii="Times New Roman" w:hAnsi="Times New Roman"/>
          <w:sz w:val="24"/>
          <w:szCs w:val="24"/>
          <w:lang w:val="en-US"/>
        </w:rPr>
        <w:t xml:space="preserve">the </w:t>
      </w:r>
      <w:r w:rsidR="00F735F2">
        <w:rPr>
          <w:rFonts w:ascii="Times New Roman" w:hAnsi="Times New Roman"/>
          <w:sz w:val="24"/>
          <w:szCs w:val="24"/>
          <w:lang w:val="en-US"/>
        </w:rPr>
        <w:t>initials</w:t>
      </w:r>
      <w:r w:rsidR="003F0D18" w:rsidRPr="003F0D18">
        <w:rPr>
          <w:rFonts w:ascii="Times New Roman" w:hAnsi="Times New Roman"/>
          <w:sz w:val="24"/>
          <w:szCs w:val="24"/>
          <w:lang w:val="en-US"/>
        </w:rPr>
        <w:t xml:space="preserve"> </w:t>
      </w:r>
      <w:r w:rsidR="003F0D18" w:rsidRPr="00F735F2">
        <w:rPr>
          <w:rFonts w:ascii="Times New Roman" w:hAnsi="Times New Roman"/>
          <w:i/>
          <w:sz w:val="24"/>
          <w:szCs w:val="24"/>
          <w:lang w:val="en-US"/>
        </w:rPr>
        <w:t>Ti. C. O.</w:t>
      </w:r>
      <w:r w:rsidR="00F735F2">
        <w:rPr>
          <w:rFonts w:ascii="Times New Roman" w:hAnsi="Times New Roman"/>
          <w:sz w:val="24"/>
          <w:szCs w:val="24"/>
          <w:lang w:val="en-US"/>
        </w:rPr>
        <w:t xml:space="preserve"> on Cilici</w:t>
      </w:r>
      <w:r w:rsidR="00855D6D">
        <w:rPr>
          <w:rFonts w:ascii="Times New Roman" w:hAnsi="Times New Roman"/>
          <w:sz w:val="24"/>
          <w:szCs w:val="24"/>
          <w:lang w:val="en-US"/>
        </w:rPr>
        <w:t>an amphorae Pompeii 13. In order to achieve this, s</w:t>
      </w:r>
      <w:r w:rsidR="003F0D18" w:rsidRPr="003F0D18">
        <w:rPr>
          <w:rFonts w:ascii="Times New Roman" w:hAnsi="Times New Roman"/>
          <w:sz w:val="24"/>
          <w:szCs w:val="24"/>
          <w:lang w:val="en-US"/>
        </w:rPr>
        <w:t xml:space="preserve">ix structural groups </w:t>
      </w:r>
      <w:r w:rsidR="00584139">
        <w:rPr>
          <w:rFonts w:ascii="Times New Roman" w:hAnsi="Times New Roman"/>
          <w:sz w:val="24"/>
          <w:szCs w:val="24"/>
          <w:lang w:val="en-US"/>
        </w:rPr>
        <w:t>have been established</w:t>
      </w:r>
      <w:r w:rsidR="00855D6D">
        <w:rPr>
          <w:rFonts w:ascii="Times New Roman" w:hAnsi="Times New Roman"/>
          <w:sz w:val="24"/>
          <w:szCs w:val="24"/>
          <w:lang w:val="en-US"/>
        </w:rPr>
        <w:t>. These will</w:t>
      </w:r>
      <w:r w:rsidR="00584139">
        <w:rPr>
          <w:rFonts w:ascii="Times New Roman" w:hAnsi="Times New Roman"/>
          <w:sz w:val="24"/>
          <w:szCs w:val="24"/>
          <w:lang w:val="en-US"/>
        </w:rPr>
        <w:t xml:space="preserve"> provide</w:t>
      </w:r>
      <w:r w:rsidR="003F0D18" w:rsidRPr="003F0D18">
        <w:rPr>
          <w:rFonts w:ascii="Times New Roman" w:hAnsi="Times New Roman"/>
          <w:sz w:val="24"/>
          <w:szCs w:val="24"/>
          <w:lang w:val="en-US"/>
        </w:rPr>
        <w:t xml:space="preserve"> the basis for an i</w:t>
      </w:r>
      <w:r w:rsidR="00584139">
        <w:rPr>
          <w:rFonts w:ascii="Times New Roman" w:hAnsi="Times New Roman"/>
          <w:sz w:val="24"/>
          <w:szCs w:val="24"/>
          <w:lang w:val="en-US"/>
        </w:rPr>
        <w:t xml:space="preserve">nterpretation of the </w:t>
      </w:r>
      <w:r w:rsidR="00584139" w:rsidRPr="00584139">
        <w:rPr>
          <w:rFonts w:ascii="Times New Roman" w:hAnsi="Times New Roman"/>
          <w:i/>
          <w:sz w:val="24"/>
          <w:szCs w:val="24"/>
          <w:lang w:val="en-US"/>
        </w:rPr>
        <w:t>tituli</w:t>
      </w:r>
      <w:r w:rsidR="003F0D18" w:rsidRPr="003F0D18">
        <w:rPr>
          <w:rFonts w:ascii="Times New Roman" w:hAnsi="Times New Roman"/>
          <w:sz w:val="24"/>
          <w:szCs w:val="24"/>
          <w:lang w:val="en-US"/>
        </w:rPr>
        <w:t xml:space="preserve"> </w:t>
      </w:r>
      <w:r w:rsidR="00855D6D">
        <w:rPr>
          <w:rFonts w:ascii="Times New Roman" w:hAnsi="Times New Roman"/>
          <w:sz w:val="24"/>
          <w:szCs w:val="24"/>
          <w:lang w:val="en-US"/>
        </w:rPr>
        <w:t xml:space="preserve">and their association </w:t>
      </w:r>
      <w:r w:rsidR="003F0D18" w:rsidRPr="003F0D18">
        <w:rPr>
          <w:rFonts w:ascii="Times New Roman" w:hAnsi="Times New Roman"/>
          <w:sz w:val="24"/>
          <w:szCs w:val="24"/>
          <w:lang w:val="en-US"/>
        </w:rPr>
        <w:t>in the context of the</w:t>
      </w:r>
      <w:r w:rsidR="00060C0E">
        <w:rPr>
          <w:rFonts w:ascii="Times New Roman" w:hAnsi="Times New Roman"/>
          <w:sz w:val="24"/>
          <w:szCs w:val="24"/>
          <w:lang w:val="en-US"/>
        </w:rPr>
        <w:t xml:space="preserve"> several</w:t>
      </w:r>
      <w:r w:rsidR="003F0D18" w:rsidRPr="003F0D18">
        <w:rPr>
          <w:rFonts w:ascii="Times New Roman" w:hAnsi="Times New Roman"/>
          <w:sz w:val="24"/>
          <w:szCs w:val="24"/>
          <w:lang w:val="en-US"/>
        </w:rPr>
        <w:t xml:space="preserve"> stopove</w:t>
      </w:r>
      <w:r w:rsidR="00ED6806">
        <w:rPr>
          <w:rFonts w:ascii="Times New Roman" w:hAnsi="Times New Roman"/>
          <w:sz w:val="24"/>
          <w:szCs w:val="24"/>
          <w:lang w:val="en-US"/>
        </w:rPr>
        <w:t>rs</w:t>
      </w:r>
      <w:r w:rsidR="00060C0E">
        <w:rPr>
          <w:rFonts w:ascii="Times New Roman" w:hAnsi="Times New Roman"/>
          <w:sz w:val="24"/>
          <w:szCs w:val="24"/>
          <w:lang w:val="en-US"/>
        </w:rPr>
        <w:t xml:space="preserve"> found</w:t>
      </w:r>
      <w:r w:rsidR="00ED6806">
        <w:rPr>
          <w:rFonts w:ascii="Times New Roman" w:hAnsi="Times New Roman"/>
          <w:sz w:val="24"/>
          <w:szCs w:val="24"/>
          <w:lang w:val="en-US"/>
        </w:rPr>
        <w:t xml:space="preserve"> </w:t>
      </w:r>
      <w:r w:rsidR="00855D6D">
        <w:rPr>
          <w:rFonts w:ascii="Times New Roman" w:hAnsi="Times New Roman"/>
          <w:sz w:val="24"/>
          <w:szCs w:val="24"/>
          <w:lang w:val="en-US"/>
        </w:rPr>
        <w:t xml:space="preserve">along the trade route connecting </w:t>
      </w:r>
      <w:r w:rsidR="00ED6806">
        <w:rPr>
          <w:rFonts w:ascii="Times New Roman" w:hAnsi="Times New Roman"/>
          <w:sz w:val="24"/>
          <w:szCs w:val="24"/>
          <w:lang w:val="en-US"/>
        </w:rPr>
        <w:t>Alexandria and Rome.</w:t>
      </w:r>
    </w:p>
    <w:p w:rsidR="00A60628" w:rsidRPr="00E556BA" w:rsidRDefault="00C5753E" w:rsidP="00E556BA">
      <w:pPr>
        <w:spacing w:after="0" w:line="360" w:lineRule="auto"/>
        <w:ind w:firstLine="709"/>
        <w:jc w:val="both"/>
        <w:rPr>
          <w:rFonts w:ascii="Times New Roman" w:hAnsi="Times New Roman"/>
          <w:sz w:val="24"/>
          <w:szCs w:val="24"/>
          <w:lang w:val="en-US"/>
        </w:rPr>
      </w:pPr>
      <w:r w:rsidRPr="001E3EE6">
        <w:rPr>
          <w:rFonts w:ascii="Times New Roman" w:hAnsi="Times New Roman"/>
          <w:sz w:val="24"/>
          <w:szCs w:val="24"/>
          <w:lang w:val="en-US"/>
        </w:rPr>
        <w:lastRenderedPageBreak/>
        <w:t>Key</w:t>
      </w:r>
      <w:r w:rsidR="00CD6938" w:rsidRPr="001E3EE6">
        <w:rPr>
          <w:rFonts w:ascii="Times New Roman" w:hAnsi="Times New Roman"/>
          <w:sz w:val="24"/>
          <w:szCs w:val="24"/>
          <w:lang w:val="en-US"/>
        </w:rPr>
        <w:t xml:space="preserve"> </w:t>
      </w:r>
      <w:r w:rsidRPr="001E3EE6">
        <w:rPr>
          <w:rFonts w:ascii="Times New Roman" w:hAnsi="Times New Roman"/>
          <w:sz w:val="24"/>
          <w:szCs w:val="24"/>
          <w:lang w:val="en-US"/>
        </w:rPr>
        <w:t>words</w:t>
      </w:r>
      <w:r w:rsidR="000C3D00">
        <w:rPr>
          <w:rFonts w:ascii="Times New Roman" w:hAnsi="Times New Roman"/>
          <w:sz w:val="24"/>
          <w:szCs w:val="24"/>
          <w:lang w:val="en-US"/>
        </w:rPr>
        <w:t xml:space="preserve">: </w:t>
      </w:r>
      <w:r w:rsidR="00ED6806" w:rsidRPr="00ED6806">
        <w:rPr>
          <w:rFonts w:ascii="Times New Roman" w:hAnsi="Times New Roman"/>
          <w:sz w:val="24"/>
          <w:szCs w:val="24"/>
          <w:lang w:val="en-US"/>
        </w:rPr>
        <w:t xml:space="preserve">Schoene-Mau VIII, </w:t>
      </w:r>
      <w:r w:rsidR="000C3D00">
        <w:rPr>
          <w:rFonts w:ascii="Times New Roman" w:hAnsi="Times New Roman"/>
          <w:sz w:val="24"/>
          <w:szCs w:val="24"/>
          <w:lang w:val="en-US"/>
        </w:rPr>
        <w:t xml:space="preserve">epigraphy, uncertainty, </w:t>
      </w:r>
      <w:r w:rsidR="00E556BA" w:rsidRPr="001E3EE6">
        <w:rPr>
          <w:rFonts w:ascii="Times New Roman" w:hAnsi="Times New Roman"/>
          <w:sz w:val="24"/>
          <w:szCs w:val="24"/>
          <w:lang w:val="en-US"/>
        </w:rPr>
        <w:t xml:space="preserve">wine, </w:t>
      </w:r>
      <w:r w:rsidR="000C3D00" w:rsidRPr="000C3D00">
        <w:rPr>
          <w:rFonts w:ascii="Times New Roman" w:hAnsi="Times New Roman"/>
          <w:i/>
          <w:sz w:val="24"/>
          <w:szCs w:val="24"/>
          <w:lang w:val="en-US"/>
        </w:rPr>
        <w:t>vectura</w:t>
      </w:r>
      <w:r w:rsidR="000C3D00">
        <w:rPr>
          <w:rFonts w:ascii="Times New Roman" w:hAnsi="Times New Roman"/>
          <w:sz w:val="24"/>
          <w:szCs w:val="24"/>
          <w:lang w:val="en-US"/>
        </w:rPr>
        <w:t xml:space="preserve">, </w:t>
      </w:r>
      <w:r w:rsidR="000C3D00" w:rsidRPr="00AF59B0">
        <w:rPr>
          <w:rFonts w:ascii="Times New Roman" w:hAnsi="Times New Roman"/>
          <w:i/>
          <w:sz w:val="24"/>
          <w:szCs w:val="24"/>
          <w:lang w:val="en-US"/>
        </w:rPr>
        <w:t>Annona</w:t>
      </w:r>
      <w:r w:rsidR="000C3D00">
        <w:rPr>
          <w:rFonts w:ascii="Times New Roman" w:hAnsi="Times New Roman"/>
          <w:sz w:val="24"/>
          <w:szCs w:val="24"/>
          <w:lang w:val="en-US"/>
        </w:rPr>
        <w:t xml:space="preserve">, </w:t>
      </w:r>
      <w:r w:rsidR="00E556BA" w:rsidRPr="001E3EE6">
        <w:rPr>
          <w:rFonts w:ascii="Times New Roman" w:hAnsi="Times New Roman"/>
          <w:sz w:val="24"/>
          <w:szCs w:val="24"/>
          <w:lang w:val="en-US"/>
        </w:rPr>
        <w:t xml:space="preserve">Alexandria, Cilicia, Crete, </w:t>
      </w:r>
      <w:r w:rsidR="00E556BA" w:rsidRPr="00485225">
        <w:rPr>
          <w:rFonts w:ascii="Times New Roman" w:hAnsi="Times New Roman"/>
          <w:i/>
          <w:sz w:val="24"/>
          <w:szCs w:val="24"/>
          <w:lang w:val="en-US"/>
        </w:rPr>
        <w:t>Puteoli</w:t>
      </w:r>
      <w:r w:rsidR="00E556BA" w:rsidRPr="001E3EE6">
        <w:rPr>
          <w:rFonts w:ascii="Times New Roman" w:hAnsi="Times New Roman"/>
          <w:sz w:val="24"/>
          <w:szCs w:val="24"/>
          <w:lang w:val="en-US"/>
        </w:rPr>
        <w:t>.</w:t>
      </w:r>
    </w:p>
    <w:p w:rsidR="00A60628" w:rsidRPr="001235A6" w:rsidRDefault="001235A6" w:rsidP="00F34854">
      <w:pPr>
        <w:spacing w:after="0" w:line="360" w:lineRule="auto"/>
        <w:ind w:firstLine="709"/>
        <w:jc w:val="both"/>
        <w:rPr>
          <w:rFonts w:ascii="Times New Roman" w:hAnsi="Times New Roman"/>
          <w:b/>
          <w:sz w:val="24"/>
          <w:szCs w:val="24"/>
        </w:rPr>
      </w:pPr>
      <w:r>
        <w:rPr>
          <w:rFonts w:ascii="Times New Roman" w:hAnsi="Times New Roman"/>
          <w:b/>
          <w:sz w:val="24"/>
          <w:szCs w:val="24"/>
        </w:rPr>
        <w:t>1. Introducción</w:t>
      </w:r>
    </w:p>
    <w:p w:rsidR="00933E7A" w:rsidRPr="0008486F" w:rsidRDefault="007F645E" w:rsidP="007F645E">
      <w:pPr>
        <w:spacing w:after="0" w:line="360" w:lineRule="auto"/>
        <w:ind w:firstLine="709"/>
        <w:jc w:val="both"/>
        <w:rPr>
          <w:rFonts w:ascii="Times New Roman" w:hAnsi="Times New Roman"/>
          <w:sz w:val="24"/>
          <w:szCs w:val="24"/>
        </w:rPr>
      </w:pPr>
      <w:r>
        <w:rPr>
          <w:rFonts w:ascii="Times New Roman" w:hAnsi="Times New Roman"/>
          <w:sz w:val="24"/>
          <w:szCs w:val="24"/>
        </w:rPr>
        <w:t>En el marco del</w:t>
      </w:r>
      <w:r w:rsidR="00933E7A" w:rsidRPr="0008486F">
        <w:rPr>
          <w:rFonts w:ascii="Times New Roman" w:hAnsi="Times New Roman"/>
          <w:sz w:val="24"/>
          <w:szCs w:val="24"/>
        </w:rPr>
        <w:t xml:space="preserve"> Proyecto EPNet</w:t>
      </w:r>
      <w:r w:rsidR="00933E7A" w:rsidRPr="0008486F">
        <w:rPr>
          <w:rStyle w:val="FootnoteReference"/>
          <w:rFonts w:ascii="Times New Roman" w:hAnsi="Times New Roman"/>
          <w:sz w:val="24"/>
          <w:szCs w:val="24"/>
        </w:rPr>
        <w:footnoteReference w:id="1"/>
      </w:r>
      <w:r w:rsidR="00EF682D">
        <w:rPr>
          <w:rFonts w:ascii="Times New Roman" w:hAnsi="Times New Roman"/>
          <w:sz w:val="24"/>
          <w:szCs w:val="24"/>
        </w:rPr>
        <w:t>,</w:t>
      </w:r>
      <w:r w:rsidR="00933E7A" w:rsidRPr="0008486F">
        <w:rPr>
          <w:rFonts w:ascii="Times New Roman" w:hAnsi="Times New Roman"/>
          <w:sz w:val="24"/>
          <w:szCs w:val="24"/>
        </w:rPr>
        <w:t xml:space="preserve"> </w:t>
      </w:r>
      <w:r w:rsidR="002D4AC2">
        <w:rPr>
          <w:rFonts w:ascii="Times New Roman" w:hAnsi="Times New Roman"/>
          <w:sz w:val="24"/>
          <w:szCs w:val="24"/>
        </w:rPr>
        <w:t>se está realizando</w:t>
      </w:r>
      <w:r>
        <w:rPr>
          <w:rFonts w:ascii="Times New Roman" w:hAnsi="Times New Roman"/>
          <w:sz w:val="24"/>
          <w:szCs w:val="24"/>
        </w:rPr>
        <w:t xml:space="preserve"> el estudio </w:t>
      </w:r>
      <w:r w:rsidR="00933E7A" w:rsidRPr="0008486F">
        <w:rPr>
          <w:rFonts w:ascii="Times New Roman" w:hAnsi="Times New Roman"/>
          <w:sz w:val="24"/>
          <w:szCs w:val="24"/>
        </w:rPr>
        <w:t xml:space="preserve">del tipo </w:t>
      </w:r>
      <w:r w:rsidR="00607F00" w:rsidRPr="00607F00">
        <w:rPr>
          <w:rFonts w:ascii="Times New Roman" w:hAnsi="Times New Roman"/>
          <w:sz w:val="24"/>
          <w:szCs w:val="24"/>
        </w:rPr>
        <w:t xml:space="preserve">Schoene-Mau </w:t>
      </w:r>
      <w:r w:rsidR="00933E7A" w:rsidRPr="0008486F">
        <w:rPr>
          <w:rFonts w:ascii="Times New Roman" w:hAnsi="Times New Roman"/>
          <w:sz w:val="24"/>
          <w:szCs w:val="24"/>
        </w:rPr>
        <w:t xml:space="preserve">VIII de las tablas </w:t>
      </w:r>
      <w:r w:rsidR="00933E7A" w:rsidRPr="0008486F">
        <w:rPr>
          <w:rFonts w:ascii="Times New Roman" w:hAnsi="Times New Roman"/>
          <w:i/>
          <w:sz w:val="24"/>
          <w:szCs w:val="24"/>
        </w:rPr>
        <w:t>Vasorum formae</w:t>
      </w:r>
      <w:r w:rsidR="00933E7A" w:rsidRPr="0008486F">
        <w:rPr>
          <w:rFonts w:ascii="Times New Roman" w:hAnsi="Times New Roman"/>
          <w:sz w:val="24"/>
          <w:szCs w:val="24"/>
        </w:rPr>
        <w:t xml:space="preserve"> del</w:t>
      </w:r>
      <w:r w:rsidR="002D4AC2">
        <w:rPr>
          <w:rFonts w:ascii="Times New Roman" w:hAnsi="Times New Roman"/>
          <w:sz w:val="24"/>
          <w:szCs w:val="24"/>
        </w:rPr>
        <w:t xml:space="preserve"> </w:t>
      </w:r>
      <w:r w:rsidR="002D4AC2" w:rsidRPr="002D4AC2">
        <w:rPr>
          <w:rFonts w:ascii="Times New Roman" w:hAnsi="Times New Roman"/>
          <w:i/>
          <w:sz w:val="24"/>
          <w:szCs w:val="24"/>
        </w:rPr>
        <w:t>Corpus Inscriptionum Latinarum</w:t>
      </w:r>
      <w:r w:rsidR="002D4AC2">
        <w:rPr>
          <w:rFonts w:ascii="Times New Roman" w:hAnsi="Times New Roman"/>
          <w:sz w:val="24"/>
          <w:szCs w:val="24"/>
        </w:rPr>
        <w:t xml:space="preserve"> en su</w:t>
      </w:r>
      <w:r w:rsidR="009C2465">
        <w:rPr>
          <w:rFonts w:ascii="Times New Roman" w:hAnsi="Times New Roman"/>
          <w:sz w:val="24"/>
          <w:szCs w:val="24"/>
        </w:rPr>
        <w:t xml:space="preserve"> v</w:t>
      </w:r>
      <w:r w:rsidR="002D4AC2">
        <w:rPr>
          <w:rFonts w:ascii="Times New Roman" w:hAnsi="Times New Roman"/>
          <w:sz w:val="24"/>
          <w:szCs w:val="24"/>
        </w:rPr>
        <w:t xml:space="preserve">olumen IV </w:t>
      </w:r>
      <w:r>
        <w:rPr>
          <w:rFonts w:ascii="Times New Roman" w:hAnsi="Times New Roman"/>
          <w:sz w:val="24"/>
          <w:szCs w:val="24"/>
        </w:rPr>
        <w:t xml:space="preserve">-en adelante abreviado como </w:t>
      </w:r>
      <w:r w:rsidRPr="007F645E">
        <w:rPr>
          <w:rFonts w:ascii="Times New Roman" w:hAnsi="Times New Roman"/>
          <w:i/>
          <w:sz w:val="24"/>
          <w:szCs w:val="24"/>
        </w:rPr>
        <w:t>CIL</w:t>
      </w:r>
      <w:r>
        <w:rPr>
          <w:rFonts w:ascii="Times New Roman" w:hAnsi="Times New Roman"/>
          <w:sz w:val="24"/>
          <w:szCs w:val="24"/>
        </w:rPr>
        <w:t>-</w:t>
      </w:r>
      <w:r w:rsidR="00116A56">
        <w:rPr>
          <w:rFonts w:ascii="Times New Roman" w:hAnsi="Times New Roman"/>
          <w:sz w:val="24"/>
          <w:szCs w:val="24"/>
        </w:rPr>
        <w:t>,</w:t>
      </w:r>
      <w:r>
        <w:rPr>
          <w:rFonts w:ascii="Times New Roman" w:hAnsi="Times New Roman"/>
          <w:sz w:val="24"/>
          <w:szCs w:val="24"/>
        </w:rPr>
        <w:t xml:space="preserve"> </w:t>
      </w:r>
      <w:r w:rsidR="00933E7A" w:rsidRPr="0008486F">
        <w:rPr>
          <w:rFonts w:ascii="Times New Roman" w:hAnsi="Times New Roman"/>
          <w:sz w:val="24"/>
          <w:szCs w:val="24"/>
        </w:rPr>
        <w:t>id</w:t>
      </w:r>
      <w:r>
        <w:rPr>
          <w:rFonts w:ascii="Times New Roman" w:hAnsi="Times New Roman"/>
          <w:sz w:val="24"/>
          <w:szCs w:val="24"/>
        </w:rPr>
        <w:t>entificado aquí como Pompeii 8 -</w:t>
      </w:r>
      <w:r w:rsidR="00933E7A" w:rsidRPr="0008486F">
        <w:rPr>
          <w:rFonts w:ascii="Times New Roman" w:hAnsi="Times New Roman"/>
          <w:sz w:val="24"/>
          <w:szCs w:val="24"/>
        </w:rPr>
        <w:t>PO08</w:t>
      </w:r>
      <w:r>
        <w:rPr>
          <w:rFonts w:ascii="Times New Roman" w:hAnsi="Times New Roman"/>
          <w:sz w:val="24"/>
          <w:szCs w:val="24"/>
        </w:rPr>
        <w:t>-</w:t>
      </w:r>
      <w:r w:rsidR="00933E7A" w:rsidRPr="0008486F">
        <w:rPr>
          <w:rFonts w:ascii="Times New Roman" w:hAnsi="Times New Roman"/>
          <w:sz w:val="24"/>
          <w:szCs w:val="24"/>
        </w:rPr>
        <w:t xml:space="preserve">. </w:t>
      </w:r>
      <w:r w:rsidR="00116A56">
        <w:rPr>
          <w:rFonts w:ascii="Times New Roman" w:hAnsi="Times New Roman"/>
          <w:sz w:val="24"/>
          <w:szCs w:val="24"/>
        </w:rPr>
        <w:t xml:space="preserve">Se trata del </w:t>
      </w:r>
      <w:r w:rsidR="00933E7A" w:rsidRPr="0008486F">
        <w:rPr>
          <w:rFonts w:ascii="Times New Roman" w:hAnsi="Times New Roman"/>
          <w:sz w:val="24"/>
          <w:szCs w:val="24"/>
        </w:rPr>
        <w:t>ánfora</w:t>
      </w:r>
      <w:r>
        <w:rPr>
          <w:rFonts w:ascii="Times New Roman" w:hAnsi="Times New Roman"/>
          <w:sz w:val="24"/>
          <w:szCs w:val="24"/>
        </w:rPr>
        <w:t xml:space="preserve"> vinaria Crétoise 2 -AC2-</w:t>
      </w:r>
      <w:r w:rsidR="00933E7A" w:rsidRPr="0008486F">
        <w:rPr>
          <w:rStyle w:val="FootnoteReference"/>
          <w:rFonts w:ascii="Times New Roman" w:hAnsi="Times New Roman"/>
          <w:sz w:val="24"/>
          <w:szCs w:val="24"/>
        </w:rPr>
        <w:footnoteReference w:id="2"/>
      </w:r>
      <w:r w:rsidR="00116A56">
        <w:rPr>
          <w:rFonts w:ascii="Times New Roman" w:hAnsi="Times New Roman"/>
          <w:sz w:val="24"/>
          <w:szCs w:val="24"/>
        </w:rPr>
        <w:t>,</w:t>
      </w:r>
      <w:r w:rsidR="00116A56" w:rsidRPr="00116A56">
        <w:rPr>
          <w:rFonts w:ascii="Times New Roman" w:hAnsi="Times New Roman"/>
          <w:sz w:val="24"/>
          <w:szCs w:val="24"/>
        </w:rPr>
        <w:t xml:space="preserve"> </w:t>
      </w:r>
      <w:r w:rsidR="00116A56">
        <w:rPr>
          <w:rFonts w:ascii="Times New Roman" w:hAnsi="Times New Roman"/>
          <w:sz w:val="24"/>
          <w:szCs w:val="24"/>
        </w:rPr>
        <w:t>e</w:t>
      </w:r>
      <w:r w:rsidR="00116A56" w:rsidRPr="0008486F">
        <w:rPr>
          <w:rFonts w:ascii="Times New Roman" w:hAnsi="Times New Roman"/>
          <w:sz w:val="24"/>
          <w:szCs w:val="24"/>
        </w:rPr>
        <w:t>n su d</w:t>
      </w:r>
      <w:r w:rsidR="00116A56">
        <w:rPr>
          <w:rFonts w:ascii="Times New Roman" w:hAnsi="Times New Roman"/>
          <w:sz w:val="24"/>
          <w:szCs w:val="24"/>
        </w:rPr>
        <w:t>efinición más completa y actual</w:t>
      </w:r>
      <w:r w:rsidR="00933E7A" w:rsidRPr="0008486F">
        <w:rPr>
          <w:rFonts w:ascii="Times New Roman" w:hAnsi="Times New Roman"/>
          <w:sz w:val="24"/>
          <w:szCs w:val="24"/>
        </w:rPr>
        <w:t xml:space="preserve">. Esta forma se ha seleccionado </w:t>
      </w:r>
      <w:r w:rsidR="00607F00">
        <w:rPr>
          <w:rFonts w:ascii="Times New Roman" w:hAnsi="Times New Roman"/>
          <w:sz w:val="24"/>
          <w:szCs w:val="24"/>
        </w:rPr>
        <w:t>por el</w:t>
      </w:r>
      <w:r w:rsidR="00933E7A" w:rsidRPr="0008486F">
        <w:rPr>
          <w:rFonts w:ascii="Times New Roman" w:hAnsi="Times New Roman"/>
          <w:sz w:val="24"/>
          <w:szCs w:val="24"/>
        </w:rPr>
        <w:t xml:space="preserve"> notable número de sus hallazgos en </w:t>
      </w:r>
      <w:r w:rsidR="00933E7A" w:rsidRPr="0008486F">
        <w:rPr>
          <w:rFonts w:ascii="Times New Roman" w:hAnsi="Times New Roman"/>
          <w:i/>
          <w:sz w:val="24"/>
          <w:szCs w:val="24"/>
        </w:rPr>
        <w:t>Pompeii</w:t>
      </w:r>
      <w:r w:rsidR="00933E7A" w:rsidRPr="0008486F">
        <w:rPr>
          <w:rFonts w:ascii="Times New Roman" w:hAnsi="Times New Roman"/>
          <w:sz w:val="24"/>
          <w:szCs w:val="24"/>
        </w:rPr>
        <w:t>, de donde procede la mayor parte de las recopiladas en el corpus</w:t>
      </w:r>
      <w:r>
        <w:rPr>
          <w:rFonts w:ascii="Times New Roman" w:hAnsi="Times New Roman"/>
          <w:sz w:val="24"/>
          <w:szCs w:val="24"/>
        </w:rPr>
        <w:t xml:space="preserve"> estudiado</w:t>
      </w:r>
      <w:r w:rsidR="00933E7A" w:rsidRPr="0008486F">
        <w:rPr>
          <w:rFonts w:ascii="Times New Roman" w:hAnsi="Times New Roman"/>
          <w:sz w:val="24"/>
          <w:szCs w:val="24"/>
        </w:rPr>
        <w:t xml:space="preserve">. </w:t>
      </w:r>
      <w:r>
        <w:rPr>
          <w:rFonts w:ascii="Times New Roman" w:hAnsi="Times New Roman"/>
          <w:sz w:val="24"/>
          <w:szCs w:val="24"/>
        </w:rPr>
        <w:t>E</w:t>
      </w:r>
      <w:r w:rsidR="00933E7A" w:rsidRPr="0008486F">
        <w:rPr>
          <w:rFonts w:ascii="Times New Roman" w:hAnsi="Times New Roman"/>
          <w:sz w:val="24"/>
          <w:szCs w:val="24"/>
        </w:rPr>
        <w:t xml:space="preserve">l total de ánforas alcanza los 535 ejemplares. Sus </w:t>
      </w:r>
      <w:r w:rsidR="00933E7A" w:rsidRPr="0008486F">
        <w:rPr>
          <w:rFonts w:ascii="Times New Roman" w:hAnsi="Times New Roman"/>
          <w:i/>
          <w:sz w:val="24"/>
          <w:szCs w:val="24"/>
        </w:rPr>
        <w:t>tituli picti</w:t>
      </w:r>
      <w:r w:rsidR="00933E7A" w:rsidRPr="0008486F">
        <w:rPr>
          <w:rFonts w:ascii="Times New Roman" w:hAnsi="Times New Roman"/>
          <w:sz w:val="24"/>
          <w:szCs w:val="24"/>
        </w:rPr>
        <w:t xml:space="preserve"> se ha</w:t>
      </w:r>
      <w:r w:rsidR="002D4AC2">
        <w:rPr>
          <w:rFonts w:ascii="Times New Roman" w:hAnsi="Times New Roman"/>
          <w:sz w:val="24"/>
          <w:szCs w:val="24"/>
        </w:rPr>
        <w:t>n</w:t>
      </w:r>
      <w:r w:rsidR="00933E7A" w:rsidRPr="0008486F">
        <w:rPr>
          <w:rFonts w:ascii="Times New Roman" w:hAnsi="Times New Roman"/>
          <w:sz w:val="24"/>
          <w:szCs w:val="24"/>
        </w:rPr>
        <w:t xml:space="preserve"> dividido y clasificado</w:t>
      </w:r>
      <w:r w:rsidR="0028495B" w:rsidRPr="0008486F">
        <w:rPr>
          <w:rFonts w:ascii="Times New Roman" w:hAnsi="Times New Roman"/>
          <w:sz w:val="24"/>
          <w:szCs w:val="24"/>
        </w:rPr>
        <w:t>, dando lugar a un total de 1013</w:t>
      </w:r>
      <w:r w:rsidR="00933E7A" w:rsidRPr="0008486F">
        <w:rPr>
          <w:rFonts w:ascii="Times New Roman" w:hAnsi="Times New Roman"/>
          <w:sz w:val="24"/>
          <w:szCs w:val="24"/>
        </w:rPr>
        <w:t xml:space="preserve"> registros.</w:t>
      </w:r>
    </w:p>
    <w:p w:rsidR="00A60628" w:rsidRPr="00F34854" w:rsidRDefault="00A213EB" w:rsidP="00F34854">
      <w:pPr>
        <w:spacing w:after="0" w:line="360" w:lineRule="auto"/>
        <w:ind w:firstLine="709"/>
        <w:jc w:val="both"/>
        <w:rPr>
          <w:rFonts w:ascii="Times New Roman" w:hAnsi="Times New Roman"/>
          <w:sz w:val="24"/>
          <w:szCs w:val="24"/>
        </w:rPr>
      </w:pPr>
      <w:r>
        <w:rPr>
          <w:rFonts w:ascii="Times New Roman" w:hAnsi="Times New Roman"/>
          <w:sz w:val="24"/>
          <w:szCs w:val="24"/>
        </w:rPr>
        <w:t>Para</w:t>
      </w:r>
      <w:r w:rsidR="00607F00">
        <w:rPr>
          <w:rFonts w:ascii="Times New Roman" w:hAnsi="Times New Roman"/>
          <w:sz w:val="24"/>
          <w:szCs w:val="24"/>
        </w:rPr>
        <w:t xml:space="preserve"> el análisis de tal información</w:t>
      </w:r>
      <w:r>
        <w:rPr>
          <w:rFonts w:ascii="Times New Roman" w:hAnsi="Times New Roman"/>
          <w:sz w:val="24"/>
          <w:szCs w:val="24"/>
        </w:rPr>
        <w:t xml:space="preserve"> se empleará la metodología</w:t>
      </w:r>
      <w:r w:rsidR="00933E7A" w:rsidRPr="0008486F">
        <w:rPr>
          <w:rFonts w:ascii="Times New Roman" w:hAnsi="Times New Roman"/>
          <w:sz w:val="24"/>
          <w:szCs w:val="24"/>
        </w:rPr>
        <w:t xml:space="preserve"> Codex</w:t>
      </w:r>
      <w:r>
        <w:rPr>
          <w:rFonts w:ascii="Times New Roman" w:hAnsi="Times New Roman"/>
          <w:sz w:val="24"/>
          <w:szCs w:val="24"/>
        </w:rPr>
        <w:t>. Este conjunto de técnicas</w:t>
      </w:r>
      <w:r w:rsidR="00933E7A" w:rsidRPr="0008486F">
        <w:rPr>
          <w:rFonts w:ascii="Times New Roman" w:hAnsi="Times New Roman"/>
          <w:sz w:val="24"/>
          <w:szCs w:val="24"/>
        </w:rPr>
        <w:t xml:space="preserve"> se inspira en la idea desarrollada por Remesal y Aguilera para el estudio de los </w:t>
      </w:r>
      <w:r w:rsidR="00933E7A" w:rsidRPr="0008486F">
        <w:rPr>
          <w:rFonts w:ascii="Times New Roman" w:hAnsi="Times New Roman"/>
          <w:i/>
          <w:sz w:val="24"/>
          <w:szCs w:val="24"/>
        </w:rPr>
        <w:t>tituli</w:t>
      </w:r>
      <w:r w:rsidR="00933E7A" w:rsidRPr="0008486F">
        <w:rPr>
          <w:rFonts w:ascii="Times New Roman" w:hAnsi="Times New Roman"/>
          <w:sz w:val="24"/>
          <w:szCs w:val="24"/>
        </w:rPr>
        <w:t xml:space="preserve"> delta en las ánforas Dressel 20</w:t>
      </w:r>
      <w:r w:rsidR="00933E7A" w:rsidRPr="0008486F">
        <w:rPr>
          <w:rStyle w:val="FootnoteReference"/>
          <w:rFonts w:ascii="Times New Roman" w:hAnsi="Times New Roman"/>
          <w:sz w:val="24"/>
          <w:szCs w:val="24"/>
        </w:rPr>
        <w:footnoteReference w:id="3"/>
      </w:r>
      <w:r w:rsidR="00933E7A" w:rsidRPr="0008486F">
        <w:rPr>
          <w:rFonts w:ascii="Times New Roman" w:hAnsi="Times New Roman"/>
          <w:sz w:val="24"/>
          <w:szCs w:val="24"/>
        </w:rPr>
        <w:t>. En el caso de las PO08-AC2 se analiza una titulatura mucho más caótica. No se trataría con formularios regulares de carácter administrativo, sino con anotaciones de comerciantes y consum</w:t>
      </w:r>
      <w:r w:rsidR="0028495B" w:rsidRPr="0008486F">
        <w:rPr>
          <w:rFonts w:ascii="Times New Roman" w:hAnsi="Times New Roman"/>
          <w:sz w:val="24"/>
          <w:szCs w:val="24"/>
        </w:rPr>
        <w:t>idores. Bajo este condicionante</w:t>
      </w:r>
      <w:r>
        <w:rPr>
          <w:rFonts w:ascii="Times New Roman" w:hAnsi="Times New Roman"/>
          <w:sz w:val="24"/>
          <w:szCs w:val="24"/>
        </w:rPr>
        <w:t xml:space="preserve"> y a partir de la crítica epigráfica</w:t>
      </w:r>
      <w:r w:rsidR="0028495B" w:rsidRPr="0008486F">
        <w:rPr>
          <w:rFonts w:ascii="Times New Roman" w:hAnsi="Times New Roman"/>
          <w:sz w:val="24"/>
          <w:szCs w:val="24"/>
        </w:rPr>
        <w:t>,</w:t>
      </w:r>
      <w:r w:rsidR="00933E7A" w:rsidRPr="0008486F">
        <w:rPr>
          <w:rFonts w:ascii="Times New Roman" w:hAnsi="Times New Roman"/>
          <w:sz w:val="24"/>
          <w:szCs w:val="24"/>
        </w:rPr>
        <w:t xml:space="preserve"> se </w:t>
      </w:r>
      <w:r w:rsidR="00EF6BAD">
        <w:rPr>
          <w:rFonts w:ascii="Times New Roman" w:hAnsi="Times New Roman"/>
          <w:sz w:val="24"/>
          <w:szCs w:val="24"/>
        </w:rPr>
        <w:t>definen</w:t>
      </w:r>
      <w:r w:rsidR="00EF6BAD" w:rsidRPr="0008486F">
        <w:rPr>
          <w:rFonts w:ascii="Times New Roman" w:hAnsi="Times New Roman"/>
          <w:sz w:val="24"/>
          <w:szCs w:val="24"/>
        </w:rPr>
        <w:t xml:space="preserve"> </w:t>
      </w:r>
      <w:r w:rsidR="00EF6BAD">
        <w:rPr>
          <w:rFonts w:ascii="Times New Roman" w:hAnsi="Times New Roman"/>
          <w:sz w:val="24"/>
          <w:szCs w:val="24"/>
        </w:rPr>
        <w:t>las</w:t>
      </w:r>
      <w:r w:rsidR="00EF6BAD" w:rsidRPr="0008486F">
        <w:rPr>
          <w:rFonts w:ascii="Times New Roman" w:hAnsi="Times New Roman"/>
          <w:sz w:val="24"/>
          <w:szCs w:val="24"/>
        </w:rPr>
        <w:t xml:space="preserve"> </w:t>
      </w:r>
      <w:r w:rsidR="00EF6BAD">
        <w:rPr>
          <w:rFonts w:ascii="Times New Roman" w:hAnsi="Times New Roman"/>
          <w:sz w:val="24"/>
          <w:szCs w:val="24"/>
        </w:rPr>
        <w:t xml:space="preserve">características </w:t>
      </w:r>
      <w:r w:rsidR="00EF6BAD" w:rsidRPr="0008486F">
        <w:rPr>
          <w:rFonts w:ascii="Times New Roman" w:hAnsi="Times New Roman"/>
          <w:sz w:val="24"/>
          <w:szCs w:val="24"/>
        </w:rPr>
        <w:t>formales y semántic</w:t>
      </w:r>
      <w:r w:rsidR="00EF6BAD">
        <w:rPr>
          <w:rFonts w:ascii="Times New Roman" w:hAnsi="Times New Roman"/>
          <w:sz w:val="24"/>
          <w:szCs w:val="24"/>
        </w:rPr>
        <w:t>a</w:t>
      </w:r>
      <w:r w:rsidR="00FF22D1">
        <w:rPr>
          <w:rFonts w:ascii="Times New Roman" w:hAnsi="Times New Roman"/>
          <w:sz w:val="24"/>
          <w:szCs w:val="24"/>
        </w:rPr>
        <w:t>s de sus</w:t>
      </w:r>
      <w:r w:rsidR="00EF6BAD" w:rsidRPr="0008486F">
        <w:rPr>
          <w:rFonts w:ascii="Times New Roman" w:hAnsi="Times New Roman"/>
          <w:sz w:val="24"/>
          <w:szCs w:val="24"/>
        </w:rPr>
        <w:t xml:space="preserve"> </w:t>
      </w:r>
      <w:r w:rsidR="00EF6BAD" w:rsidRPr="0008486F">
        <w:rPr>
          <w:rFonts w:ascii="Times New Roman" w:hAnsi="Times New Roman"/>
          <w:i/>
          <w:sz w:val="24"/>
          <w:szCs w:val="24"/>
        </w:rPr>
        <w:t>tituli</w:t>
      </w:r>
      <w:r w:rsidR="00FF22D1">
        <w:rPr>
          <w:rFonts w:ascii="Times New Roman" w:hAnsi="Times New Roman"/>
          <w:i/>
          <w:sz w:val="24"/>
          <w:szCs w:val="24"/>
        </w:rPr>
        <w:t xml:space="preserve"> gilvi</w:t>
      </w:r>
      <w:r w:rsidR="00130E80">
        <w:rPr>
          <w:rFonts w:ascii="Times New Roman" w:hAnsi="Times New Roman"/>
          <w:sz w:val="24"/>
          <w:szCs w:val="24"/>
        </w:rPr>
        <w:t xml:space="preserve"> y </w:t>
      </w:r>
      <w:r w:rsidR="002D4AC2">
        <w:rPr>
          <w:rFonts w:ascii="Times New Roman" w:hAnsi="Times New Roman"/>
          <w:sz w:val="24"/>
          <w:szCs w:val="24"/>
        </w:rPr>
        <w:t>los demás elementos asociados</w:t>
      </w:r>
      <w:r w:rsidR="00EF6BAD">
        <w:rPr>
          <w:rFonts w:ascii="Times New Roman" w:hAnsi="Times New Roman"/>
          <w:sz w:val="24"/>
          <w:szCs w:val="24"/>
        </w:rPr>
        <w:t>. Con ello se procurará</w:t>
      </w:r>
      <w:r w:rsidR="00EF6BAD" w:rsidRPr="0008486F">
        <w:rPr>
          <w:rFonts w:ascii="Times New Roman" w:hAnsi="Times New Roman"/>
          <w:sz w:val="24"/>
          <w:szCs w:val="24"/>
        </w:rPr>
        <w:t xml:space="preserve"> </w:t>
      </w:r>
      <w:r w:rsidR="00933E7A" w:rsidRPr="0008486F">
        <w:rPr>
          <w:rFonts w:ascii="Times New Roman" w:hAnsi="Times New Roman"/>
          <w:sz w:val="24"/>
          <w:szCs w:val="24"/>
        </w:rPr>
        <w:t xml:space="preserve">la detección de tipos estructurales y secuencias cronológicas en </w:t>
      </w:r>
      <w:r w:rsidR="00EF6BAD">
        <w:rPr>
          <w:rFonts w:ascii="Times New Roman" w:hAnsi="Times New Roman"/>
          <w:sz w:val="24"/>
          <w:szCs w:val="24"/>
        </w:rPr>
        <w:t>la composición de las titulaturas</w:t>
      </w:r>
      <w:r w:rsidR="00933E7A" w:rsidRPr="0008486F">
        <w:rPr>
          <w:rFonts w:ascii="Times New Roman" w:hAnsi="Times New Roman"/>
          <w:sz w:val="24"/>
          <w:szCs w:val="24"/>
        </w:rPr>
        <w:t xml:space="preserve">. </w:t>
      </w:r>
    </w:p>
    <w:p w:rsidR="00A60628" w:rsidRPr="00A60628" w:rsidRDefault="00A60628" w:rsidP="00F34854">
      <w:pPr>
        <w:spacing w:after="0" w:line="360" w:lineRule="auto"/>
        <w:ind w:firstLine="709"/>
        <w:jc w:val="both"/>
        <w:rPr>
          <w:rFonts w:ascii="Times New Roman" w:hAnsi="Times New Roman"/>
          <w:b/>
          <w:sz w:val="24"/>
          <w:szCs w:val="24"/>
        </w:rPr>
      </w:pPr>
      <w:r>
        <w:rPr>
          <w:rFonts w:ascii="Times New Roman" w:hAnsi="Times New Roman"/>
          <w:b/>
          <w:sz w:val="24"/>
          <w:szCs w:val="24"/>
        </w:rPr>
        <w:t>2. Metodología Codex</w:t>
      </w:r>
    </w:p>
    <w:p w:rsidR="00933E7A" w:rsidRDefault="00933E7A" w:rsidP="00F34854">
      <w:pPr>
        <w:spacing w:after="0" w:line="360" w:lineRule="auto"/>
        <w:ind w:firstLine="709"/>
        <w:jc w:val="both"/>
        <w:rPr>
          <w:rFonts w:ascii="Times New Roman" w:hAnsi="Times New Roman"/>
          <w:sz w:val="24"/>
          <w:szCs w:val="24"/>
        </w:rPr>
      </w:pPr>
      <w:r w:rsidRPr="0008486F">
        <w:rPr>
          <w:rFonts w:ascii="Times New Roman" w:hAnsi="Times New Roman"/>
          <w:sz w:val="24"/>
          <w:szCs w:val="24"/>
        </w:rPr>
        <w:t xml:space="preserve">Dentro de los </w:t>
      </w:r>
      <w:r w:rsidRPr="0008486F">
        <w:rPr>
          <w:rFonts w:ascii="Times New Roman" w:hAnsi="Times New Roman"/>
          <w:i/>
          <w:sz w:val="24"/>
          <w:szCs w:val="24"/>
        </w:rPr>
        <w:t>tituli</w:t>
      </w:r>
      <w:r w:rsidRPr="0008486F">
        <w:rPr>
          <w:rFonts w:ascii="Times New Roman" w:hAnsi="Times New Roman"/>
          <w:sz w:val="24"/>
          <w:szCs w:val="24"/>
        </w:rPr>
        <w:t xml:space="preserve"> pueden distinguirse registros, fragmentos de la inscripción que contienen una información particular. En este caso se han considerado unidades</w:t>
      </w:r>
      <w:r w:rsidR="0028495B" w:rsidRPr="0008486F">
        <w:rPr>
          <w:rFonts w:ascii="Times New Roman" w:hAnsi="Times New Roman"/>
          <w:sz w:val="24"/>
          <w:szCs w:val="24"/>
        </w:rPr>
        <w:t xml:space="preserve"> semánticas básicas, que </w:t>
      </w:r>
      <w:r w:rsidRPr="0008486F">
        <w:rPr>
          <w:rFonts w:ascii="Times New Roman" w:hAnsi="Times New Roman"/>
          <w:sz w:val="24"/>
          <w:szCs w:val="24"/>
        </w:rPr>
        <w:t xml:space="preserve">responden a los imperativos de una documentación de partida aparentemente caótica. </w:t>
      </w:r>
      <w:r w:rsidR="00607F00">
        <w:rPr>
          <w:rFonts w:ascii="Times New Roman" w:hAnsi="Times New Roman"/>
          <w:sz w:val="24"/>
          <w:szCs w:val="24"/>
        </w:rPr>
        <w:t>Primero se clasifican</w:t>
      </w:r>
      <w:r w:rsidRPr="0008486F">
        <w:rPr>
          <w:rFonts w:ascii="Times New Roman" w:hAnsi="Times New Roman"/>
          <w:sz w:val="24"/>
          <w:szCs w:val="24"/>
        </w:rPr>
        <w:t xml:space="preserve"> a partir de una lectura simplificada, dejando la interpretación del significado para una fase posterior. Una vez que se identifiquen las estructuras-tipo, se harán propuestas de lectura e interpretación de los registros. Por ejemplo, el registro </w:t>
      </w:r>
      <w:r w:rsidR="00D101E7">
        <w:rPr>
          <w:rFonts w:ascii="Times New Roman" w:hAnsi="Times New Roman"/>
          <w:sz w:val="24"/>
          <w:szCs w:val="24"/>
        </w:rPr>
        <w:t>ΜΕ</w:t>
      </w:r>
      <w:r w:rsidR="00D101E7">
        <w:rPr>
          <w:rStyle w:val="FootnoteReference"/>
          <w:rFonts w:ascii="Times New Roman" w:hAnsi="Times New Roman"/>
          <w:sz w:val="24"/>
          <w:szCs w:val="24"/>
        </w:rPr>
        <w:footnoteReference w:id="4"/>
      </w:r>
      <w:r w:rsidRPr="0008486F">
        <w:rPr>
          <w:rFonts w:ascii="Times New Roman" w:hAnsi="Times New Roman"/>
          <w:sz w:val="24"/>
          <w:szCs w:val="24"/>
        </w:rPr>
        <w:t xml:space="preserve"> se puede leer como la </w:t>
      </w:r>
      <w:r w:rsidR="00D101E7">
        <w:rPr>
          <w:rFonts w:ascii="Times New Roman" w:hAnsi="Times New Roman"/>
          <w:sz w:val="24"/>
          <w:szCs w:val="24"/>
        </w:rPr>
        <w:t>abreviatura de un nombre Με(---)</w:t>
      </w:r>
      <w:r w:rsidRPr="0008486F">
        <w:rPr>
          <w:rFonts w:ascii="Times New Roman" w:hAnsi="Times New Roman"/>
          <w:sz w:val="24"/>
          <w:szCs w:val="24"/>
        </w:rPr>
        <w:t xml:space="preserve"> o como la cifra griega </w:t>
      </w:r>
      <w:r w:rsidR="00D101E7">
        <w:rPr>
          <w:rFonts w:ascii="Times New Roman" w:hAnsi="Times New Roman"/>
          <w:sz w:val="24"/>
          <w:szCs w:val="24"/>
        </w:rPr>
        <w:t>45</w:t>
      </w:r>
      <w:r w:rsidRPr="0008486F">
        <w:rPr>
          <w:rFonts w:ascii="Times New Roman" w:hAnsi="Times New Roman"/>
          <w:sz w:val="24"/>
          <w:szCs w:val="24"/>
        </w:rPr>
        <w:t xml:space="preserve">. Comparando su posición con la de otros registros similares incluidos </w:t>
      </w:r>
      <w:r w:rsidRPr="0008486F">
        <w:rPr>
          <w:rFonts w:ascii="Times New Roman" w:hAnsi="Times New Roman"/>
          <w:sz w:val="24"/>
          <w:szCs w:val="24"/>
        </w:rPr>
        <w:lastRenderedPageBreak/>
        <w:t xml:space="preserve">en estructuras equiparables, se podría determinar una lectura como </w:t>
      </w:r>
      <w:r w:rsidR="00D101E7">
        <w:rPr>
          <w:rFonts w:ascii="Times New Roman" w:hAnsi="Times New Roman"/>
          <w:sz w:val="24"/>
          <w:szCs w:val="24"/>
        </w:rPr>
        <w:t>abreviatura</w:t>
      </w:r>
      <w:r w:rsidRPr="0008486F">
        <w:rPr>
          <w:rFonts w:ascii="Times New Roman" w:hAnsi="Times New Roman"/>
          <w:sz w:val="24"/>
          <w:szCs w:val="24"/>
        </w:rPr>
        <w:t xml:space="preserve"> o cifra. Esta determinación se haría posible al encontrar registros paralelos que no ofrecieran dudas en su lectura. En el caso de que se tratara de una cifra, la confrontación de lecturas entre registros paralelos permitiría proponer una interpretación como </w:t>
      </w:r>
      <w:r w:rsidR="00D101E7">
        <w:rPr>
          <w:rFonts w:ascii="Times New Roman" w:hAnsi="Times New Roman"/>
          <w:sz w:val="24"/>
          <w:szCs w:val="24"/>
        </w:rPr>
        <w:t>medida del vino</w:t>
      </w:r>
      <w:r w:rsidRPr="0008486F">
        <w:rPr>
          <w:rFonts w:ascii="Times New Roman" w:hAnsi="Times New Roman"/>
          <w:sz w:val="24"/>
          <w:szCs w:val="24"/>
        </w:rPr>
        <w:t>, precio u otra</w:t>
      </w:r>
      <w:r w:rsidR="00D101E7">
        <w:rPr>
          <w:rFonts w:ascii="Times New Roman" w:hAnsi="Times New Roman"/>
          <w:sz w:val="24"/>
          <w:szCs w:val="24"/>
        </w:rPr>
        <w:t xml:space="preserve"> información</w:t>
      </w:r>
      <w:r w:rsidRPr="0008486F">
        <w:rPr>
          <w:rFonts w:ascii="Times New Roman" w:hAnsi="Times New Roman"/>
          <w:sz w:val="24"/>
          <w:szCs w:val="24"/>
        </w:rPr>
        <w:t>.</w:t>
      </w:r>
    </w:p>
    <w:p w:rsidR="00A60628" w:rsidRPr="0008486F" w:rsidRDefault="00933E7A" w:rsidP="00D101E7">
      <w:pPr>
        <w:spacing w:after="0" w:line="360" w:lineRule="auto"/>
        <w:ind w:firstLine="709"/>
        <w:jc w:val="both"/>
        <w:rPr>
          <w:rFonts w:ascii="Times New Roman" w:hAnsi="Times New Roman"/>
          <w:sz w:val="24"/>
          <w:szCs w:val="24"/>
        </w:rPr>
      </w:pPr>
      <w:r w:rsidRPr="0008486F">
        <w:rPr>
          <w:rFonts w:ascii="Times New Roman" w:hAnsi="Times New Roman"/>
          <w:sz w:val="24"/>
          <w:szCs w:val="24"/>
        </w:rPr>
        <w:t>Conceptum</w:t>
      </w:r>
      <w:r w:rsidRPr="0008486F">
        <w:rPr>
          <w:rStyle w:val="FootnoteReference"/>
          <w:rFonts w:ascii="Times New Roman" w:hAnsi="Times New Roman"/>
          <w:sz w:val="24"/>
          <w:szCs w:val="24"/>
        </w:rPr>
        <w:footnoteReference w:id="5"/>
      </w:r>
      <w:r w:rsidRPr="0008486F">
        <w:rPr>
          <w:rFonts w:ascii="Times New Roman" w:hAnsi="Times New Roman"/>
          <w:sz w:val="24"/>
          <w:szCs w:val="24"/>
        </w:rPr>
        <w:t xml:space="preserve"> es el </w:t>
      </w:r>
      <w:r w:rsidR="00D101E7">
        <w:rPr>
          <w:rFonts w:ascii="Times New Roman" w:hAnsi="Times New Roman"/>
          <w:sz w:val="24"/>
          <w:szCs w:val="24"/>
        </w:rPr>
        <w:t>sistema de clasificación de los registros</w:t>
      </w:r>
      <w:r w:rsidRPr="0008486F">
        <w:rPr>
          <w:rFonts w:ascii="Times New Roman" w:hAnsi="Times New Roman"/>
          <w:sz w:val="24"/>
          <w:szCs w:val="24"/>
        </w:rPr>
        <w:t xml:space="preserve"> en </w:t>
      </w:r>
      <w:r w:rsidR="005C3BEC">
        <w:rPr>
          <w:rFonts w:ascii="Times New Roman" w:hAnsi="Times New Roman"/>
          <w:sz w:val="24"/>
          <w:szCs w:val="24"/>
        </w:rPr>
        <w:t>la metodología</w:t>
      </w:r>
      <w:r w:rsidR="00E34D04">
        <w:rPr>
          <w:rFonts w:ascii="Times New Roman" w:hAnsi="Times New Roman"/>
          <w:sz w:val="24"/>
          <w:szCs w:val="24"/>
        </w:rPr>
        <w:t xml:space="preserve"> Codex (Fig.</w:t>
      </w:r>
      <w:r w:rsidRPr="0008486F">
        <w:rPr>
          <w:rFonts w:ascii="Times New Roman" w:hAnsi="Times New Roman"/>
          <w:sz w:val="24"/>
          <w:szCs w:val="24"/>
        </w:rPr>
        <w:t xml:space="preserve"> 1). </w:t>
      </w:r>
      <w:r w:rsidR="005C3BEC">
        <w:rPr>
          <w:rFonts w:ascii="Times New Roman" w:hAnsi="Times New Roman"/>
          <w:sz w:val="24"/>
          <w:szCs w:val="24"/>
        </w:rPr>
        <w:t>Divid</w:t>
      </w:r>
      <w:r w:rsidRPr="0008486F">
        <w:rPr>
          <w:rFonts w:ascii="Times New Roman" w:hAnsi="Times New Roman"/>
          <w:sz w:val="24"/>
          <w:szCs w:val="24"/>
        </w:rPr>
        <w:t xml:space="preserve">e la titulatura </w:t>
      </w:r>
      <w:r w:rsidR="005C3BEC">
        <w:rPr>
          <w:rFonts w:ascii="Times New Roman" w:hAnsi="Times New Roman"/>
          <w:sz w:val="24"/>
          <w:szCs w:val="24"/>
        </w:rPr>
        <w:t xml:space="preserve">en partes </w:t>
      </w:r>
      <w:r w:rsidRPr="0008486F">
        <w:rPr>
          <w:rFonts w:ascii="Times New Roman" w:hAnsi="Times New Roman"/>
          <w:sz w:val="24"/>
          <w:szCs w:val="24"/>
        </w:rPr>
        <w:t>que expresa</w:t>
      </w:r>
      <w:r w:rsidR="005C3BEC">
        <w:rPr>
          <w:rFonts w:ascii="Times New Roman" w:hAnsi="Times New Roman"/>
          <w:sz w:val="24"/>
          <w:szCs w:val="24"/>
        </w:rPr>
        <w:t>n</w:t>
      </w:r>
      <w:r w:rsidRPr="0008486F">
        <w:rPr>
          <w:rFonts w:ascii="Times New Roman" w:hAnsi="Times New Roman"/>
          <w:sz w:val="24"/>
          <w:szCs w:val="24"/>
        </w:rPr>
        <w:t xml:space="preserve"> un contenido semántico disociable del resto. Este contenido puede ser una palabra, una cifra o una lo</w:t>
      </w:r>
      <w:r w:rsidR="00607F00">
        <w:rPr>
          <w:rFonts w:ascii="Times New Roman" w:hAnsi="Times New Roman"/>
          <w:sz w:val="24"/>
          <w:szCs w:val="24"/>
        </w:rPr>
        <w:t xml:space="preserve">cución. La determinación de un </w:t>
      </w:r>
      <w:r w:rsidR="00607F00" w:rsidRPr="00607F00">
        <w:rPr>
          <w:rFonts w:ascii="Times New Roman" w:hAnsi="Times New Roman"/>
          <w:i/>
          <w:sz w:val="24"/>
          <w:szCs w:val="24"/>
        </w:rPr>
        <w:t>c</w:t>
      </w:r>
      <w:r w:rsidRPr="00607F00">
        <w:rPr>
          <w:rFonts w:ascii="Times New Roman" w:hAnsi="Times New Roman"/>
          <w:i/>
          <w:sz w:val="24"/>
          <w:szCs w:val="24"/>
        </w:rPr>
        <w:t>onceptum</w:t>
      </w:r>
      <w:r w:rsidRPr="0008486F">
        <w:rPr>
          <w:rFonts w:ascii="Times New Roman" w:hAnsi="Times New Roman"/>
          <w:sz w:val="24"/>
          <w:szCs w:val="24"/>
        </w:rPr>
        <w:t xml:space="preserve"> como Productus se hace en consonancia con alguna lectura del </w:t>
      </w:r>
      <w:r w:rsidRPr="0008486F">
        <w:rPr>
          <w:rFonts w:ascii="Times New Roman" w:hAnsi="Times New Roman"/>
          <w:i/>
          <w:sz w:val="24"/>
          <w:szCs w:val="24"/>
        </w:rPr>
        <w:t>CIL</w:t>
      </w:r>
      <w:r w:rsidRPr="0008486F">
        <w:rPr>
          <w:rFonts w:ascii="Times New Roman" w:hAnsi="Times New Roman"/>
          <w:sz w:val="24"/>
          <w:szCs w:val="24"/>
        </w:rPr>
        <w:t xml:space="preserve"> aceptada por la historiografía posterior y por el autor de este trabajo. Un </w:t>
      </w:r>
      <w:r w:rsidRPr="0008486F">
        <w:rPr>
          <w:rFonts w:ascii="Times New Roman" w:hAnsi="Times New Roman"/>
          <w:i/>
          <w:sz w:val="24"/>
          <w:szCs w:val="24"/>
        </w:rPr>
        <w:t>productus</w:t>
      </w:r>
      <w:r w:rsidRPr="0008486F">
        <w:rPr>
          <w:rFonts w:ascii="Times New Roman" w:hAnsi="Times New Roman"/>
          <w:sz w:val="24"/>
          <w:szCs w:val="24"/>
        </w:rPr>
        <w:t xml:space="preserve"> puede estar expresado como el nombre de un contenido, normalmente un alimento, alguno de los adjetivos que lo definen o ambos</w:t>
      </w:r>
      <w:r w:rsidR="00EF682D" w:rsidRPr="0008486F">
        <w:rPr>
          <w:rStyle w:val="FootnoteReference"/>
          <w:rFonts w:ascii="Times New Roman" w:hAnsi="Times New Roman"/>
          <w:sz w:val="24"/>
          <w:szCs w:val="24"/>
        </w:rPr>
        <w:footnoteReference w:id="6"/>
      </w:r>
      <w:r w:rsidRPr="0008486F">
        <w:rPr>
          <w:rFonts w:ascii="Times New Roman" w:hAnsi="Times New Roman"/>
          <w:sz w:val="24"/>
          <w:szCs w:val="24"/>
        </w:rPr>
        <w:t>.</w:t>
      </w:r>
    </w:p>
    <w:p w:rsidR="00933E7A" w:rsidRPr="0008486F" w:rsidRDefault="00933E7A" w:rsidP="00F34854">
      <w:pPr>
        <w:spacing w:after="0" w:line="360" w:lineRule="auto"/>
        <w:ind w:firstLine="709"/>
        <w:jc w:val="both"/>
        <w:rPr>
          <w:rFonts w:ascii="Times New Roman" w:hAnsi="Times New Roman"/>
          <w:sz w:val="24"/>
          <w:szCs w:val="24"/>
        </w:rPr>
      </w:pPr>
      <w:r w:rsidRPr="0008486F">
        <w:rPr>
          <w:rFonts w:ascii="Times New Roman" w:hAnsi="Times New Roman"/>
          <w:sz w:val="24"/>
          <w:szCs w:val="24"/>
        </w:rPr>
        <w:t>Como Nomen se entiende un nombre pers</w:t>
      </w:r>
      <w:r w:rsidR="005C3BEC">
        <w:rPr>
          <w:rFonts w:ascii="Times New Roman" w:hAnsi="Times New Roman"/>
          <w:sz w:val="24"/>
          <w:szCs w:val="24"/>
        </w:rPr>
        <w:t>onal, referente a un individuo o más</w:t>
      </w:r>
      <w:r w:rsidRPr="0008486F">
        <w:rPr>
          <w:rFonts w:ascii="Times New Roman" w:hAnsi="Times New Roman"/>
          <w:sz w:val="24"/>
          <w:szCs w:val="24"/>
        </w:rPr>
        <w:t xml:space="preserve"> </w:t>
      </w:r>
      <w:r w:rsidR="005C3BEC">
        <w:rPr>
          <w:rFonts w:ascii="Times New Roman" w:hAnsi="Times New Roman"/>
          <w:sz w:val="24"/>
          <w:szCs w:val="24"/>
        </w:rPr>
        <w:t>-</w:t>
      </w:r>
      <w:r w:rsidRPr="0008486F">
        <w:rPr>
          <w:rFonts w:ascii="Times New Roman" w:hAnsi="Times New Roman"/>
          <w:sz w:val="24"/>
          <w:szCs w:val="24"/>
        </w:rPr>
        <w:t xml:space="preserve">en caso </w:t>
      </w:r>
      <w:r w:rsidR="005C3BEC">
        <w:rPr>
          <w:rFonts w:ascii="Times New Roman" w:hAnsi="Times New Roman"/>
          <w:sz w:val="24"/>
          <w:szCs w:val="24"/>
        </w:rPr>
        <w:t xml:space="preserve">de que vayan vinculados por la </w:t>
      </w:r>
      <w:r w:rsidR="005C3BEC" w:rsidRPr="005C3BEC">
        <w:rPr>
          <w:rFonts w:ascii="Times New Roman" w:hAnsi="Times New Roman"/>
          <w:sz w:val="24"/>
          <w:szCs w:val="24"/>
        </w:rPr>
        <w:t>f</w:t>
      </w:r>
      <w:r w:rsidR="005C3BEC">
        <w:rPr>
          <w:rFonts w:ascii="Times New Roman" w:hAnsi="Times New Roman"/>
          <w:sz w:val="24"/>
          <w:szCs w:val="24"/>
        </w:rPr>
        <w:t>ó</w:t>
      </w:r>
      <w:r w:rsidRPr="005C3BEC">
        <w:rPr>
          <w:rFonts w:ascii="Times New Roman" w:hAnsi="Times New Roman"/>
          <w:sz w:val="24"/>
          <w:szCs w:val="24"/>
        </w:rPr>
        <w:t>rmula</w:t>
      </w:r>
      <w:r w:rsidRPr="0008486F">
        <w:rPr>
          <w:rFonts w:ascii="Times New Roman" w:hAnsi="Times New Roman"/>
          <w:sz w:val="24"/>
          <w:szCs w:val="24"/>
        </w:rPr>
        <w:t xml:space="preserve"> </w:t>
      </w:r>
      <w:r w:rsidRPr="0008486F">
        <w:rPr>
          <w:rFonts w:ascii="Times New Roman" w:hAnsi="Times New Roman"/>
          <w:i/>
          <w:sz w:val="24"/>
          <w:szCs w:val="24"/>
        </w:rPr>
        <w:t>et</w:t>
      </w:r>
      <w:r w:rsidR="001F4506" w:rsidRPr="001F4506">
        <w:rPr>
          <w:rStyle w:val="FootnoteReference"/>
          <w:rFonts w:ascii="Times New Roman" w:hAnsi="Times New Roman"/>
          <w:sz w:val="24"/>
          <w:szCs w:val="24"/>
        </w:rPr>
        <w:footnoteReference w:id="7"/>
      </w:r>
      <w:r w:rsidRPr="0008486F">
        <w:rPr>
          <w:rFonts w:ascii="Times New Roman" w:hAnsi="Times New Roman"/>
          <w:sz w:val="24"/>
          <w:szCs w:val="24"/>
        </w:rPr>
        <w:t xml:space="preserve"> o se exprese el nombre en plural</w:t>
      </w:r>
      <w:r w:rsidR="00D7062C">
        <w:rPr>
          <w:rStyle w:val="FootnoteReference"/>
          <w:rFonts w:ascii="Times New Roman" w:hAnsi="Times New Roman"/>
          <w:sz w:val="24"/>
          <w:szCs w:val="24"/>
        </w:rPr>
        <w:footnoteReference w:id="8"/>
      </w:r>
      <w:r w:rsidR="005C3BEC">
        <w:rPr>
          <w:rFonts w:ascii="Times New Roman" w:hAnsi="Times New Roman"/>
          <w:sz w:val="24"/>
          <w:szCs w:val="24"/>
        </w:rPr>
        <w:t>-</w:t>
      </w:r>
      <w:r w:rsidRPr="0008486F">
        <w:rPr>
          <w:rFonts w:ascii="Times New Roman" w:hAnsi="Times New Roman"/>
          <w:sz w:val="24"/>
          <w:szCs w:val="24"/>
        </w:rPr>
        <w:t xml:space="preserve">. </w:t>
      </w:r>
      <w:r w:rsidR="00407A0A">
        <w:rPr>
          <w:rFonts w:ascii="Times New Roman" w:hAnsi="Times New Roman"/>
          <w:sz w:val="24"/>
          <w:szCs w:val="24"/>
        </w:rPr>
        <w:t>Estos nombres a</w:t>
      </w:r>
      <w:r w:rsidRPr="0008486F">
        <w:rPr>
          <w:rFonts w:ascii="Times New Roman" w:hAnsi="Times New Roman"/>
          <w:sz w:val="24"/>
          <w:szCs w:val="24"/>
        </w:rPr>
        <w:t xml:space="preserve">parecen en forma de </w:t>
      </w:r>
      <w:r w:rsidRPr="0008486F">
        <w:rPr>
          <w:rFonts w:ascii="Times New Roman" w:hAnsi="Times New Roman"/>
          <w:i/>
          <w:sz w:val="24"/>
          <w:szCs w:val="24"/>
        </w:rPr>
        <w:t>tria nomina</w:t>
      </w:r>
      <w:r w:rsidRPr="0008486F">
        <w:rPr>
          <w:rFonts w:ascii="Times New Roman" w:hAnsi="Times New Roman"/>
          <w:sz w:val="24"/>
          <w:szCs w:val="24"/>
        </w:rPr>
        <w:t xml:space="preserve"> o de cualquiera de sus elementos</w:t>
      </w:r>
      <w:r w:rsidR="00407A0A">
        <w:rPr>
          <w:rFonts w:ascii="Times New Roman" w:hAnsi="Times New Roman"/>
          <w:sz w:val="24"/>
          <w:szCs w:val="24"/>
        </w:rPr>
        <w:t>,</w:t>
      </w:r>
      <w:r w:rsidRPr="0008486F">
        <w:rPr>
          <w:rFonts w:ascii="Times New Roman" w:hAnsi="Times New Roman"/>
          <w:sz w:val="24"/>
          <w:szCs w:val="24"/>
        </w:rPr>
        <w:t xml:space="preserve"> solos o combinados. También se considera la aparición de </w:t>
      </w:r>
      <w:r w:rsidRPr="0008486F">
        <w:rPr>
          <w:rFonts w:ascii="Times New Roman" w:hAnsi="Times New Roman"/>
          <w:i/>
          <w:sz w:val="24"/>
          <w:szCs w:val="24"/>
        </w:rPr>
        <w:t>supernomina</w:t>
      </w:r>
      <w:r w:rsidRPr="0008486F">
        <w:rPr>
          <w:rFonts w:ascii="Times New Roman" w:hAnsi="Times New Roman"/>
          <w:sz w:val="24"/>
          <w:szCs w:val="24"/>
        </w:rPr>
        <w:t>. Por otra parte, un registro Nomen puede aparecer abreviado</w:t>
      </w:r>
      <w:r w:rsidR="00033013">
        <w:rPr>
          <w:rFonts w:ascii="Times New Roman" w:hAnsi="Times New Roman"/>
          <w:sz w:val="24"/>
          <w:szCs w:val="24"/>
        </w:rPr>
        <w:t xml:space="preserve"> o completo</w:t>
      </w:r>
      <w:r w:rsidRPr="0008486F">
        <w:rPr>
          <w:rFonts w:ascii="Times New Roman" w:hAnsi="Times New Roman"/>
          <w:sz w:val="24"/>
          <w:szCs w:val="24"/>
        </w:rPr>
        <w:t>. Las abreviaturas o siglas pueden difi</w:t>
      </w:r>
      <w:r w:rsidR="00033013">
        <w:rPr>
          <w:rFonts w:ascii="Times New Roman" w:hAnsi="Times New Roman"/>
          <w:sz w:val="24"/>
          <w:szCs w:val="24"/>
        </w:rPr>
        <w:t xml:space="preserve">cultar el reconocimiento de un </w:t>
      </w:r>
      <w:r w:rsidR="00033013" w:rsidRPr="00033013">
        <w:rPr>
          <w:rFonts w:ascii="Times New Roman" w:hAnsi="Times New Roman"/>
          <w:i/>
          <w:sz w:val="24"/>
          <w:szCs w:val="24"/>
        </w:rPr>
        <w:t>c</w:t>
      </w:r>
      <w:r w:rsidRPr="00033013">
        <w:rPr>
          <w:rFonts w:ascii="Times New Roman" w:hAnsi="Times New Roman"/>
          <w:i/>
          <w:sz w:val="24"/>
          <w:szCs w:val="24"/>
        </w:rPr>
        <w:t>onceptum</w:t>
      </w:r>
      <w:r w:rsidRPr="0008486F">
        <w:rPr>
          <w:rFonts w:ascii="Times New Roman" w:hAnsi="Times New Roman"/>
          <w:sz w:val="24"/>
          <w:szCs w:val="24"/>
        </w:rPr>
        <w:t xml:space="preserve"> Nomen. Su determinación se hace en función de la adecuación a alguno de los nombres recogidos en los correspondientes catálogos o bases de datos</w:t>
      </w:r>
      <w:r w:rsidRPr="0008486F">
        <w:rPr>
          <w:rStyle w:val="FootnoteReference"/>
          <w:rFonts w:ascii="Times New Roman" w:hAnsi="Times New Roman"/>
          <w:sz w:val="24"/>
          <w:szCs w:val="24"/>
        </w:rPr>
        <w:footnoteReference w:id="9"/>
      </w:r>
      <w:r w:rsidRPr="0008486F">
        <w:rPr>
          <w:rFonts w:ascii="Times New Roman" w:hAnsi="Times New Roman"/>
          <w:sz w:val="24"/>
          <w:szCs w:val="24"/>
        </w:rPr>
        <w:t xml:space="preserve">. En caso de duda, se opta provisionalmente por la lectura como cifra antes que como sigla, por tratarse de la opción más </w:t>
      </w:r>
      <w:r w:rsidR="00407A0A">
        <w:rPr>
          <w:rFonts w:ascii="Times New Roman" w:hAnsi="Times New Roman"/>
          <w:sz w:val="24"/>
          <w:szCs w:val="24"/>
        </w:rPr>
        <w:t>resolutiva</w:t>
      </w:r>
      <w:r w:rsidRPr="0008486F">
        <w:rPr>
          <w:rFonts w:ascii="Times New Roman" w:hAnsi="Times New Roman"/>
          <w:sz w:val="24"/>
          <w:szCs w:val="24"/>
        </w:rPr>
        <w:t xml:space="preserve">. La presencia de interpunciones decanta la lectura a favor de la clasificación como Nomen. Otro elemento que puede acompañar a los </w:t>
      </w:r>
      <w:r w:rsidRPr="0008486F">
        <w:rPr>
          <w:rFonts w:ascii="Times New Roman" w:hAnsi="Times New Roman"/>
          <w:i/>
          <w:sz w:val="24"/>
          <w:szCs w:val="24"/>
        </w:rPr>
        <w:t>nomina</w:t>
      </w:r>
      <w:r w:rsidRPr="0008486F">
        <w:rPr>
          <w:rFonts w:ascii="Times New Roman" w:hAnsi="Times New Roman"/>
          <w:sz w:val="24"/>
          <w:szCs w:val="24"/>
        </w:rPr>
        <w:t xml:space="preserve"> dentro de esta clasificación son las</w:t>
      </w:r>
      <w:r w:rsidR="00033013">
        <w:rPr>
          <w:rFonts w:ascii="Times New Roman" w:hAnsi="Times New Roman"/>
          <w:sz w:val="24"/>
          <w:szCs w:val="24"/>
        </w:rPr>
        <w:t xml:space="preserve"> fórmulas</w:t>
      </w:r>
      <w:r w:rsidRPr="0008486F">
        <w:rPr>
          <w:rFonts w:ascii="Times New Roman" w:hAnsi="Times New Roman"/>
          <w:sz w:val="24"/>
          <w:szCs w:val="24"/>
        </w:rPr>
        <w:t xml:space="preserve">, como </w:t>
      </w:r>
      <w:r w:rsidRPr="0008486F">
        <w:rPr>
          <w:rFonts w:ascii="Times New Roman" w:hAnsi="Times New Roman"/>
          <w:i/>
          <w:sz w:val="24"/>
          <w:szCs w:val="24"/>
        </w:rPr>
        <w:t>in usus</w:t>
      </w:r>
      <w:r w:rsidR="006B51DE" w:rsidRPr="006B51DE">
        <w:rPr>
          <w:rStyle w:val="FootnoteReference"/>
          <w:rFonts w:ascii="Times New Roman" w:hAnsi="Times New Roman"/>
          <w:sz w:val="24"/>
          <w:szCs w:val="24"/>
        </w:rPr>
        <w:footnoteReference w:id="10"/>
      </w:r>
      <w:r w:rsidRPr="0008486F">
        <w:rPr>
          <w:rFonts w:ascii="Times New Roman" w:hAnsi="Times New Roman"/>
          <w:sz w:val="24"/>
          <w:szCs w:val="24"/>
        </w:rPr>
        <w:t>.</w:t>
      </w:r>
    </w:p>
    <w:p w:rsidR="00933E7A" w:rsidRPr="0008486F" w:rsidRDefault="00933E7A" w:rsidP="00F34854">
      <w:pPr>
        <w:spacing w:after="0" w:line="360" w:lineRule="auto"/>
        <w:ind w:firstLine="709"/>
        <w:jc w:val="both"/>
        <w:rPr>
          <w:rFonts w:ascii="Times New Roman" w:hAnsi="Times New Roman"/>
          <w:sz w:val="24"/>
          <w:szCs w:val="24"/>
        </w:rPr>
      </w:pPr>
      <w:r w:rsidRPr="0008486F">
        <w:rPr>
          <w:rFonts w:ascii="Times New Roman" w:hAnsi="Times New Roman"/>
          <w:sz w:val="24"/>
          <w:szCs w:val="24"/>
        </w:rPr>
        <w:t>Como Numerus se clasifican aquellos registros cuyo núcleo semántico es una cifra. Estos registros pueden incluir ciertas</w:t>
      </w:r>
      <w:r w:rsidR="00033013">
        <w:rPr>
          <w:rFonts w:ascii="Times New Roman" w:hAnsi="Times New Roman"/>
          <w:sz w:val="24"/>
          <w:szCs w:val="24"/>
        </w:rPr>
        <w:t xml:space="preserve"> fórmulas </w:t>
      </w:r>
      <w:r w:rsidRPr="0008486F">
        <w:rPr>
          <w:rFonts w:ascii="Times New Roman" w:hAnsi="Times New Roman"/>
          <w:sz w:val="24"/>
          <w:szCs w:val="24"/>
        </w:rPr>
        <w:t xml:space="preserve">como </w:t>
      </w:r>
      <w:r w:rsidRPr="0008486F">
        <w:rPr>
          <w:rFonts w:ascii="Times New Roman" w:hAnsi="Times New Roman"/>
          <w:i/>
          <w:sz w:val="24"/>
          <w:szCs w:val="24"/>
        </w:rPr>
        <w:t>p</w:t>
      </w:r>
      <w:r w:rsidRPr="0008486F">
        <w:rPr>
          <w:rFonts w:ascii="Times New Roman" w:hAnsi="Times New Roman"/>
          <w:sz w:val="24"/>
          <w:szCs w:val="24"/>
        </w:rPr>
        <w:t xml:space="preserve">(ondo) o </w:t>
      </w:r>
      <w:r w:rsidRPr="0008486F">
        <w:rPr>
          <w:rFonts w:ascii="Times New Roman" w:hAnsi="Times New Roman"/>
          <w:i/>
          <w:sz w:val="24"/>
          <w:szCs w:val="24"/>
        </w:rPr>
        <w:t>a</w:t>
      </w:r>
      <w:r w:rsidRPr="0008486F">
        <w:rPr>
          <w:rFonts w:ascii="Times New Roman" w:hAnsi="Times New Roman"/>
          <w:sz w:val="24"/>
          <w:szCs w:val="24"/>
        </w:rPr>
        <w:t>(nnorum)</w:t>
      </w:r>
      <w:r w:rsidR="00521C7E">
        <w:rPr>
          <w:rFonts w:ascii="Times New Roman" w:hAnsi="Times New Roman"/>
          <w:sz w:val="24"/>
          <w:szCs w:val="24"/>
        </w:rPr>
        <w:t xml:space="preserve"> -comentadas más adelante-</w:t>
      </w:r>
      <w:r w:rsidRPr="0008486F">
        <w:rPr>
          <w:rFonts w:ascii="Times New Roman" w:hAnsi="Times New Roman"/>
          <w:sz w:val="24"/>
          <w:szCs w:val="24"/>
        </w:rPr>
        <w:t xml:space="preserve">. Como Consules se clasifican las dataciones consulares. Signum recoge símbolos o marcas, </w:t>
      </w:r>
      <w:r w:rsidRPr="0008486F">
        <w:rPr>
          <w:rFonts w:ascii="Times New Roman" w:hAnsi="Times New Roman"/>
          <w:i/>
          <w:sz w:val="24"/>
          <w:szCs w:val="24"/>
        </w:rPr>
        <w:t>notae</w:t>
      </w:r>
      <w:r w:rsidRPr="0008486F">
        <w:rPr>
          <w:rFonts w:ascii="Times New Roman" w:hAnsi="Times New Roman"/>
          <w:sz w:val="24"/>
          <w:szCs w:val="24"/>
        </w:rPr>
        <w:t xml:space="preserve"> que no se pueden adscribi</w:t>
      </w:r>
      <w:r w:rsidR="006B51DE">
        <w:rPr>
          <w:rFonts w:ascii="Times New Roman" w:hAnsi="Times New Roman"/>
          <w:sz w:val="24"/>
          <w:szCs w:val="24"/>
        </w:rPr>
        <w:t>r a ningún alfabeto. Reliquiae abarca</w:t>
      </w:r>
      <w:r w:rsidRPr="0008486F">
        <w:rPr>
          <w:rFonts w:ascii="Times New Roman" w:hAnsi="Times New Roman"/>
          <w:sz w:val="24"/>
          <w:szCs w:val="24"/>
        </w:rPr>
        <w:t xml:space="preserve"> aquellos registros que no se ha</w:t>
      </w:r>
      <w:r w:rsidR="006B51DE">
        <w:rPr>
          <w:rFonts w:ascii="Times New Roman" w:hAnsi="Times New Roman"/>
          <w:sz w:val="24"/>
          <w:szCs w:val="24"/>
        </w:rPr>
        <w:t>n</w:t>
      </w:r>
      <w:r w:rsidRPr="0008486F">
        <w:rPr>
          <w:rFonts w:ascii="Times New Roman" w:hAnsi="Times New Roman"/>
          <w:sz w:val="24"/>
          <w:szCs w:val="24"/>
        </w:rPr>
        <w:t xml:space="preserve"> podido leer, identificados solamente por trazos o restos de tinta.</w:t>
      </w:r>
    </w:p>
    <w:p w:rsidR="00933E7A" w:rsidRPr="0008486F" w:rsidRDefault="00933E7A" w:rsidP="00F34854">
      <w:pPr>
        <w:spacing w:after="0" w:line="360" w:lineRule="auto"/>
        <w:ind w:firstLine="709"/>
        <w:jc w:val="both"/>
        <w:rPr>
          <w:rFonts w:ascii="Times New Roman" w:hAnsi="Times New Roman"/>
          <w:sz w:val="24"/>
          <w:szCs w:val="24"/>
        </w:rPr>
      </w:pPr>
      <w:r w:rsidRPr="0008486F">
        <w:rPr>
          <w:rFonts w:ascii="Times New Roman" w:hAnsi="Times New Roman"/>
          <w:sz w:val="24"/>
          <w:szCs w:val="24"/>
        </w:rPr>
        <w:t xml:space="preserve">Como Incertum se clasifican los registros de lectura indeterminada, cuando se identifican letras sin que se pueda estimar su significado. Se trata de registros que no </w:t>
      </w:r>
      <w:r w:rsidR="008812ED">
        <w:rPr>
          <w:rFonts w:ascii="Times New Roman" w:hAnsi="Times New Roman"/>
          <w:sz w:val="24"/>
          <w:szCs w:val="24"/>
        </w:rPr>
        <w:t>se pueden relacionar con ninguno</w:t>
      </w:r>
      <w:r w:rsidRPr="0008486F">
        <w:rPr>
          <w:rFonts w:ascii="Times New Roman" w:hAnsi="Times New Roman"/>
          <w:sz w:val="24"/>
          <w:szCs w:val="24"/>
        </w:rPr>
        <w:t xml:space="preserve"> de los </w:t>
      </w:r>
      <w:r w:rsidRPr="0008486F">
        <w:rPr>
          <w:rFonts w:ascii="Times New Roman" w:hAnsi="Times New Roman"/>
          <w:i/>
          <w:sz w:val="24"/>
          <w:szCs w:val="24"/>
        </w:rPr>
        <w:t>concepta</w:t>
      </w:r>
      <w:r w:rsidRPr="0008486F">
        <w:rPr>
          <w:rFonts w:ascii="Times New Roman" w:hAnsi="Times New Roman"/>
          <w:sz w:val="24"/>
          <w:szCs w:val="24"/>
        </w:rPr>
        <w:t xml:space="preserve"> establecidos. Los inicios de los términos escritos no hallan referentes en los diccionarios y repertorios onomásticos utilizados. En otros casos, las terminaciones tampoco encajan con los resultados de tales búsquedas. Los restantes </w:t>
      </w:r>
      <w:r w:rsidRPr="0008486F">
        <w:rPr>
          <w:rFonts w:ascii="Times New Roman" w:hAnsi="Times New Roman"/>
          <w:i/>
          <w:sz w:val="24"/>
          <w:szCs w:val="24"/>
        </w:rPr>
        <w:t>concepta incerta</w:t>
      </w:r>
      <w:r w:rsidRPr="0008486F">
        <w:rPr>
          <w:rFonts w:ascii="Times New Roman" w:hAnsi="Times New Roman"/>
          <w:sz w:val="24"/>
          <w:szCs w:val="24"/>
        </w:rPr>
        <w:t xml:space="preserve"> contienen registros asociados a alguna de las modalidades definidas, pero que ofrecen dudas en su lectura. Suelen responder a problemas de conservación del epígrafe y estar compuestos por pocos caracteres. Ofrecen lecturas múltiples, como abreviaturas, siglas o cifras, según los casos.</w:t>
      </w:r>
    </w:p>
    <w:p w:rsidR="00933E7A" w:rsidRPr="0008486F" w:rsidRDefault="00933E7A" w:rsidP="00F34854">
      <w:pPr>
        <w:spacing w:after="0" w:line="360" w:lineRule="auto"/>
        <w:ind w:firstLine="709"/>
        <w:jc w:val="both"/>
        <w:rPr>
          <w:rFonts w:ascii="Times New Roman" w:hAnsi="Times New Roman"/>
          <w:sz w:val="24"/>
          <w:szCs w:val="24"/>
        </w:rPr>
      </w:pPr>
      <w:r w:rsidRPr="0008486F">
        <w:rPr>
          <w:rFonts w:ascii="Times New Roman" w:hAnsi="Times New Roman"/>
          <w:sz w:val="24"/>
          <w:szCs w:val="24"/>
        </w:rPr>
        <w:t>Regestum</w:t>
      </w:r>
      <w:r w:rsidRPr="0008486F">
        <w:rPr>
          <w:rStyle w:val="FootnoteReference"/>
          <w:rFonts w:ascii="Times New Roman" w:hAnsi="Times New Roman"/>
          <w:sz w:val="24"/>
          <w:szCs w:val="24"/>
        </w:rPr>
        <w:footnoteReference w:id="11"/>
      </w:r>
      <w:r w:rsidRPr="0008486F">
        <w:rPr>
          <w:rFonts w:ascii="Times New Roman" w:hAnsi="Times New Roman"/>
          <w:sz w:val="24"/>
          <w:szCs w:val="24"/>
        </w:rPr>
        <w:t xml:space="preserve"> es el </w:t>
      </w:r>
      <w:r w:rsidR="006B51DE">
        <w:rPr>
          <w:rFonts w:ascii="Times New Roman" w:hAnsi="Times New Roman"/>
          <w:sz w:val="24"/>
          <w:szCs w:val="24"/>
        </w:rPr>
        <w:t>sistema de caracteres que s</w:t>
      </w:r>
      <w:r w:rsidRPr="0008486F">
        <w:rPr>
          <w:rFonts w:ascii="Times New Roman" w:hAnsi="Times New Roman"/>
          <w:sz w:val="24"/>
          <w:szCs w:val="24"/>
        </w:rPr>
        <w:t xml:space="preserve">intetiza la clasificación de </w:t>
      </w:r>
      <w:r w:rsidR="006B51DE">
        <w:rPr>
          <w:rFonts w:ascii="Times New Roman" w:hAnsi="Times New Roman"/>
          <w:sz w:val="24"/>
          <w:szCs w:val="24"/>
        </w:rPr>
        <w:t>los</w:t>
      </w:r>
      <w:r w:rsidRPr="0008486F">
        <w:rPr>
          <w:rFonts w:ascii="Times New Roman" w:hAnsi="Times New Roman"/>
          <w:sz w:val="24"/>
          <w:szCs w:val="24"/>
        </w:rPr>
        <w:t xml:space="preserve"> </w:t>
      </w:r>
      <w:r w:rsidR="006B51DE">
        <w:rPr>
          <w:rFonts w:ascii="Times New Roman" w:hAnsi="Times New Roman"/>
          <w:i/>
          <w:sz w:val="24"/>
          <w:szCs w:val="24"/>
        </w:rPr>
        <w:t>concepta</w:t>
      </w:r>
      <w:r w:rsidRPr="0008486F">
        <w:rPr>
          <w:rFonts w:ascii="Times New Roman" w:hAnsi="Times New Roman"/>
          <w:sz w:val="24"/>
          <w:szCs w:val="24"/>
        </w:rPr>
        <w:t xml:space="preserve">, añadiendo la información relativa al campo de registro Litterae. Esta información se divide esencialmente entre </w:t>
      </w:r>
      <w:r w:rsidRPr="0008486F">
        <w:rPr>
          <w:rFonts w:ascii="Times New Roman" w:hAnsi="Times New Roman"/>
          <w:i/>
          <w:sz w:val="24"/>
          <w:szCs w:val="24"/>
        </w:rPr>
        <w:t>litterae Graecae</w:t>
      </w:r>
      <w:r w:rsidR="008812ED" w:rsidRPr="008812ED">
        <w:rPr>
          <w:rFonts w:ascii="Times New Roman" w:hAnsi="Times New Roman"/>
          <w:i/>
          <w:sz w:val="24"/>
          <w:szCs w:val="24"/>
        </w:rPr>
        <w:t xml:space="preserve"> </w:t>
      </w:r>
      <w:r w:rsidR="008812ED" w:rsidRPr="0008486F">
        <w:rPr>
          <w:rFonts w:ascii="Times New Roman" w:hAnsi="Times New Roman"/>
          <w:sz w:val="24"/>
          <w:szCs w:val="24"/>
        </w:rPr>
        <w:t>o</w:t>
      </w:r>
      <w:r w:rsidR="008812ED" w:rsidRPr="0008486F">
        <w:rPr>
          <w:rFonts w:ascii="Times New Roman" w:hAnsi="Times New Roman"/>
          <w:i/>
          <w:sz w:val="24"/>
          <w:szCs w:val="24"/>
        </w:rPr>
        <w:t xml:space="preserve"> Latinae</w:t>
      </w:r>
      <w:r w:rsidRPr="0008486F">
        <w:rPr>
          <w:rFonts w:ascii="Times New Roman" w:hAnsi="Times New Roman"/>
          <w:sz w:val="24"/>
          <w:szCs w:val="24"/>
        </w:rPr>
        <w:t xml:space="preserve">, suponiendo la inclusión caracteres clave en mayúscula o minúscula. Sólo los </w:t>
      </w:r>
      <w:r w:rsidRPr="0008486F">
        <w:rPr>
          <w:rFonts w:ascii="Times New Roman" w:hAnsi="Times New Roman"/>
          <w:i/>
          <w:sz w:val="24"/>
          <w:szCs w:val="24"/>
        </w:rPr>
        <w:t>concepta</w:t>
      </w:r>
      <w:r w:rsidRPr="0008486F">
        <w:rPr>
          <w:rFonts w:ascii="Times New Roman" w:hAnsi="Times New Roman"/>
          <w:sz w:val="24"/>
          <w:szCs w:val="24"/>
        </w:rPr>
        <w:t xml:space="preserve"> Signum y Reliquiae son nulos en </w:t>
      </w:r>
      <w:r w:rsidR="006B51DE">
        <w:rPr>
          <w:rFonts w:ascii="Times New Roman" w:hAnsi="Times New Roman"/>
          <w:sz w:val="24"/>
          <w:szCs w:val="24"/>
        </w:rPr>
        <w:t>la distinción por</w:t>
      </w:r>
      <w:r w:rsidRPr="0008486F">
        <w:rPr>
          <w:rFonts w:ascii="Times New Roman" w:hAnsi="Times New Roman"/>
          <w:sz w:val="24"/>
          <w:szCs w:val="24"/>
        </w:rPr>
        <w:t xml:space="preserve"> Litterae, pues no permiten l</w:t>
      </w:r>
      <w:r w:rsidR="006B51DE">
        <w:rPr>
          <w:rFonts w:ascii="Times New Roman" w:hAnsi="Times New Roman"/>
          <w:sz w:val="24"/>
          <w:szCs w:val="24"/>
        </w:rPr>
        <w:t>a asociación a ningún alfabeto.</w:t>
      </w:r>
    </w:p>
    <w:p w:rsidR="009A6BDF" w:rsidRDefault="001E4FD7" w:rsidP="00F34854">
      <w:pPr>
        <w:spacing w:after="0" w:line="360" w:lineRule="auto"/>
        <w:ind w:firstLine="709"/>
        <w:jc w:val="both"/>
        <w:rPr>
          <w:rFonts w:ascii="Times New Roman" w:hAnsi="Times New Roman"/>
          <w:sz w:val="24"/>
          <w:szCs w:val="24"/>
        </w:rPr>
      </w:pPr>
      <w:r w:rsidRPr="0008486F">
        <w:rPr>
          <w:rFonts w:ascii="Times New Roman" w:hAnsi="Times New Roman"/>
          <w:sz w:val="24"/>
          <w:szCs w:val="24"/>
        </w:rPr>
        <w:t xml:space="preserve">Codex </w:t>
      </w:r>
      <w:r w:rsidR="006B51DE">
        <w:rPr>
          <w:rFonts w:ascii="Times New Roman" w:hAnsi="Times New Roman"/>
          <w:sz w:val="24"/>
          <w:szCs w:val="24"/>
        </w:rPr>
        <w:t>recoge</w:t>
      </w:r>
      <w:r w:rsidR="00933E7A" w:rsidRPr="0008486F">
        <w:rPr>
          <w:rFonts w:ascii="Times New Roman" w:hAnsi="Times New Roman"/>
          <w:sz w:val="24"/>
          <w:szCs w:val="24"/>
        </w:rPr>
        <w:t xml:space="preserve"> la disposición de los registros en cada ánfora, haciendo referencia a su distribución espacial y </w:t>
      </w:r>
      <w:r w:rsidR="006B51DE">
        <w:rPr>
          <w:rFonts w:ascii="Times New Roman" w:hAnsi="Times New Roman"/>
          <w:sz w:val="24"/>
          <w:szCs w:val="24"/>
        </w:rPr>
        <w:t xml:space="preserve">a </w:t>
      </w:r>
      <w:r w:rsidR="00933E7A" w:rsidRPr="0008486F">
        <w:rPr>
          <w:rFonts w:ascii="Times New Roman" w:hAnsi="Times New Roman"/>
          <w:sz w:val="24"/>
          <w:szCs w:val="24"/>
        </w:rPr>
        <w:t>la diversidad de tintas empleadas. Estas relaciones se establecen conforme a una serie de signos di</w:t>
      </w:r>
      <w:r w:rsidRPr="0008486F">
        <w:rPr>
          <w:rFonts w:ascii="Times New Roman" w:hAnsi="Times New Roman"/>
          <w:sz w:val="24"/>
          <w:szCs w:val="24"/>
        </w:rPr>
        <w:t>acríticos (Fig</w:t>
      </w:r>
      <w:r w:rsidR="00E34D04">
        <w:rPr>
          <w:rFonts w:ascii="Times New Roman" w:hAnsi="Times New Roman"/>
          <w:sz w:val="24"/>
          <w:szCs w:val="24"/>
        </w:rPr>
        <w:t>.</w:t>
      </w:r>
      <w:r w:rsidRPr="0008486F">
        <w:rPr>
          <w:rFonts w:ascii="Times New Roman" w:hAnsi="Times New Roman"/>
          <w:sz w:val="24"/>
          <w:szCs w:val="24"/>
        </w:rPr>
        <w:t xml:space="preserve"> 2). La serie I-III</w:t>
      </w:r>
      <w:r w:rsidR="00933E7A" w:rsidRPr="0008486F">
        <w:rPr>
          <w:rFonts w:ascii="Times New Roman" w:hAnsi="Times New Roman"/>
          <w:sz w:val="24"/>
          <w:szCs w:val="24"/>
        </w:rPr>
        <w:t xml:space="preserve"> responde al tratamiento de la incertidumbre en la lectura de los registros (Fig</w:t>
      </w:r>
      <w:r w:rsidR="00E34D04">
        <w:rPr>
          <w:rFonts w:ascii="Times New Roman" w:hAnsi="Times New Roman"/>
          <w:sz w:val="24"/>
          <w:szCs w:val="24"/>
        </w:rPr>
        <w:t>.</w:t>
      </w:r>
      <w:r w:rsidR="00933E7A" w:rsidRPr="0008486F">
        <w:rPr>
          <w:rFonts w:ascii="Times New Roman" w:hAnsi="Times New Roman"/>
          <w:sz w:val="24"/>
          <w:szCs w:val="24"/>
        </w:rPr>
        <w:t xml:space="preserve"> 1). La gradación se est</w:t>
      </w:r>
      <w:r w:rsidRPr="0008486F">
        <w:rPr>
          <w:rFonts w:ascii="Times New Roman" w:hAnsi="Times New Roman"/>
          <w:sz w:val="24"/>
          <w:szCs w:val="24"/>
        </w:rPr>
        <w:t>ablece de mayor a menor. Codex I</w:t>
      </w:r>
      <w:r w:rsidR="00933E7A" w:rsidRPr="0008486F">
        <w:rPr>
          <w:rFonts w:ascii="Times New Roman" w:hAnsi="Times New Roman"/>
          <w:sz w:val="24"/>
          <w:szCs w:val="24"/>
        </w:rPr>
        <w:t xml:space="preserve"> transforma todo regis</w:t>
      </w:r>
      <w:r w:rsidRPr="0008486F">
        <w:rPr>
          <w:rFonts w:ascii="Times New Roman" w:hAnsi="Times New Roman"/>
          <w:sz w:val="24"/>
          <w:szCs w:val="24"/>
        </w:rPr>
        <w:t xml:space="preserve">tro con dudas de lectura en un </w:t>
      </w:r>
      <w:r w:rsidRPr="0008486F">
        <w:rPr>
          <w:rFonts w:ascii="Times New Roman" w:hAnsi="Times New Roman"/>
          <w:i/>
          <w:sz w:val="24"/>
          <w:szCs w:val="24"/>
        </w:rPr>
        <w:t>c</w:t>
      </w:r>
      <w:r w:rsidR="00933E7A" w:rsidRPr="0008486F">
        <w:rPr>
          <w:rFonts w:ascii="Times New Roman" w:hAnsi="Times New Roman"/>
          <w:i/>
          <w:sz w:val="24"/>
          <w:szCs w:val="24"/>
        </w:rPr>
        <w:t>onceptum incertum</w:t>
      </w:r>
      <w:r w:rsidR="00933E7A" w:rsidRPr="0008486F">
        <w:rPr>
          <w:rFonts w:ascii="Times New Roman" w:hAnsi="Times New Roman"/>
          <w:sz w:val="24"/>
          <w:szCs w:val="24"/>
        </w:rPr>
        <w:t xml:space="preserve"> (I/i). Codex </w:t>
      </w:r>
      <w:r w:rsidRPr="0008486F">
        <w:rPr>
          <w:rFonts w:ascii="Times New Roman" w:hAnsi="Times New Roman"/>
          <w:sz w:val="24"/>
          <w:szCs w:val="24"/>
        </w:rPr>
        <w:t>II</w:t>
      </w:r>
      <w:r w:rsidR="00933E7A" w:rsidRPr="0008486F">
        <w:rPr>
          <w:rFonts w:ascii="Times New Roman" w:hAnsi="Times New Roman"/>
          <w:sz w:val="24"/>
          <w:szCs w:val="24"/>
        </w:rPr>
        <w:t xml:space="preserve"> respeta las lecturas dudosas y las incluye en el </w:t>
      </w:r>
      <w:r w:rsidR="00933E7A" w:rsidRPr="0008486F">
        <w:rPr>
          <w:rFonts w:ascii="Times New Roman" w:hAnsi="Times New Roman"/>
          <w:i/>
          <w:sz w:val="24"/>
          <w:szCs w:val="24"/>
        </w:rPr>
        <w:t>codex</w:t>
      </w:r>
      <w:r w:rsidR="00933E7A" w:rsidRPr="0008486F">
        <w:rPr>
          <w:rFonts w:ascii="Times New Roman" w:hAnsi="Times New Roman"/>
          <w:sz w:val="24"/>
          <w:szCs w:val="24"/>
        </w:rPr>
        <w:t xml:space="preserve">, manifiestas por el uso de signos de interrogación. Codex </w:t>
      </w:r>
      <w:r w:rsidRPr="0008486F">
        <w:rPr>
          <w:rFonts w:ascii="Times New Roman" w:hAnsi="Times New Roman"/>
          <w:sz w:val="24"/>
          <w:szCs w:val="24"/>
        </w:rPr>
        <w:t>III</w:t>
      </w:r>
      <w:r w:rsidR="00933E7A" w:rsidRPr="0008486F">
        <w:rPr>
          <w:rFonts w:ascii="Times New Roman" w:hAnsi="Times New Roman"/>
          <w:sz w:val="24"/>
          <w:szCs w:val="24"/>
        </w:rPr>
        <w:t xml:space="preserve"> despeja las lecturas dudosas, eliminando los signos de interrogación</w:t>
      </w:r>
      <w:r w:rsidRPr="0008486F">
        <w:rPr>
          <w:rFonts w:ascii="Times New Roman" w:hAnsi="Times New Roman"/>
          <w:sz w:val="24"/>
          <w:szCs w:val="24"/>
        </w:rPr>
        <w:t xml:space="preserve"> de los </w:t>
      </w:r>
      <w:r w:rsidRPr="0008486F">
        <w:rPr>
          <w:rFonts w:ascii="Times New Roman" w:hAnsi="Times New Roman"/>
          <w:i/>
          <w:sz w:val="24"/>
          <w:szCs w:val="24"/>
        </w:rPr>
        <w:t>concepta</w:t>
      </w:r>
      <w:r w:rsidR="00933E7A" w:rsidRPr="0008486F">
        <w:rPr>
          <w:rFonts w:ascii="Times New Roman" w:hAnsi="Times New Roman"/>
          <w:sz w:val="24"/>
          <w:szCs w:val="24"/>
        </w:rPr>
        <w:t xml:space="preserve">. Con este sistema tripartito se espera optimizar el tratamiento de la información. De tal forma, se podrán ordenar los registros o realizar búsquedas de determinados fragmentos de </w:t>
      </w:r>
      <w:r w:rsidR="00933E7A" w:rsidRPr="0008486F">
        <w:rPr>
          <w:rFonts w:ascii="Times New Roman" w:hAnsi="Times New Roman"/>
          <w:i/>
          <w:sz w:val="24"/>
          <w:szCs w:val="24"/>
        </w:rPr>
        <w:t>codex</w:t>
      </w:r>
      <w:r w:rsidR="00933E7A" w:rsidRPr="0008486F">
        <w:rPr>
          <w:rFonts w:ascii="Times New Roman" w:hAnsi="Times New Roman"/>
          <w:sz w:val="24"/>
          <w:szCs w:val="24"/>
        </w:rPr>
        <w:t xml:space="preserve"> en distintas modalidades.</w:t>
      </w:r>
    </w:p>
    <w:p w:rsidR="00361CD3" w:rsidRPr="00361CD3" w:rsidRDefault="00361CD3" w:rsidP="00F34854">
      <w:pPr>
        <w:spacing w:after="0" w:line="360" w:lineRule="auto"/>
        <w:ind w:firstLine="709"/>
        <w:jc w:val="both"/>
        <w:rPr>
          <w:rFonts w:ascii="Times New Roman" w:hAnsi="Times New Roman"/>
          <w:b/>
          <w:sz w:val="24"/>
          <w:szCs w:val="24"/>
        </w:rPr>
      </w:pPr>
      <w:r>
        <w:rPr>
          <w:rFonts w:ascii="Times New Roman" w:hAnsi="Times New Roman"/>
          <w:b/>
          <w:sz w:val="24"/>
          <w:szCs w:val="24"/>
        </w:rPr>
        <w:t xml:space="preserve">3. </w:t>
      </w:r>
      <w:r w:rsidR="00521C7E">
        <w:rPr>
          <w:rFonts w:ascii="Times New Roman" w:hAnsi="Times New Roman"/>
          <w:b/>
          <w:sz w:val="24"/>
          <w:szCs w:val="24"/>
        </w:rPr>
        <w:t>L</w:t>
      </w:r>
      <w:r w:rsidR="00103AB9" w:rsidRPr="00361CD3">
        <w:rPr>
          <w:rFonts w:ascii="Times New Roman" w:hAnsi="Times New Roman"/>
          <w:b/>
          <w:sz w:val="24"/>
          <w:szCs w:val="24"/>
        </w:rPr>
        <w:t xml:space="preserve">os </w:t>
      </w:r>
      <w:r w:rsidR="00103AB9" w:rsidRPr="00361CD3">
        <w:rPr>
          <w:rFonts w:ascii="Times New Roman" w:hAnsi="Times New Roman"/>
          <w:b/>
          <w:i/>
          <w:sz w:val="24"/>
          <w:szCs w:val="24"/>
        </w:rPr>
        <w:t>tituli</w:t>
      </w:r>
      <w:r w:rsidR="00521C7E">
        <w:rPr>
          <w:rFonts w:ascii="Times New Roman" w:hAnsi="Times New Roman"/>
          <w:b/>
          <w:i/>
          <w:sz w:val="24"/>
          <w:szCs w:val="24"/>
        </w:rPr>
        <w:t xml:space="preserve"> picti</w:t>
      </w:r>
      <w:r w:rsidR="00103AB9" w:rsidRPr="00361CD3">
        <w:rPr>
          <w:rFonts w:ascii="Times New Roman" w:hAnsi="Times New Roman"/>
          <w:b/>
          <w:i/>
          <w:sz w:val="24"/>
          <w:szCs w:val="24"/>
        </w:rPr>
        <w:t xml:space="preserve"> gilvi</w:t>
      </w:r>
    </w:p>
    <w:p w:rsidR="00103AB9" w:rsidRPr="0008486F" w:rsidRDefault="00521C7E" w:rsidP="00F34854">
      <w:pPr>
        <w:spacing w:after="0" w:line="360" w:lineRule="auto"/>
        <w:ind w:firstLine="709"/>
        <w:jc w:val="both"/>
        <w:rPr>
          <w:rFonts w:ascii="Times New Roman" w:hAnsi="Times New Roman"/>
          <w:sz w:val="24"/>
          <w:szCs w:val="24"/>
        </w:rPr>
      </w:pPr>
      <w:r>
        <w:rPr>
          <w:rFonts w:ascii="Times New Roman" w:hAnsi="Times New Roman"/>
          <w:sz w:val="24"/>
          <w:szCs w:val="24"/>
        </w:rPr>
        <w:t>L</w:t>
      </w:r>
      <w:r w:rsidR="0060024F" w:rsidRPr="0008486F">
        <w:rPr>
          <w:rFonts w:ascii="Times New Roman" w:hAnsi="Times New Roman"/>
          <w:sz w:val="24"/>
          <w:szCs w:val="24"/>
        </w:rPr>
        <w:t>a delimitación de casos</w:t>
      </w:r>
      <w:r>
        <w:rPr>
          <w:rFonts w:ascii="Times New Roman" w:hAnsi="Times New Roman"/>
          <w:sz w:val="24"/>
          <w:szCs w:val="24"/>
        </w:rPr>
        <w:t xml:space="preserve"> de estudio entre los </w:t>
      </w:r>
      <w:r w:rsidRPr="00521C7E">
        <w:rPr>
          <w:rFonts w:ascii="Times New Roman" w:hAnsi="Times New Roman"/>
          <w:i/>
          <w:sz w:val="24"/>
          <w:szCs w:val="24"/>
        </w:rPr>
        <w:t>tituli picti</w:t>
      </w:r>
      <w:r w:rsidR="0060024F" w:rsidRPr="0008486F">
        <w:rPr>
          <w:rFonts w:ascii="Times New Roman" w:hAnsi="Times New Roman"/>
          <w:sz w:val="24"/>
          <w:szCs w:val="24"/>
        </w:rPr>
        <w:t xml:space="preserve"> tiene </w:t>
      </w:r>
      <w:r w:rsidR="005D48A2">
        <w:rPr>
          <w:rFonts w:ascii="Times New Roman" w:hAnsi="Times New Roman"/>
          <w:sz w:val="24"/>
          <w:szCs w:val="24"/>
        </w:rPr>
        <w:t>tres</w:t>
      </w:r>
      <w:r w:rsidR="0060024F" w:rsidRPr="0008486F">
        <w:rPr>
          <w:rFonts w:ascii="Times New Roman" w:hAnsi="Times New Roman"/>
          <w:sz w:val="24"/>
          <w:szCs w:val="24"/>
        </w:rPr>
        <w:t xml:space="preserve"> objetivos fundamentales. El primero de ellos es </w:t>
      </w:r>
      <w:r w:rsidR="005D48A2">
        <w:rPr>
          <w:rFonts w:ascii="Times New Roman" w:hAnsi="Times New Roman"/>
          <w:sz w:val="24"/>
          <w:szCs w:val="24"/>
        </w:rPr>
        <w:t>comprender mejor la información disponible. Para ello se presenta</w:t>
      </w:r>
      <w:r w:rsidR="0060024F" w:rsidRPr="0008486F">
        <w:rPr>
          <w:rFonts w:ascii="Times New Roman" w:hAnsi="Times New Roman"/>
          <w:sz w:val="24"/>
          <w:szCs w:val="24"/>
        </w:rPr>
        <w:t xml:space="preserve"> una caracterización de registros-tipo en contextos</w:t>
      </w:r>
      <w:r w:rsidR="008606DE" w:rsidRPr="0008486F">
        <w:rPr>
          <w:rFonts w:ascii="Times New Roman" w:hAnsi="Times New Roman"/>
          <w:sz w:val="24"/>
          <w:szCs w:val="24"/>
        </w:rPr>
        <w:t xml:space="preserve"> historiográficos, arqueológicos y epigráficos </w:t>
      </w:r>
      <w:r w:rsidR="0060024F" w:rsidRPr="0008486F">
        <w:rPr>
          <w:rFonts w:ascii="Times New Roman" w:hAnsi="Times New Roman"/>
          <w:sz w:val="24"/>
          <w:szCs w:val="24"/>
        </w:rPr>
        <w:t>más precisos. E</w:t>
      </w:r>
      <w:r w:rsidR="005D48A2">
        <w:rPr>
          <w:rFonts w:ascii="Times New Roman" w:hAnsi="Times New Roman"/>
          <w:sz w:val="24"/>
          <w:szCs w:val="24"/>
        </w:rPr>
        <w:t>l</w:t>
      </w:r>
      <w:r w:rsidR="0060024F" w:rsidRPr="0008486F">
        <w:rPr>
          <w:rFonts w:ascii="Times New Roman" w:hAnsi="Times New Roman"/>
          <w:sz w:val="24"/>
          <w:szCs w:val="24"/>
        </w:rPr>
        <w:t xml:space="preserve"> segundo </w:t>
      </w:r>
      <w:r w:rsidR="005D48A2">
        <w:rPr>
          <w:rFonts w:ascii="Times New Roman" w:hAnsi="Times New Roman"/>
          <w:sz w:val="24"/>
          <w:szCs w:val="24"/>
        </w:rPr>
        <w:t>es</w:t>
      </w:r>
      <w:r w:rsidR="0060024F" w:rsidRPr="0008486F">
        <w:rPr>
          <w:rFonts w:ascii="Times New Roman" w:hAnsi="Times New Roman"/>
          <w:sz w:val="24"/>
          <w:szCs w:val="24"/>
        </w:rPr>
        <w:t xml:space="preserve"> profundiza</w:t>
      </w:r>
      <w:r w:rsidR="005D48A2">
        <w:rPr>
          <w:rFonts w:ascii="Times New Roman" w:hAnsi="Times New Roman"/>
          <w:sz w:val="24"/>
          <w:szCs w:val="24"/>
        </w:rPr>
        <w:t>r</w:t>
      </w:r>
      <w:r w:rsidR="0060024F" w:rsidRPr="0008486F">
        <w:rPr>
          <w:rFonts w:ascii="Times New Roman" w:hAnsi="Times New Roman"/>
          <w:sz w:val="24"/>
          <w:szCs w:val="24"/>
        </w:rPr>
        <w:t xml:space="preserve"> en la </w:t>
      </w:r>
      <w:r w:rsidR="005D48A2">
        <w:rPr>
          <w:rFonts w:ascii="Times New Roman" w:hAnsi="Times New Roman"/>
          <w:sz w:val="24"/>
          <w:szCs w:val="24"/>
        </w:rPr>
        <w:t xml:space="preserve">aplicación </w:t>
      </w:r>
      <w:r w:rsidR="0060024F" w:rsidRPr="0008486F">
        <w:rPr>
          <w:rFonts w:ascii="Times New Roman" w:hAnsi="Times New Roman"/>
          <w:sz w:val="24"/>
          <w:szCs w:val="24"/>
        </w:rPr>
        <w:t xml:space="preserve">crítica </w:t>
      </w:r>
      <w:r w:rsidR="005D48A2">
        <w:rPr>
          <w:rFonts w:ascii="Times New Roman" w:hAnsi="Times New Roman"/>
          <w:sz w:val="24"/>
          <w:szCs w:val="24"/>
        </w:rPr>
        <w:t xml:space="preserve">de la metodología Codex. El tercero es reducir </w:t>
      </w:r>
      <w:r w:rsidR="0060024F" w:rsidRPr="0008486F">
        <w:rPr>
          <w:rFonts w:ascii="Times New Roman" w:hAnsi="Times New Roman"/>
          <w:sz w:val="24"/>
          <w:szCs w:val="24"/>
        </w:rPr>
        <w:t>la incertidumbre en los datos.</w:t>
      </w:r>
      <w:r w:rsidR="00E33DC7" w:rsidRPr="0008486F">
        <w:rPr>
          <w:rFonts w:ascii="Times New Roman" w:hAnsi="Times New Roman"/>
          <w:sz w:val="24"/>
          <w:szCs w:val="24"/>
        </w:rPr>
        <w:t xml:space="preserve"> </w:t>
      </w:r>
    </w:p>
    <w:p w:rsidR="00186CAA" w:rsidRPr="00F34854" w:rsidRDefault="00E33DC7" w:rsidP="00EF6BAD">
      <w:pPr>
        <w:spacing w:after="0" w:line="360" w:lineRule="auto"/>
        <w:ind w:firstLine="709"/>
        <w:jc w:val="both"/>
        <w:rPr>
          <w:rFonts w:ascii="Times New Roman" w:hAnsi="Times New Roman"/>
          <w:sz w:val="24"/>
          <w:szCs w:val="24"/>
        </w:rPr>
      </w:pPr>
      <w:r w:rsidRPr="0008486F">
        <w:rPr>
          <w:rFonts w:ascii="Times New Roman" w:hAnsi="Times New Roman"/>
          <w:sz w:val="24"/>
          <w:szCs w:val="24"/>
        </w:rPr>
        <w:t>El</w:t>
      </w:r>
      <w:r w:rsidR="007A6F36" w:rsidRPr="0008486F">
        <w:rPr>
          <w:rFonts w:ascii="Times New Roman" w:hAnsi="Times New Roman"/>
          <w:sz w:val="24"/>
          <w:szCs w:val="24"/>
        </w:rPr>
        <w:t xml:space="preserve"> caso seleccionado</w:t>
      </w:r>
      <w:r w:rsidR="00103AB9" w:rsidRPr="0008486F">
        <w:rPr>
          <w:rFonts w:ascii="Times New Roman" w:hAnsi="Times New Roman"/>
          <w:sz w:val="24"/>
          <w:szCs w:val="24"/>
        </w:rPr>
        <w:t xml:space="preserve"> responde a un grupo</w:t>
      </w:r>
      <w:r w:rsidR="007A6F36" w:rsidRPr="0008486F">
        <w:rPr>
          <w:rFonts w:ascii="Times New Roman" w:hAnsi="Times New Roman"/>
          <w:sz w:val="24"/>
          <w:szCs w:val="24"/>
        </w:rPr>
        <w:t xml:space="preserve"> de</w:t>
      </w:r>
      <w:r w:rsidR="00103AB9" w:rsidRPr="0008486F">
        <w:rPr>
          <w:rFonts w:ascii="Times New Roman" w:hAnsi="Times New Roman"/>
          <w:sz w:val="24"/>
          <w:szCs w:val="24"/>
        </w:rPr>
        <w:t xml:space="preserve"> volumen reducido, que facilita</w:t>
      </w:r>
      <w:r w:rsidR="007A6F36" w:rsidRPr="0008486F">
        <w:rPr>
          <w:rFonts w:ascii="Times New Roman" w:hAnsi="Times New Roman"/>
          <w:sz w:val="24"/>
          <w:szCs w:val="24"/>
        </w:rPr>
        <w:t xml:space="preserve"> el examen detenido de las particularidades de cada </w:t>
      </w:r>
      <w:r w:rsidR="007A6F36" w:rsidRPr="0008486F">
        <w:rPr>
          <w:rFonts w:ascii="Times New Roman" w:hAnsi="Times New Roman"/>
          <w:i/>
          <w:sz w:val="24"/>
          <w:szCs w:val="24"/>
        </w:rPr>
        <w:t>conceptum</w:t>
      </w:r>
      <w:r w:rsidR="007A6F36" w:rsidRPr="0008486F">
        <w:rPr>
          <w:rFonts w:ascii="Times New Roman" w:hAnsi="Times New Roman"/>
          <w:sz w:val="24"/>
          <w:szCs w:val="24"/>
        </w:rPr>
        <w:t xml:space="preserve"> y sus conexiones contextuales. </w:t>
      </w:r>
      <w:r w:rsidR="007A6F36" w:rsidRPr="00EF6BAD">
        <w:rPr>
          <w:rFonts w:ascii="Times New Roman" w:hAnsi="Times New Roman"/>
          <w:sz w:val="24"/>
          <w:szCs w:val="24"/>
        </w:rPr>
        <w:t xml:space="preserve">Los </w:t>
      </w:r>
      <w:r w:rsidR="007A6F36" w:rsidRPr="00EF6BAD">
        <w:rPr>
          <w:rFonts w:ascii="Times New Roman" w:hAnsi="Times New Roman"/>
          <w:i/>
          <w:sz w:val="24"/>
          <w:szCs w:val="24"/>
        </w:rPr>
        <w:t>concepta</w:t>
      </w:r>
      <w:r w:rsidR="00EF6BAD" w:rsidRPr="00EF6BAD">
        <w:rPr>
          <w:rFonts w:ascii="Times New Roman" w:hAnsi="Times New Roman"/>
          <w:sz w:val="24"/>
          <w:szCs w:val="24"/>
        </w:rPr>
        <w:t xml:space="preserve"> en </w:t>
      </w:r>
      <w:r w:rsidR="00EF6BAD" w:rsidRPr="00EF6BAD">
        <w:rPr>
          <w:rFonts w:ascii="Times New Roman" w:hAnsi="Times New Roman"/>
          <w:i/>
          <w:sz w:val="24"/>
          <w:szCs w:val="24"/>
        </w:rPr>
        <w:t>g</w:t>
      </w:r>
      <w:r w:rsidR="007A6F36" w:rsidRPr="00EF6BAD">
        <w:rPr>
          <w:rFonts w:ascii="Times New Roman" w:hAnsi="Times New Roman"/>
          <w:i/>
          <w:sz w:val="24"/>
          <w:szCs w:val="24"/>
        </w:rPr>
        <w:t>ilvus</w:t>
      </w:r>
      <w:r w:rsidR="007A6F36" w:rsidRPr="00EF6BAD">
        <w:rPr>
          <w:rFonts w:ascii="Times New Roman" w:hAnsi="Times New Roman"/>
          <w:sz w:val="24"/>
          <w:szCs w:val="24"/>
        </w:rPr>
        <w:t xml:space="preserve"> </w:t>
      </w:r>
      <w:r w:rsidR="00EF6BAD" w:rsidRPr="00EF6BAD">
        <w:rPr>
          <w:rFonts w:ascii="Times New Roman" w:hAnsi="Times New Roman"/>
          <w:sz w:val="24"/>
          <w:szCs w:val="24"/>
        </w:rPr>
        <w:t xml:space="preserve">-tinta amarilla- sobre PO08 </w:t>
      </w:r>
      <w:r w:rsidR="007A6F36" w:rsidRPr="00EF6BAD">
        <w:rPr>
          <w:rFonts w:ascii="Times New Roman" w:hAnsi="Times New Roman"/>
          <w:sz w:val="24"/>
          <w:szCs w:val="24"/>
        </w:rPr>
        <w:t>destacan por su volumen</w:t>
      </w:r>
      <w:r w:rsidR="00EF6BAD" w:rsidRPr="00EF6BAD">
        <w:rPr>
          <w:rFonts w:ascii="Times New Roman" w:hAnsi="Times New Roman"/>
          <w:sz w:val="24"/>
          <w:szCs w:val="24"/>
        </w:rPr>
        <w:t xml:space="preserve"> reducido</w:t>
      </w:r>
      <w:r w:rsidR="007A6F36" w:rsidRPr="00EF6BAD">
        <w:rPr>
          <w:rFonts w:ascii="Times New Roman" w:hAnsi="Times New Roman"/>
          <w:sz w:val="24"/>
          <w:szCs w:val="24"/>
        </w:rPr>
        <w:t xml:space="preserve"> y homogeneidad </w:t>
      </w:r>
      <w:r w:rsidR="00A43C32">
        <w:rPr>
          <w:rFonts w:ascii="Times New Roman" w:hAnsi="Times New Roman"/>
          <w:sz w:val="24"/>
          <w:szCs w:val="24"/>
        </w:rPr>
        <w:t>formal. Se trata de dos secuencias de tres letras</w:t>
      </w:r>
      <w:r w:rsidR="004E5005">
        <w:rPr>
          <w:rFonts w:ascii="Times New Roman" w:hAnsi="Times New Roman"/>
          <w:sz w:val="24"/>
          <w:szCs w:val="24"/>
        </w:rPr>
        <w:t xml:space="preserve"> -AVM y CAR-</w:t>
      </w:r>
      <w:r w:rsidR="00A43C32">
        <w:rPr>
          <w:rFonts w:ascii="Times New Roman" w:hAnsi="Times New Roman"/>
          <w:sz w:val="24"/>
          <w:szCs w:val="24"/>
        </w:rPr>
        <w:t>, distribuidas independientemente sobre 11 ánforas.</w:t>
      </w:r>
      <w:r w:rsidR="00EF6BAD">
        <w:rPr>
          <w:rFonts w:ascii="Times New Roman" w:hAnsi="Times New Roman"/>
          <w:sz w:val="24"/>
          <w:szCs w:val="24"/>
        </w:rPr>
        <w:t xml:space="preserve"> </w:t>
      </w:r>
      <w:r w:rsidR="002A3A6A" w:rsidRPr="0008486F">
        <w:rPr>
          <w:rFonts w:ascii="Times New Roman" w:hAnsi="Times New Roman"/>
          <w:sz w:val="24"/>
          <w:szCs w:val="24"/>
        </w:rPr>
        <w:t xml:space="preserve">Su interpretación se realiza a partir del análisis epigráfico, el establecimiento de paralelismos </w:t>
      </w:r>
      <w:r w:rsidR="00BD7E11">
        <w:rPr>
          <w:rFonts w:ascii="Times New Roman" w:hAnsi="Times New Roman"/>
          <w:sz w:val="24"/>
          <w:szCs w:val="24"/>
        </w:rPr>
        <w:t xml:space="preserve">-incluyendo el </w:t>
      </w:r>
      <w:r w:rsidR="00BD7E11" w:rsidRPr="00BD7E11">
        <w:rPr>
          <w:rFonts w:ascii="Times New Roman" w:hAnsi="Times New Roman"/>
          <w:i/>
          <w:sz w:val="24"/>
          <w:szCs w:val="24"/>
        </w:rPr>
        <w:t>titulus gilvus</w:t>
      </w:r>
      <w:r w:rsidR="00BD7E11">
        <w:rPr>
          <w:rFonts w:ascii="Times New Roman" w:hAnsi="Times New Roman"/>
          <w:sz w:val="24"/>
          <w:szCs w:val="24"/>
        </w:rPr>
        <w:t xml:space="preserve"> TICO- </w:t>
      </w:r>
      <w:r w:rsidR="002A3A6A" w:rsidRPr="0008486F">
        <w:rPr>
          <w:rFonts w:ascii="Times New Roman" w:hAnsi="Times New Roman"/>
          <w:sz w:val="24"/>
          <w:szCs w:val="24"/>
        </w:rPr>
        <w:t xml:space="preserve">y la aplicación de la metodología Codex. De tal forma, se </w:t>
      </w:r>
      <w:r w:rsidR="004E5005">
        <w:rPr>
          <w:rFonts w:ascii="Times New Roman" w:hAnsi="Times New Roman"/>
          <w:sz w:val="24"/>
          <w:szCs w:val="24"/>
        </w:rPr>
        <w:t>interpretan</w:t>
      </w:r>
      <w:r w:rsidR="002A3A6A" w:rsidRPr="0008486F">
        <w:rPr>
          <w:rFonts w:ascii="Times New Roman" w:hAnsi="Times New Roman"/>
          <w:sz w:val="24"/>
          <w:szCs w:val="24"/>
        </w:rPr>
        <w:t xml:space="preserve"> como </w:t>
      </w:r>
      <w:r w:rsidR="002A3A6A" w:rsidRPr="0008486F">
        <w:rPr>
          <w:rFonts w:ascii="Times New Roman" w:hAnsi="Times New Roman"/>
          <w:i/>
          <w:sz w:val="24"/>
          <w:szCs w:val="24"/>
        </w:rPr>
        <w:t>tria nomina</w:t>
      </w:r>
      <w:r w:rsidR="002A3A6A" w:rsidRPr="0008486F">
        <w:rPr>
          <w:rFonts w:ascii="Times New Roman" w:hAnsi="Times New Roman"/>
          <w:sz w:val="24"/>
          <w:szCs w:val="24"/>
        </w:rPr>
        <w:t xml:space="preserve"> abreviados, asociables a determinados individuos de la prosopografía pomp</w:t>
      </w:r>
      <w:r w:rsidR="006D5436">
        <w:rPr>
          <w:rFonts w:ascii="Times New Roman" w:hAnsi="Times New Roman"/>
          <w:sz w:val="24"/>
          <w:szCs w:val="24"/>
        </w:rPr>
        <w:t>eyana</w:t>
      </w:r>
      <w:r w:rsidR="002A3A6A" w:rsidRPr="0008486F">
        <w:rPr>
          <w:rFonts w:ascii="Times New Roman" w:hAnsi="Times New Roman"/>
          <w:sz w:val="24"/>
          <w:szCs w:val="24"/>
        </w:rPr>
        <w:t>.</w:t>
      </w:r>
    </w:p>
    <w:p w:rsidR="00186CAA" w:rsidRPr="00186CAA" w:rsidRDefault="00A43C32" w:rsidP="00F34854">
      <w:pPr>
        <w:spacing w:after="0" w:line="360" w:lineRule="auto"/>
        <w:ind w:firstLine="709"/>
        <w:jc w:val="both"/>
        <w:rPr>
          <w:rFonts w:ascii="Times New Roman" w:hAnsi="Times New Roman"/>
          <w:i/>
          <w:sz w:val="24"/>
          <w:szCs w:val="24"/>
        </w:rPr>
      </w:pPr>
      <w:r>
        <w:rPr>
          <w:rFonts w:ascii="Times New Roman" w:hAnsi="Times New Roman"/>
          <w:i/>
          <w:sz w:val="24"/>
          <w:szCs w:val="24"/>
        </w:rPr>
        <w:t>3.1. AV</w:t>
      </w:r>
      <w:r w:rsidR="00186CAA" w:rsidRPr="00186CAA">
        <w:rPr>
          <w:rFonts w:ascii="Times New Roman" w:hAnsi="Times New Roman"/>
          <w:i/>
          <w:sz w:val="24"/>
          <w:szCs w:val="24"/>
        </w:rPr>
        <w:t>M</w:t>
      </w:r>
    </w:p>
    <w:p w:rsidR="00B8745F" w:rsidRPr="0008486F" w:rsidRDefault="00A43C32" w:rsidP="00F34854">
      <w:pPr>
        <w:spacing w:after="0" w:line="360" w:lineRule="auto"/>
        <w:ind w:firstLine="709"/>
        <w:jc w:val="both"/>
        <w:rPr>
          <w:rFonts w:ascii="Times New Roman" w:hAnsi="Times New Roman"/>
          <w:sz w:val="24"/>
          <w:szCs w:val="24"/>
        </w:rPr>
      </w:pPr>
      <w:r>
        <w:rPr>
          <w:rFonts w:ascii="Times New Roman" w:hAnsi="Times New Roman"/>
          <w:sz w:val="24"/>
          <w:szCs w:val="24"/>
        </w:rPr>
        <w:t>Sólo un</w:t>
      </w:r>
      <w:r w:rsidR="004E5005">
        <w:rPr>
          <w:rFonts w:ascii="Times New Roman" w:hAnsi="Times New Roman"/>
          <w:sz w:val="24"/>
          <w:szCs w:val="24"/>
        </w:rPr>
        <w:t>a</w:t>
      </w:r>
      <w:r w:rsidR="00DF66CC" w:rsidRPr="0008486F">
        <w:rPr>
          <w:rFonts w:ascii="Times New Roman" w:hAnsi="Times New Roman"/>
          <w:sz w:val="24"/>
          <w:szCs w:val="24"/>
        </w:rPr>
        <w:t xml:space="preserve"> </w:t>
      </w:r>
      <w:r>
        <w:rPr>
          <w:rFonts w:ascii="Times New Roman" w:hAnsi="Times New Roman"/>
          <w:sz w:val="24"/>
          <w:szCs w:val="24"/>
        </w:rPr>
        <w:t xml:space="preserve">PO08 </w:t>
      </w:r>
      <w:r w:rsidR="00DF66CC" w:rsidRPr="0008486F">
        <w:rPr>
          <w:rFonts w:ascii="Times New Roman" w:hAnsi="Times New Roman"/>
          <w:sz w:val="24"/>
          <w:szCs w:val="24"/>
        </w:rPr>
        <w:t>est</w:t>
      </w:r>
      <w:r w:rsidR="003A775D" w:rsidRPr="0008486F">
        <w:rPr>
          <w:rFonts w:ascii="Times New Roman" w:hAnsi="Times New Roman"/>
          <w:sz w:val="24"/>
          <w:szCs w:val="24"/>
        </w:rPr>
        <w:t xml:space="preserve">á marcada con el </w:t>
      </w:r>
      <w:r w:rsidR="003A775D" w:rsidRPr="0008486F">
        <w:rPr>
          <w:rFonts w:ascii="Times New Roman" w:hAnsi="Times New Roman"/>
          <w:i/>
          <w:sz w:val="24"/>
          <w:szCs w:val="24"/>
        </w:rPr>
        <w:t xml:space="preserve">titulus </w:t>
      </w:r>
      <w:r w:rsidR="004E5005">
        <w:rPr>
          <w:rFonts w:ascii="Times New Roman" w:hAnsi="Times New Roman"/>
          <w:sz w:val="24"/>
          <w:szCs w:val="24"/>
        </w:rPr>
        <w:t xml:space="preserve">en </w:t>
      </w:r>
      <w:r w:rsidR="004E5005">
        <w:rPr>
          <w:rFonts w:ascii="Times New Roman" w:hAnsi="Times New Roman"/>
          <w:i/>
          <w:sz w:val="24"/>
          <w:szCs w:val="24"/>
        </w:rPr>
        <w:t xml:space="preserve">gilvus </w:t>
      </w:r>
      <w:r w:rsidR="003A775D" w:rsidRPr="00A43C32">
        <w:rPr>
          <w:rFonts w:ascii="Times New Roman" w:hAnsi="Times New Roman"/>
          <w:sz w:val="24"/>
          <w:szCs w:val="24"/>
        </w:rPr>
        <w:t>A</w:t>
      </w:r>
      <w:r w:rsidRPr="00A43C32">
        <w:rPr>
          <w:rFonts w:ascii="Times New Roman" w:hAnsi="Times New Roman"/>
          <w:sz w:val="24"/>
          <w:szCs w:val="24"/>
        </w:rPr>
        <w:t>V</w:t>
      </w:r>
      <w:r w:rsidR="00DF66CC" w:rsidRPr="00A43C32">
        <w:rPr>
          <w:rFonts w:ascii="Times New Roman" w:hAnsi="Times New Roman"/>
          <w:sz w:val="24"/>
          <w:szCs w:val="24"/>
        </w:rPr>
        <w:t>M</w:t>
      </w:r>
      <w:r w:rsidR="003A775D" w:rsidRPr="0008486F">
        <w:rPr>
          <w:rStyle w:val="FootnoteReference"/>
          <w:rFonts w:ascii="Times New Roman" w:hAnsi="Times New Roman"/>
          <w:sz w:val="24"/>
          <w:szCs w:val="24"/>
        </w:rPr>
        <w:footnoteReference w:id="12"/>
      </w:r>
      <w:r w:rsidR="00DF66CC" w:rsidRPr="0008486F">
        <w:rPr>
          <w:rFonts w:ascii="Times New Roman" w:hAnsi="Times New Roman"/>
          <w:sz w:val="24"/>
          <w:szCs w:val="24"/>
        </w:rPr>
        <w:t xml:space="preserve">. </w:t>
      </w:r>
      <w:r w:rsidR="003073FC" w:rsidRPr="0008486F">
        <w:rPr>
          <w:rFonts w:ascii="Times New Roman" w:hAnsi="Times New Roman"/>
          <w:sz w:val="24"/>
          <w:szCs w:val="24"/>
        </w:rPr>
        <w:t xml:space="preserve">Esta secuencia de letras se repite con diversas tintas </w:t>
      </w:r>
      <w:r w:rsidR="00D27225" w:rsidRPr="0008486F">
        <w:rPr>
          <w:rFonts w:ascii="Times New Roman" w:hAnsi="Times New Roman"/>
          <w:sz w:val="24"/>
          <w:szCs w:val="24"/>
        </w:rPr>
        <w:t xml:space="preserve">y grafía </w:t>
      </w:r>
      <w:r w:rsidR="003073FC" w:rsidRPr="0008486F">
        <w:rPr>
          <w:rFonts w:ascii="Times New Roman" w:hAnsi="Times New Roman"/>
          <w:sz w:val="24"/>
          <w:szCs w:val="24"/>
        </w:rPr>
        <w:t xml:space="preserve">sobre </w:t>
      </w:r>
      <w:r>
        <w:rPr>
          <w:rFonts w:ascii="Times New Roman" w:hAnsi="Times New Roman"/>
          <w:sz w:val="24"/>
          <w:szCs w:val="24"/>
        </w:rPr>
        <w:t xml:space="preserve">otras </w:t>
      </w:r>
      <w:r w:rsidR="00BC62CF" w:rsidRPr="0008486F">
        <w:rPr>
          <w:rFonts w:ascii="Times New Roman" w:hAnsi="Times New Roman"/>
          <w:sz w:val="24"/>
          <w:szCs w:val="24"/>
        </w:rPr>
        <w:t>1</w:t>
      </w:r>
      <w:r>
        <w:rPr>
          <w:rFonts w:ascii="Times New Roman" w:hAnsi="Times New Roman"/>
          <w:sz w:val="24"/>
          <w:szCs w:val="24"/>
        </w:rPr>
        <w:t>7</w:t>
      </w:r>
      <w:r w:rsidR="003073FC" w:rsidRPr="0008486F">
        <w:rPr>
          <w:rFonts w:ascii="Times New Roman" w:hAnsi="Times New Roman"/>
          <w:sz w:val="24"/>
          <w:szCs w:val="24"/>
        </w:rPr>
        <w:t xml:space="preserve"> ánforas de distinta tipología</w:t>
      </w:r>
      <w:r w:rsidR="00DE046C" w:rsidRPr="0008486F">
        <w:rPr>
          <w:rStyle w:val="FootnoteReference"/>
          <w:rFonts w:ascii="Times New Roman" w:hAnsi="Times New Roman"/>
          <w:sz w:val="24"/>
          <w:szCs w:val="24"/>
        </w:rPr>
        <w:footnoteReference w:id="13"/>
      </w:r>
      <w:r w:rsidR="003073FC" w:rsidRPr="0008486F">
        <w:rPr>
          <w:rFonts w:ascii="Times New Roman" w:hAnsi="Times New Roman"/>
          <w:sz w:val="24"/>
          <w:szCs w:val="24"/>
        </w:rPr>
        <w:t xml:space="preserve">. </w:t>
      </w:r>
      <w:r w:rsidR="00B8745F" w:rsidRPr="0008486F">
        <w:rPr>
          <w:rFonts w:ascii="Times New Roman" w:hAnsi="Times New Roman"/>
          <w:sz w:val="24"/>
          <w:szCs w:val="24"/>
        </w:rPr>
        <w:t xml:space="preserve">Sólo para 6 de </w:t>
      </w:r>
      <w:r w:rsidR="00DB68AF" w:rsidRPr="0008486F">
        <w:rPr>
          <w:rFonts w:ascii="Times New Roman" w:hAnsi="Times New Roman"/>
          <w:sz w:val="24"/>
          <w:szCs w:val="24"/>
        </w:rPr>
        <w:t>ellas</w:t>
      </w:r>
      <w:r w:rsidR="00572718">
        <w:rPr>
          <w:rStyle w:val="FootnoteReference"/>
          <w:rFonts w:ascii="Times New Roman" w:hAnsi="Times New Roman"/>
          <w:sz w:val="24"/>
          <w:szCs w:val="24"/>
        </w:rPr>
        <w:footnoteReference w:id="14"/>
      </w:r>
      <w:r w:rsidR="00B8745F" w:rsidRPr="0008486F">
        <w:rPr>
          <w:rFonts w:ascii="Times New Roman" w:hAnsi="Times New Roman"/>
          <w:sz w:val="24"/>
          <w:szCs w:val="24"/>
        </w:rPr>
        <w:t xml:space="preserve"> se ha transmitido algún tipo de información sobre el contexto específico del hallazgo. Se localizaron en distintos puntos de la ciudad y el agro pompeyano, efectuándose las excavaciones entre 1872 y 1962.</w:t>
      </w:r>
    </w:p>
    <w:p w:rsidR="003F7217" w:rsidRPr="0008486F" w:rsidRDefault="003073FC" w:rsidP="00F34854">
      <w:pPr>
        <w:spacing w:after="0" w:line="360" w:lineRule="auto"/>
        <w:ind w:firstLine="709"/>
        <w:jc w:val="both"/>
        <w:rPr>
          <w:rFonts w:ascii="Times New Roman" w:hAnsi="Times New Roman"/>
          <w:sz w:val="24"/>
          <w:szCs w:val="24"/>
        </w:rPr>
      </w:pPr>
      <w:r w:rsidRPr="0008486F">
        <w:rPr>
          <w:rFonts w:ascii="Times New Roman" w:hAnsi="Times New Roman"/>
          <w:sz w:val="24"/>
          <w:szCs w:val="24"/>
        </w:rPr>
        <w:t>La presencia de interpunciones en algunos casos</w:t>
      </w:r>
      <w:r w:rsidR="00C9105F" w:rsidRPr="0008486F">
        <w:rPr>
          <w:rStyle w:val="FootnoteReference"/>
          <w:rFonts w:ascii="Times New Roman" w:hAnsi="Times New Roman"/>
          <w:sz w:val="24"/>
          <w:szCs w:val="24"/>
        </w:rPr>
        <w:footnoteReference w:id="15"/>
      </w:r>
      <w:r w:rsidRPr="0008486F">
        <w:rPr>
          <w:rFonts w:ascii="Times New Roman" w:hAnsi="Times New Roman"/>
          <w:sz w:val="24"/>
          <w:szCs w:val="24"/>
        </w:rPr>
        <w:t xml:space="preserve"> permite su agrupación hipotética como siglas de un mismo </w:t>
      </w:r>
      <w:r w:rsidRPr="0008486F">
        <w:rPr>
          <w:rFonts w:ascii="Times New Roman" w:hAnsi="Times New Roman"/>
          <w:i/>
          <w:sz w:val="24"/>
          <w:szCs w:val="24"/>
        </w:rPr>
        <w:t>tria n</w:t>
      </w:r>
      <w:r w:rsidR="003F7217" w:rsidRPr="0008486F">
        <w:rPr>
          <w:rFonts w:ascii="Times New Roman" w:hAnsi="Times New Roman"/>
          <w:i/>
          <w:sz w:val="24"/>
          <w:szCs w:val="24"/>
        </w:rPr>
        <w:t>omina</w:t>
      </w:r>
      <w:r w:rsidR="003F7217" w:rsidRPr="0008486F">
        <w:rPr>
          <w:rFonts w:ascii="Times New Roman" w:hAnsi="Times New Roman"/>
          <w:sz w:val="24"/>
          <w:szCs w:val="24"/>
        </w:rPr>
        <w:t xml:space="preserve">. Esta abreviatura podría corresponder a </w:t>
      </w:r>
      <w:r w:rsidR="003F7217" w:rsidRPr="00CC129E">
        <w:rPr>
          <w:rFonts w:ascii="Times New Roman" w:hAnsi="Times New Roman"/>
          <w:i/>
          <w:sz w:val="24"/>
          <w:szCs w:val="24"/>
        </w:rPr>
        <w:t>A. Umbricius Modestus</w:t>
      </w:r>
      <w:r w:rsidR="00076E57" w:rsidRPr="0008486F">
        <w:rPr>
          <w:rStyle w:val="FootnoteReference"/>
          <w:rFonts w:ascii="Times New Roman" w:hAnsi="Times New Roman"/>
          <w:sz w:val="24"/>
          <w:szCs w:val="24"/>
        </w:rPr>
        <w:footnoteReference w:id="16"/>
      </w:r>
      <w:r w:rsidR="003F7217" w:rsidRPr="0008486F">
        <w:rPr>
          <w:rFonts w:ascii="Times New Roman" w:hAnsi="Times New Roman"/>
          <w:sz w:val="24"/>
          <w:szCs w:val="24"/>
        </w:rPr>
        <w:t xml:space="preserve"> o </w:t>
      </w:r>
      <w:r w:rsidR="003F7217" w:rsidRPr="00CC129E">
        <w:rPr>
          <w:rFonts w:ascii="Times New Roman" w:hAnsi="Times New Roman"/>
          <w:i/>
          <w:sz w:val="24"/>
          <w:szCs w:val="24"/>
        </w:rPr>
        <w:t>A. Virnius Modestus</w:t>
      </w:r>
      <w:r w:rsidR="00076E57" w:rsidRPr="0008486F">
        <w:rPr>
          <w:rStyle w:val="FootnoteReference"/>
          <w:rFonts w:ascii="Times New Roman" w:hAnsi="Times New Roman"/>
          <w:sz w:val="24"/>
          <w:szCs w:val="24"/>
        </w:rPr>
        <w:footnoteReference w:id="17"/>
      </w:r>
      <w:r w:rsidR="003F7217" w:rsidRPr="0008486F">
        <w:rPr>
          <w:rFonts w:ascii="Times New Roman" w:hAnsi="Times New Roman"/>
          <w:sz w:val="24"/>
          <w:szCs w:val="24"/>
        </w:rPr>
        <w:t xml:space="preserve">. Ambos serían probables residentes de </w:t>
      </w:r>
      <w:r w:rsidR="003F7217" w:rsidRPr="0008486F">
        <w:rPr>
          <w:rFonts w:ascii="Times New Roman" w:hAnsi="Times New Roman"/>
          <w:i/>
          <w:sz w:val="24"/>
          <w:szCs w:val="24"/>
        </w:rPr>
        <w:t>Pompeii</w:t>
      </w:r>
      <w:r w:rsidR="00D42A55" w:rsidRPr="0008486F">
        <w:rPr>
          <w:rFonts w:ascii="Times New Roman" w:hAnsi="Times New Roman"/>
          <w:sz w:val="24"/>
          <w:szCs w:val="24"/>
        </w:rPr>
        <w:t xml:space="preserve">, a juzgar por el tipo de documentos en los que aparecen. El primero de ellos </w:t>
      </w:r>
      <w:r w:rsidR="00AB60AD" w:rsidRPr="0008486F">
        <w:rPr>
          <w:rFonts w:ascii="Times New Roman" w:hAnsi="Times New Roman"/>
          <w:sz w:val="24"/>
          <w:szCs w:val="24"/>
        </w:rPr>
        <w:t>es mencionado en el</w:t>
      </w:r>
      <w:r w:rsidR="00D42A55" w:rsidRPr="0008486F">
        <w:rPr>
          <w:rFonts w:ascii="Times New Roman" w:hAnsi="Times New Roman"/>
          <w:sz w:val="24"/>
          <w:szCs w:val="24"/>
        </w:rPr>
        <w:t xml:space="preserve"> archivo d</w:t>
      </w:r>
      <w:r w:rsidR="008B3916" w:rsidRPr="0008486F">
        <w:rPr>
          <w:rFonts w:ascii="Times New Roman" w:hAnsi="Times New Roman"/>
          <w:sz w:val="24"/>
          <w:szCs w:val="24"/>
        </w:rPr>
        <w:t xml:space="preserve">e </w:t>
      </w:r>
      <w:r w:rsidR="008B3916" w:rsidRPr="00CC129E">
        <w:rPr>
          <w:rFonts w:ascii="Times New Roman" w:hAnsi="Times New Roman"/>
          <w:i/>
          <w:sz w:val="24"/>
          <w:szCs w:val="24"/>
        </w:rPr>
        <w:t>Iucundus</w:t>
      </w:r>
      <w:r w:rsidR="008B3916" w:rsidRPr="0008486F">
        <w:rPr>
          <w:rStyle w:val="FootnoteReference"/>
          <w:rFonts w:ascii="Times New Roman" w:hAnsi="Times New Roman"/>
          <w:sz w:val="24"/>
          <w:szCs w:val="24"/>
        </w:rPr>
        <w:footnoteReference w:id="18"/>
      </w:r>
      <w:r w:rsidR="008B3916" w:rsidRPr="0008486F">
        <w:rPr>
          <w:rFonts w:ascii="Times New Roman" w:hAnsi="Times New Roman"/>
          <w:sz w:val="24"/>
          <w:szCs w:val="24"/>
        </w:rPr>
        <w:t xml:space="preserve">, interviniendo en </w:t>
      </w:r>
      <w:r w:rsidR="00D86DEA" w:rsidRPr="0008486F">
        <w:rPr>
          <w:rFonts w:ascii="Times New Roman" w:hAnsi="Times New Roman"/>
          <w:sz w:val="24"/>
          <w:szCs w:val="24"/>
        </w:rPr>
        <w:t xml:space="preserve">dos </w:t>
      </w:r>
      <w:r w:rsidR="008B3916" w:rsidRPr="0008486F">
        <w:rPr>
          <w:rFonts w:ascii="Times New Roman" w:hAnsi="Times New Roman"/>
          <w:sz w:val="24"/>
          <w:szCs w:val="24"/>
        </w:rPr>
        <w:t>transacciones</w:t>
      </w:r>
      <w:r w:rsidR="00D42A55" w:rsidRPr="0008486F">
        <w:rPr>
          <w:rFonts w:ascii="Times New Roman" w:hAnsi="Times New Roman"/>
          <w:sz w:val="24"/>
          <w:szCs w:val="24"/>
        </w:rPr>
        <w:t xml:space="preserve">. </w:t>
      </w:r>
      <w:r w:rsidR="00D86DEA" w:rsidRPr="0008486F">
        <w:rPr>
          <w:rFonts w:ascii="Times New Roman" w:hAnsi="Times New Roman"/>
          <w:sz w:val="24"/>
          <w:szCs w:val="24"/>
        </w:rPr>
        <w:t>Además,</w:t>
      </w:r>
      <w:r w:rsidR="00D42A55" w:rsidRPr="0008486F">
        <w:rPr>
          <w:rFonts w:ascii="Times New Roman" w:hAnsi="Times New Roman"/>
          <w:sz w:val="24"/>
          <w:szCs w:val="24"/>
        </w:rPr>
        <w:t xml:space="preserve"> es relacionable con la </w:t>
      </w:r>
      <w:r w:rsidR="00D42A55" w:rsidRPr="0008486F">
        <w:rPr>
          <w:rFonts w:ascii="Times New Roman" w:hAnsi="Times New Roman"/>
          <w:i/>
          <w:sz w:val="24"/>
          <w:szCs w:val="24"/>
        </w:rPr>
        <w:t>gens</w:t>
      </w:r>
      <w:r w:rsidR="00D42A55" w:rsidRPr="0008486F">
        <w:rPr>
          <w:rFonts w:ascii="Times New Roman" w:hAnsi="Times New Roman"/>
          <w:sz w:val="24"/>
          <w:szCs w:val="24"/>
        </w:rPr>
        <w:t xml:space="preserve"> </w:t>
      </w:r>
      <w:r w:rsidR="00D42A55" w:rsidRPr="00CC129E">
        <w:rPr>
          <w:rFonts w:ascii="Times New Roman" w:hAnsi="Times New Roman"/>
          <w:i/>
          <w:sz w:val="24"/>
          <w:szCs w:val="24"/>
        </w:rPr>
        <w:t>Umbricia</w:t>
      </w:r>
      <w:r w:rsidR="00D42A55" w:rsidRPr="0008486F">
        <w:rPr>
          <w:rFonts w:ascii="Times New Roman" w:hAnsi="Times New Roman"/>
          <w:sz w:val="24"/>
          <w:szCs w:val="24"/>
        </w:rPr>
        <w:t xml:space="preserve">, conocida por la elaboración de </w:t>
      </w:r>
      <w:r w:rsidR="00D42A55" w:rsidRPr="0008486F">
        <w:rPr>
          <w:rFonts w:ascii="Times New Roman" w:hAnsi="Times New Roman"/>
          <w:i/>
          <w:sz w:val="24"/>
          <w:szCs w:val="24"/>
        </w:rPr>
        <w:t>salsamenta</w:t>
      </w:r>
      <w:r w:rsidR="00D42A55" w:rsidRPr="0008486F">
        <w:rPr>
          <w:rFonts w:ascii="Times New Roman" w:hAnsi="Times New Roman"/>
          <w:sz w:val="24"/>
          <w:szCs w:val="24"/>
        </w:rPr>
        <w:t xml:space="preserve"> envasada en </w:t>
      </w:r>
      <w:r w:rsidR="00D42A55" w:rsidRPr="0008486F">
        <w:rPr>
          <w:rFonts w:ascii="Times New Roman" w:hAnsi="Times New Roman"/>
          <w:i/>
          <w:sz w:val="24"/>
          <w:szCs w:val="24"/>
        </w:rPr>
        <w:t>urcei</w:t>
      </w:r>
      <w:r w:rsidR="004F15DA" w:rsidRPr="0008486F">
        <w:rPr>
          <w:rFonts w:ascii="Times New Roman" w:hAnsi="Times New Roman"/>
          <w:sz w:val="24"/>
          <w:szCs w:val="24"/>
        </w:rPr>
        <w:t xml:space="preserve"> PO06</w:t>
      </w:r>
      <w:r w:rsidR="004F15DA" w:rsidRPr="0008486F">
        <w:rPr>
          <w:rStyle w:val="FootnoteReference"/>
          <w:rFonts w:ascii="Times New Roman" w:hAnsi="Times New Roman"/>
          <w:sz w:val="24"/>
          <w:szCs w:val="24"/>
        </w:rPr>
        <w:footnoteReference w:id="19"/>
      </w:r>
      <w:r w:rsidR="004F15DA" w:rsidRPr="0008486F">
        <w:rPr>
          <w:rFonts w:ascii="Times New Roman" w:hAnsi="Times New Roman"/>
          <w:sz w:val="24"/>
          <w:szCs w:val="24"/>
        </w:rPr>
        <w:t xml:space="preserve">. Estos recipientes con sus </w:t>
      </w:r>
      <w:r w:rsidR="004F15DA" w:rsidRPr="0008486F">
        <w:rPr>
          <w:rFonts w:ascii="Times New Roman" w:hAnsi="Times New Roman"/>
          <w:i/>
          <w:sz w:val="24"/>
          <w:szCs w:val="24"/>
        </w:rPr>
        <w:t>tituli</w:t>
      </w:r>
      <w:r w:rsidR="004F15DA" w:rsidRPr="0008486F">
        <w:rPr>
          <w:rFonts w:ascii="Times New Roman" w:hAnsi="Times New Roman"/>
          <w:sz w:val="24"/>
          <w:szCs w:val="24"/>
        </w:rPr>
        <w:t xml:space="preserve"> fueron </w:t>
      </w:r>
      <w:r w:rsidR="00D42A55" w:rsidRPr="0008486F">
        <w:rPr>
          <w:rFonts w:ascii="Times New Roman" w:hAnsi="Times New Roman"/>
          <w:sz w:val="24"/>
          <w:szCs w:val="24"/>
        </w:rPr>
        <w:t xml:space="preserve">representados en un mosaico de </w:t>
      </w:r>
      <w:r w:rsidR="00D42A55" w:rsidRPr="0008486F">
        <w:rPr>
          <w:rFonts w:ascii="Times New Roman" w:hAnsi="Times New Roman"/>
          <w:i/>
          <w:sz w:val="24"/>
          <w:szCs w:val="24"/>
        </w:rPr>
        <w:t>Pompeii</w:t>
      </w:r>
      <w:r w:rsidR="00B8745F" w:rsidRPr="0008486F">
        <w:rPr>
          <w:rFonts w:ascii="Times New Roman" w:hAnsi="Times New Roman"/>
          <w:sz w:val="24"/>
          <w:szCs w:val="24"/>
        </w:rPr>
        <w:t xml:space="preserve"> (VII, 16, 15, 2, </w:t>
      </w:r>
      <w:r w:rsidR="00B8745F" w:rsidRPr="0008486F">
        <w:rPr>
          <w:rFonts w:ascii="Times New Roman" w:hAnsi="Times New Roman"/>
          <w:i/>
          <w:sz w:val="24"/>
          <w:szCs w:val="24"/>
        </w:rPr>
        <w:t>atrium</w:t>
      </w:r>
      <w:r w:rsidR="00B8745F" w:rsidRPr="0008486F">
        <w:rPr>
          <w:rFonts w:ascii="Times New Roman" w:hAnsi="Times New Roman"/>
          <w:sz w:val="24"/>
          <w:szCs w:val="24"/>
        </w:rPr>
        <w:t>)</w:t>
      </w:r>
      <w:r w:rsidR="00AC58BF" w:rsidRPr="0008486F">
        <w:rPr>
          <w:rStyle w:val="FootnoteReference"/>
          <w:rFonts w:ascii="Times New Roman" w:hAnsi="Times New Roman"/>
          <w:sz w:val="24"/>
          <w:szCs w:val="24"/>
        </w:rPr>
        <w:footnoteReference w:id="20"/>
      </w:r>
      <w:r w:rsidR="00B8745F" w:rsidRPr="0008486F">
        <w:rPr>
          <w:rFonts w:ascii="Times New Roman" w:hAnsi="Times New Roman"/>
          <w:sz w:val="24"/>
          <w:szCs w:val="24"/>
        </w:rPr>
        <w:t>.</w:t>
      </w:r>
      <w:r w:rsidR="00D42A55" w:rsidRPr="0008486F">
        <w:rPr>
          <w:rFonts w:ascii="Times New Roman" w:hAnsi="Times New Roman"/>
          <w:sz w:val="24"/>
          <w:szCs w:val="24"/>
        </w:rPr>
        <w:t xml:space="preserve"> Precisamente sobre uno de estos recipientes aparece </w:t>
      </w:r>
      <w:r w:rsidR="00D42A55" w:rsidRPr="00CC129E">
        <w:rPr>
          <w:rFonts w:ascii="Times New Roman" w:hAnsi="Times New Roman"/>
          <w:i/>
          <w:sz w:val="24"/>
          <w:szCs w:val="24"/>
        </w:rPr>
        <w:t>A. Virnius Modestus</w:t>
      </w:r>
      <w:r w:rsidR="006756DF" w:rsidRPr="0008486F">
        <w:rPr>
          <w:rStyle w:val="FootnoteReference"/>
          <w:rFonts w:ascii="Times New Roman" w:hAnsi="Times New Roman"/>
          <w:sz w:val="24"/>
          <w:szCs w:val="24"/>
        </w:rPr>
        <w:footnoteReference w:id="21"/>
      </w:r>
      <w:r w:rsidR="00D42A55" w:rsidRPr="0008486F">
        <w:rPr>
          <w:rFonts w:ascii="Times New Roman" w:hAnsi="Times New Roman"/>
          <w:sz w:val="24"/>
          <w:szCs w:val="24"/>
        </w:rPr>
        <w:t xml:space="preserve">, como destinatario </w:t>
      </w:r>
      <w:r w:rsidR="00DB68AF" w:rsidRPr="0008486F">
        <w:rPr>
          <w:rFonts w:ascii="Times New Roman" w:hAnsi="Times New Roman"/>
          <w:sz w:val="24"/>
          <w:szCs w:val="24"/>
        </w:rPr>
        <w:t>del</w:t>
      </w:r>
      <w:r w:rsidR="00D42A55" w:rsidRPr="0008486F">
        <w:rPr>
          <w:rFonts w:ascii="Times New Roman" w:hAnsi="Times New Roman"/>
          <w:sz w:val="24"/>
          <w:szCs w:val="24"/>
        </w:rPr>
        <w:t xml:space="preserve"> producto.</w:t>
      </w:r>
    </w:p>
    <w:p w:rsidR="00054312" w:rsidRPr="0008486F" w:rsidRDefault="003073FC" w:rsidP="00F34854">
      <w:pPr>
        <w:spacing w:after="0" w:line="360" w:lineRule="auto"/>
        <w:ind w:firstLine="709"/>
        <w:jc w:val="both"/>
        <w:rPr>
          <w:rFonts w:ascii="Times New Roman" w:hAnsi="Times New Roman"/>
          <w:sz w:val="24"/>
          <w:szCs w:val="24"/>
        </w:rPr>
      </w:pPr>
      <w:r w:rsidRPr="0008486F">
        <w:rPr>
          <w:rFonts w:ascii="Times New Roman" w:hAnsi="Times New Roman"/>
          <w:sz w:val="24"/>
          <w:szCs w:val="24"/>
        </w:rPr>
        <w:t xml:space="preserve">Destaca la reiteración de otros </w:t>
      </w:r>
      <w:r w:rsidRPr="0008486F">
        <w:rPr>
          <w:rFonts w:ascii="Times New Roman" w:hAnsi="Times New Roman"/>
          <w:i/>
          <w:sz w:val="24"/>
          <w:szCs w:val="24"/>
        </w:rPr>
        <w:t>tituli</w:t>
      </w:r>
      <w:r w:rsidRPr="0008486F">
        <w:rPr>
          <w:rFonts w:ascii="Times New Roman" w:hAnsi="Times New Roman"/>
          <w:sz w:val="24"/>
          <w:szCs w:val="24"/>
        </w:rPr>
        <w:t xml:space="preserve"> que cohesionan </w:t>
      </w:r>
      <w:r w:rsidR="00833DFA">
        <w:rPr>
          <w:rFonts w:ascii="Times New Roman" w:hAnsi="Times New Roman"/>
          <w:sz w:val="24"/>
          <w:szCs w:val="24"/>
        </w:rPr>
        <w:t>el conjunto anfórico comentado</w:t>
      </w:r>
      <w:r w:rsidR="00336C61">
        <w:rPr>
          <w:rFonts w:ascii="Times New Roman" w:hAnsi="Times New Roman"/>
          <w:sz w:val="24"/>
          <w:szCs w:val="24"/>
        </w:rPr>
        <w:t xml:space="preserve">, como </w:t>
      </w:r>
      <w:r w:rsidRPr="0008486F">
        <w:rPr>
          <w:rFonts w:ascii="Times New Roman" w:hAnsi="Times New Roman"/>
          <w:sz w:val="24"/>
          <w:szCs w:val="24"/>
        </w:rPr>
        <w:t xml:space="preserve">el </w:t>
      </w:r>
      <w:r w:rsidRPr="0008486F">
        <w:rPr>
          <w:rFonts w:ascii="Times New Roman" w:hAnsi="Times New Roman"/>
          <w:i/>
          <w:sz w:val="24"/>
          <w:szCs w:val="24"/>
        </w:rPr>
        <w:t xml:space="preserve">titulus lapide viridi </w:t>
      </w:r>
      <w:r w:rsidR="00966B04" w:rsidRPr="00336C61">
        <w:rPr>
          <w:rFonts w:ascii="Times New Roman" w:hAnsi="Times New Roman"/>
          <w:sz w:val="24"/>
          <w:szCs w:val="24"/>
        </w:rPr>
        <w:t>AN</w:t>
      </w:r>
      <w:r w:rsidR="00DB68AF" w:rsidRPr="00336C61">
        <w:rPr>
          <w:rStyle w:val="FootnoteReference"/>
          <w:rFonts w:ascii="Times New Roman" w:hAnsi="Times New Roman"/>
          <w:sz w:val="24"/>
          <w:szCs w:val="24"/>
        </w:rPr>
        <w:footnoteReference w:id="22"/>
      </w:r>
      <w:r w:rsidR="005364D3" w:rsidRPr="00336C61">
        <w:rPr>
          <w:rFonts w:ascii="Times New Roman" w:hAnsi="Times New Roman"/>
          <w:sz w:val="24"/>
          <w:szCs w:val="24"/>
        </w:rPr>
        <w:t>.</w:t>
      </w:r>
      <w:r w:rsidR="005364D3" w:rsidRPr="0008486F">
        <w:rPr>
          <w:rFonts w:ascii="Times New Roman" w:hAnsi="Times New Roman"/>
          <w:sz w:val="24"/>
          <w:szCs w:val="24"/>
        </w:rPr>
        <w:t xml:space="preserve"> </w:t>
      </w:r>
      <w:r w:rsidR="00336C61">
        <w:rPr>
          <w:rFonts w:ascii="Times New Roman" w:hAnsi="Times New Roman"/>
          <w:sz w:val="24"/>
          <w:szCs w:val="24"/>
        </w:rPr>
        <w:t>Además</w:t>
      </w:r>
      <w:r w:rsidR="00D32715" w:rsidRPr="0008486F">
        <w:rPr>
          <w:rFonts w:ascii="Times New Roman" w:hAnsi="Times New Roman"/>
          <w:sz w:val="24"/>
          <w:szCs w:val="24"/>
        </w:rPr>
        <w:t xml:space="preserve">, el término </w:t>
      </w:r>
      <w:r w:rsidR="00336C61">
        <w:rPr>
          <w:rFonts w:ascii="Times New Roman" w:hAnsi="Times New Roman"/>
          <w:sz w:val="24"/>
          <w:szCs w:val="24"/>
        </w:rPr>
        <w:t>ΠΑΙΟΝΟϹ</w:t>
      </w:r>
      <w:r w:rsidR="00DB68AF" w:rsidRPr="0008486F">
        <w:rPr>
          <w:rStyle w:val="FootnoteReference"/>
          <w:rFonts w:ascii="Times New Roman" w:hAnsi="Times New Roman"/>
          <w:sz w:val="24"/>
          <w:szCs w:val="24"/>
        </w:rPr>
        <w:footnoteReference w:id="23"/>
      </w:r>
      <w:r w:rsidR="00DE046C" w:rsidRPr="0008486F">
        <w:rPr>
          <w:rFonts w:ascii="Times New Roman" w:hAnsi="Times New Roman"/>
          <w:sz w:val="24"/>
          <w:szCs w:val="24"/>
        </w:rPr>
        <w:t xml:space="preserve"> </w:t>
      </w:r>
      <w:r w:rsidR="00966B04" w:rsidRPr="0008486F">
        <w:rPr>
          <w:rFonts w:ascii="Times New Roman" w:hAnsi="Times New Roman"/>
          <w:sz w:val="24"/>
          <w:szCs w:val="24"/>
        </w:rPr>
        <w:t xml:space="preserve">recuerda a otros </w:t>
      </w:r>
      <w:r w:rsidR="00966B04" w:rsidRPr="0008486F">
        <w:rPr>
          <w:rFonts w:ascii="Times New Roman" w:hAnsi="Times New Roman"/>
          <w:i/>
          <w:sz w:val="24"/>
          <w:szCs w:val="24"/>
        </w:rPr>
        <w:t>con</w:t>
      </w:r>
      <w:r w:rsidR="003F7217" w:rsidRPr="0008486F">
        <w:rPr>
          <w:rFonts w:ascii="Times New Roman" w:hAnsi="Times New Roman"/>
          <w:i/>
          <w:sz w:val="24"/>
          <w:szCs w:val="24"/>
        </w:rPr>
        <w:t>cepta Graeca</w:t>
      </w:r>
      <w:r w:rsidR="003F7217" w:rsidRPr="0008486F">
        <w:rPr>
          <w:rFonts w:ascii="Times New Roman" w:hAnsi="Times New Roman"/>
          <w:sz w:val="24"/>
          <w:szCs w:val="24"/>
        </w:rPr>
        <w:t xml:space="preserve"> que acompañan a los</w:t>
      </w:r>
      <w:r w:rsidR="00966B04" w:rsidRPr="0008486F">
        <w:rPr>
          <w:rFonts w:ascii="Times New Roman" w:hAnsi="Times New Roman"/>
          <w:sz w:val="24"/>
          <w:szCs w:val="24"/>
        </w:rPr>
        <w:t xml:space="preserve"> </w:t>
      </w:r>
      <w:r w:rsidR="00966B04" w:rsidRPr="0008486F">
        <w:rPr>
          <w:rFonts w:ascii="Times New Roman" w:hAnsi="Times New Roman"/>
          <w:i/>
          <w:sz w:val="24"/>
          <w:szCs w:val="24"/>
        </w:rPr>
        <w:t>concepta</w:t>
      </w:r>
      <w:r w:rsidR="00966B04" w:rsidRPr="0008486F">
        <w:rPr>
          <w:rFonts w:ascii="Times New Roman" w:hAnsi="Times New Roman"/>
          <w:sz w:val="24"/>
          <w:szCs w:val="24"/>
        </w:rPr>
        <w:t xml:space="preserve"> en </w:t>
      </w:r>
      <w:r w:rsidR="004E5005">
        <w:rPr>
          <w:rFonts w:ascii="Times New Roman" w:hAnsi="Times New Roman"/>
          <w:i/>
          <w:sz w:val="24"/>
          <w:szCs w:val="24"/>
        </w:rPr>
        <w:t>g</w:t>
      </w:r>
      <w:r w:rsidR="00833DFA" w:rsidRPr="00833DFA">
        <w:rPr>
          <w:rFonts w:ascii="Times New Roman" w:hAnsi="Times New Roman"/>
          <w:i/>
          <w:sz w:val="24"/>
          <w:szCs w:val="24"/>
        </w:rPr>
        <w:t>ilvus</w:t>
      </w:r>
      <w:r w:rsidR="00966B04" w:rsidRPr="0008486F">
        <w:rPr>
          <w:rFonts w:ascii="Times New Roman" w:hAnsi="Times New Roman"/>
          <w:sz w:val="24"/>
          <w:szCs w:val="24"/>
        </w:rPr>
        <w:t xml:space="preserve">, como </w:t>
      </w:r>
      <w:r w:rsidR="00DE046C" w:rsidRPr="00DB463E">
        <w:rPr>
          <w:rFonts w:ascii="Times New Roman" w:hAnsi="Times New Roman"/>
          <w:sz w:val="24"/>
          <w:szCs w:val="24"/>
        </w:rPr>
        <w:t>Φ</w:t>
      </w:r>
      <w:r w:rsidR="00130E80">
        <w:rPr>
          <w:rFonts w:ascii="Times New Roman" w:hAnsi="Times New Roman"/>
          <w:sz w:val="24"/>
          <w:szCs w:val="24"/>
        </w:rPr>
        <w:t>Η</w:t>
      </w:r>
      <w:r w:rsidR="00DB463E" w:rsidRPr="00DB463E">
        <w:rPr>
          <w:rFonts w:ascii="Times New Roman" w:hAnsi="Times New Roman"/>
          <w:sz w:val="24"/>
          <w:szCs w:val="24"/>
        </w:rPr>
        <w:t>ΛΙΚΟϹ</w:t>
      </w:r>
      <w:r w:rsidR="00091CFB" w:rsidRPr="0008486F">
        <w:rPr>
          <w:rFonts w:ascii="Times New Roman" w:hAnsi="Times New Roman"/>
          <w:sz w:val="24"/>
          <w:szCs w:val="24"/>
        </w:rPr>
        <w:t xml:space="preserve">, </w:t>
      </w:r>
      <w:r w:rsidR="00336C61">
        <w:rPr>
          <w:rFonts w:ascii="Times New Roman" w:hAnsi="Times New Roman"/>
          <w:sz w:val="24"/>
          <w:szCs w:val="24"/>
        </w:rPr>
        <w:t>comentado</w:t>
      </w:r>
      <w:r w:rsidR="00091CFB" w:rsidRPr="0008486F">
        <w:rPr>
          <w:rFonts w:ascii="Times New Roman" w:hAnsi="Times New Roman"/>
          <w:sz w:val="24"/>
          <w:szCs w:val="24"/>
        </w:rPr>
        <w:t xml:space="preserve"> más adelante.</w:t>
      </w:r>
      <w:r w:rsidR="00966B04" w:rsidRPr="0008486F">
        <w:rPr>
          <w:rFonts w:ascii="Times New Roman" w:hAnsi="Times New Roman"/>
          <w:sz w:val="24"/>
          <w:szCs w:val="24"/>
        </w:rPr>
        <w:t xml:space="preserve"> </w:t>
      </w:r>
      <w:r w:rsidR="00243FA7" w:rsidRPr="0008486F">
        <w:rPr>
          <w:rFonts w:ascii="Times New Roman" w:hAnsi="Times New Roman"/>
          <w:sz w:val="24"/>
          <w:szCs w:val="24"/>
        </w:rPr>
        <w:t>También resulta interesante una sigla o numeral latino que aparece junto a los</w:t>
      </w:r>
      <w:r w:rsidR="00E66C51" w:rsidRPr="0008486F">
        <w:rPr>
          <w:rFonts w:ascii="Times New Roman" w:hAnsi="Times New Roman"/>
          <w:sz w:val="24"/>
          <w:szCs w:val="24"/>
        </w:rPr>
        <w:t xml:space="preserve"> mencionados</w:t>
      </w:r>
      <w:r w:rsidR="00243FA7" w:rsidRPr="0008486F">
        <w:rPr>
          <w:rFonts w:ascii="Times New Roman" w:hAnsi="Times New Roman"/>
          <w:sz w:val="24"/>
          <w:szCs w:val="24"/>
        </w:rPr>
        <w:t xml:space="preserve"> </w:t>
      </w:r>
      <w:r w:rsidR="00243FA7" w:rsidRPr="0008486F">
        <w:rPr>
          <w:rFonts w:ascii="Times New Roman" w:hAnsi="Times New Roman"/>
          <w:i/>
          <w:sz w:val="24"/>
          <w:szCs w:val="24"/>
        </w:rPr>
        <w:t>concepta</w:t>
      </w:r>
      <w:r w:rsidR="00DB463E">
        <w:rPr>
          <w:rFonts w:ascii="Times New Roman" w:hAnsi="Times New Roman"/>
          <w:sz w:val="24"/>
          <w:szCs w:val="24"/>
        </w:rPr>
        <w:t xml:space="preserve"> y se superpone a AVM</w:t>
      </w:r>
      <w:r w:rsidR="00DB68AF" w:rsidRPr="0008486F">
        <w:rPr>
          <w:rStyle w:val="FootnoteReference"/>
          <w:rFonts w:ascii="Times New Roman" w:hAnsi="Times New Roman"/>
          <w:sz w:val="24"/>
          <w:szCs w:val="24"/>
        </w:rPr>
        <w:footnoteReference w:id="24"/>
      </w:r>
      <w:r w:rsidR="00091CFB" w:rsidRPr="0008486F">
        <w:rPr>
          <w:rFonts w:ascii="Times New Roman" w:hAnsi="Times New Roman"/>
          <w:sz w:val="24"/>
          <w:szCs w:val="24"/>
        </w:rPr>
        <w:t>. La ordenación de todos estos</w:t>
      </w:r>
      <w:r w:rsidR="00E66C51" w:rsidRPr="0008486F">
        <w:rPr>
          <w:rFonts w:ascii="Times New Roman" w:hAnsi="Times New Roman"/>
          <w:sz w:val="24"/>
          <w:szCs w:val="24"/>
        </w:rPr>
        <w:t xml:space="preserve"> registros </w:t>
      </w:r>
      <w:r w:rsidR="00091CFB" w:rsidRPr="0008486F">
        <w:rPr>
          <w:rFonts w:ascii="Times New Roman" w:hAnsi="Times New Roman"/>
          <w:sz w:val="24"/>
          <w:szCs w:val="24"/>
        </w:rPr>
        <w:t>y otros asociados varía según los casos.</w:t>
      </w:r>
      <w:r w:rsidR="00054312" w:rsidRPr="0008486F">
        <w:rPr>
          <w:rFonts w:ascii="Times New Roman" w:hAnsi="Times New Roman"/>
          <w:sz w:val="24"/>
          <w:szCs w:val="24"/>
        </w:rPr>
        <w:t xml:space="preserve"> </w:t>
      </w:r>
    </w:p>
    <w:p w:rsidR="00186CAA" w:rsidRPr="00F34854" w:rsidRDefault="00054312" w:rsidP="00F34854">
      <w:pPr>
        <w:spacing w:after="0" w:line="360" w:lineRule="auto"/>
        <w:ind w:firstLine="709"/>
        <w:jc w:val="both"/>
        <w:rPr>
          <w:rFonts w:ascii="Times New Roman" w:hAnsi="Times New Roman"/>
          <w:sz w:val="24"/>
          <w:szCs w:val="24"/>
        </w:rPr>
      </w:pPr>
      <w:r w:rsidRPr="0008486F">
        <w:rPr>
          <w:rFonts w:ascii="Times New Roman" w:hAnsi="Times New Roman"/>
          <w:sz w:val="24"/>
          <w:szCs w:val="24"/>
        </w:rPr>
        <w:t xml:space="preserve">El </w:t>
      </w:r>
      <w:r w:rsidR="004A52DF" w:rsidRPr="0008486F">
        <w:rPr>
          <w:rFonts w:ascii="Times New Roman" w:hAnsi="Times New Roman"/>
          <w:i/>
          <w:sz w:val="24"/>
          <w:szCs w:val="24"/>
        </w:rPr>
        <w:t xml:space="preserve">titulus </w:t>
      </w:r>
      <w:r w:rsidR="004A52DF" w:rsidRPr="00DB463E">
        <w:rPr>
          <w:rFonts w:ascii="Times New Roman" w:hAnsi="Times New Roman"/>
          <w:sz w:val="24"/>
          <w:szCs w:val="24"/>
        </w:rPr>
        <w:t>AVM</w:t>
      </w:r>
      <w:r w:rsidR="004A52DF" w:rsidRPr="0008486F">
        <w:rPr>
          <w:rFonts w:ascii="Times New Roman" w:hAnsi="Times New Roman"/>
          <w:sz w:val="24"/>
          <w:szCs w:val="24"/>
        </w:rPr>
        <w:t xml:space="preserve"> en </w:t>
      </w:r>
      <w:r w:rsidR="00DB463E">
        <w:rPr>
          <w:rFonts w:ascii="Times New Roman" w:hAnsi="Times New Roman"/>
          <w:i/>
          <w:sz w:val="24"/>
          <w:szCs w:val="24"/>
        </w:rPr>
        <w:t>g</w:t>
      </w:r>
      <w:r w:rsidR="00833DFA" w:rsidRPr="00833DFA">
        <w:rPr>
          <w:rFonts w:ascii="Times New Roman" w:hAnsi="Times New Roman"/>
          <w:i/>
          <w:sz w:val="24"/>
          <w:szCs w:val="24"/>
        </w:rPr>
        <w:t>ilvus</w:t>
      </w:r>
      <w:r w:rsidR="004A52DF" w:rsidRPr="0008486F">
        <w:rPr>
          <w:rFonts w:ascii="Times New Roman" w:hAnsi="Times New Roman"/>
          <w:sz w:val="24"/>
          <w:szCs w:val="24"/>
        </w:rPr>
        <w:t xml:space="preserve"> aparece aislado, sin otros </w:t>
      </w:r>
      <w:r w:rsidR="004A52DF" w:rsidRPr="0008486F">
        <w:rPr>
          <w:rFonts w:ascii="Times New Roman" w:hAnsi="Times New Roman"/>
          <w:i/>
          <w:sz w:val="24"/>
          <w:szCs w:val="24"/>
        </w:rPr>
        <w:t>concepta</w:t>
      </w:r>
      <w:r w:rsidR="004A52DF" w:rsidRPr="0008486F">
        <w:rPr>
          <w:rFonts w:ascii="Times New Roman" w:hAnsi="Times New Roman"/>
          <w:sz w:val="24"/>
          <w:szCs w:val="24"/>
        </w:rPr>
        <w:t xml:space="preserve"> que lo acompañen en el ánfora PO08. Otras siglas en </w:t>
      </w:r>
      <w:r w:rsidR="00DB463E">
        <w:rPr>
          <w:rFonts w:ascii="Times New Roman" w:hAnsi="Times New Roman"/>
          <w:i/>
          <w:sz w:val="24"/>
          <w:szCs w:val="24"/>
        </w:rPr>
        <w:t>g</w:t>
      </w:r>
      <w:r w:rsidR="00833DFA" w:rsidRPr="00833DFA">
        <w:rPr>
          <w:rFonts w:ascii="Times New Roman" w:hAnsi="Times New Roman"/>
          <w:i/>
          <w:sz w:val="24"/>
          <w:szCs w:val="24"/>
        </w:rPr>
        <w:t>ilvus</w:t>
      </w:r>
      <w:r w:rsidR="004A52DF" w:rsidRPr="0008486F">
        <w:rPr>
          <w:rFonts w:ascii="Times New Roman" w:hAnsi="Times New Roman"/>
          <w:sz w:val="24"/>
          <w:szCs w:val="24"/>
        </w:rPr>
        <w:t xml:space="preserve"> también aparecen aisladas</w:t>
      </w:r>
      <w:r w:rsidR="00DB463E">
        <w:rPr>
          <w:rFonts w:ascii="Times New Roman" w:hAnsi="Times New Roman"/>
          <w:sz w:val="24"/>
          <w:szCs w:val="24"/>
        </w:rPr>
        <w:t>, como se verá a continuación</w:t>
      </w:r>
      <w:r w:rsidR="004A52DF" w:rsidRPr="0008486F">
        <w:rPr>
          <w:rFonts w:ascii="Times New Roman" w:hAnsi="Times New Roman"/>
          <w:sz w:val="24"/>
          <w:szCs w:val="24"/>
        </w:rPr>
        <w:t>. No obstante, la falta de datos</w:t>
      </w:r>
      <w:r w:rsidR="00E66C51" w:rsidRPr="0008486F">
        <w:rPr>
          <w:rFonts w:ascii="Times New Roman" w:hAnsi="Times New Roman"/>
          <w:sz w:val="24"/>
          <w:szCs w:val="24"/>
        </w:rPr>
        <w:t xml:space="preserve"> complementarios</w:t>
      </w:r>
      <w:r w:rsidR="004A52DF" w:rsidRPr="0008486F">
        <w:rPr>
          <w:rFonts w:ascii="Times New Roman" w:hAnsi="Times New Roman"/>
          <w:sz w:val="24"/>
          <w:szCs w:val="24"/>
        </w:rPr>
        <w:t xml:space="preserve"> y la heterogeneidad de los casos en los que se inserta esta sigla desaconsejan su inclusión en un primer análisis Codex. P</w:t>
      </w:r>
      <w:r w:rsidR="009018A8" w:rsidRPr="0008486F">
        <w:rPr>
          <w:rFonts w:ascii="Times New Roman" w:hAnsi="Times New Roman"/>
          <w:sz w:val="24"/>
          <w:szCs w:val="24"/>
        </w:rPr>
        <w:t>or tanto,</w:t>
      </w:r>
      <w:r w:rsidR="004A52DF" w:rsidRPr="0008486F">
        <w:rPr>
          <w:rFonts w:ascii="Times New Roman" w:hAnsi="Times New Roman"/>
          <w:sz w:val="24"/>
          <w:szCs w:val="24"/>
        </w:rPr>
        <w:t xml:space="preserve"> se ha excluido de la muestra estudiada, a fa</w:t>
      </w:r>
      <w:r w:rsidR="009018A8" w:rsidRPr="0008486F">
        <w:rPr>
          <w:rFonts w:ascii="Times New Roman" w:hAnsi="Times New Roman"/>
          <w:sz w:val="24"/>
          <w:szCs w:val="24"/>
        </w:rPr>
        <w:t>vor de una mayor claridad expositiva.</w:t>
      </w:r>
    </w:p>
    <w:p w:rsidR="00186CAA" w:rsidRPr="00186CAA" w:rsidRDefault="00186CAA" w:rsidP="00F34854">
      <w:pPr>
        <w:spacing w:after="0" w:line="360" w:lineRule="auto"/>
        <w:ind w:firstLine="709"/>
        <w:jc w:val="both"/>
        <w:rPr>
          <w:rFonts w:ascii="Times New Roman" w:hAnsi="Times New Roman"/>
          <w:i/>
          <w:sz w:val="24"/>
          <w:szCs w:val="24"/>
        </w:rPr>
      </w:pPr>
      <w:r w:rsidRPr="00186CAA">
        <w:rPr>
          <w:rFonts w:ascii="Times New Roman" w:hAnsi="Times New Roman"/>
          <w:i/>
          <w:sz w:val="24"/>
          <w:szCs w:val="24"/>
        </w:rPr>
        <w:t>3.2. CAR</w:t>
      </w:r>
    </w:p>
    <w:p w:rsidR="00817428" w:rsidRDefault="0033572C" w:rsidP="00F34854">
      <w:pPr>
        <w:spacing w:after="0" w:line="360" w:lineRule="auto"/>
        <w:ind w:firstLine="709"/>
        <w:jc w:val="both"/>
        <w:rPr>
          <w:rFonts w:ascii="Times New Roman" w:hAnsi="Times New Roman"/>
          <w:sz w:val="24"/>
          <w:szCs w:val="24"/>
        </w:rPr>
      </w:pPr>
      <w:r>
        <w:rPr>
          <w:rFonts w:ascii="Times New Roman" w:hAnsi="Times New Roman"/>
          <w:sz w:val="24"/>
          <w:szCs w:val="24"/>
        </w:rPr>
        <w:t xml:space="preserve">Los </w:t>
      </w:r>
      <w:r w:rsidRPr="0033572C">
        <w:rPr>
          <w:rFonts w:ascii="Times New Roman" w:hAnsi="Times New Roman"/>
          <w:i/>
          <w:sz w:val="24"/>
          <w:szCs w:val="24"/>
        </w:rPr>
        <w:t>tituli</w:t>
      </w:r>
      <w:r>
        <w:rPr>
          <w:rFonts w:ascii="Times New Roman" w:hAnsi="Times New Roman"/>
          <w:sz w:val="24"/>
          <w:szCs w:val="24"/>
        </w:rPr>
        <w:t xml:space="preserve"> CAR corresponden a d</w:t>
      </w:r>
      <w:r w:rsidR="003F7C82" w:rsidRPr="0008486F">
        <w:rPr>
          <w:rFonts w:ascii="Times New Roman" w:hAnsi="Times New Roman"/>
          <w:sz w:val="24"/>
          <w:szCs w:val="24"/>
        </w:rPr>
        <w:t>iez de lo</w:t>
      </w:r>
      <w:r w:rsidR="00817428" w:rsidRPr="0008486F">
        <w:rPr>
          <w:rFonts w:ascii="Times New Roman" w:hAnsi="Times New Roman"/>
          <w:sz w:val="24"/>
          <w:szCs w:val="24"/>
        </w:rPr>
        <w:t>s once</w:t>
      </w:r>
      <w:r w:rsidR="003F7C82" w:rsidRPr="0008486F">
        <w:rPr>
          <w:rFonts w:ascii="Times New Roman" w:hAnsi="Times New Roman"/>
          <w:i/>
          <w:sz w:val="24"/>
          <w:szCs w:val="24"/>
        </w:rPr>
        <w:t xml:space="preserve"> tituli</w:t>
      </w:r>
      <w:r w:rsidR="003F7C82" w:rsidRPr="0008486F">
        <w:rPr>
          <w:rFonts w:ascii="Times New Roman" w:hAnsi="Times New Roman"/>
          <w:sz w:val="24"/>
          <w:szCs w:val="24"/>
        </w:rPr>
        <w:t xml:space="preserve"> en </w:t>
      </w:r>
      <w:r>
        <w:rPr>
          <w:rFonts w:ascii="Times New Roman" w:hAnsi="Times New Roman"/>
          <w:i/>
          <w:sz w:val="24"/>
          <w:szCs w:val="24"/>
        </w:rPr>
        <w:t>g</w:t>
      </w:r>
      <w:r w:rsidR="00833DFA" w:rsidRPr="00833DFA">
        <w:rPr>
          <w:rFonts w:ascii="Times New Roman" w:hAnsi="Times New Roman"/>
          <w:i/>
          <w:sz w:val="24"/>
          <w:szCs w:val="24"/>
        </w:rPr>
        <w:t>ilvus</w:t>
      </w:r>
      <w:r w:rsidR="003F7C82" w:rsidRPr="0008486F">
        <w:rPr>
          <w:rFonts w:ascii="Times New Roman" w:hAnsi="Times New Roman"/>
          <w:sz w:val="24"/>
          <w:szCs w:val="24"/>
        </w:rPr>
        <w:t xml:space="preserve"> sobre</w:t>
      </w:r>
      <w:r w:rsidR="00817428" w:rsidRPr="0008486F">
        <w:rPr>
          <w:rFonts w:ascii="Times New Roman" w:hAnsi="Times New Roman"/>
          <w:sz w:val="24"/>
          <w:szCs w:val="24"/>
        </w:rPr>
        <w:t xml:space="preserve"> </w:t>
      </w:r>
      <w:r>
        <w:rPr>
          <w:rFonts w:ascii="Times New Roman" w:hAnsi="Times New Roman"/>
          <w:sz w:val="24"/>
          <w:szCs w:val="24"/>
        </w:rPr>
        <w:t>PO08.</w:t>
      </w:r>
      <w:r w:rsidR="00E34D04">
        <w:rPr>
          <w:rFonts w:ascii="Times New Roman" w:hAnsi="Times New Roman"/>
          <w:sz w:val="24"/>
          <w:szCs w:val="24"/>
        </w:rPr>
        <w:t xml:space="preserve"> La Fig.</w:t>
      </w:r>
      <w:r w:rsidR="003F7C82" w:rsidRPr="0008486F">
        <w:rPr>
          <w:rFonts w:ascii="Times New Roman" w:hAnsi="Times New Roman"/>
          <w:sz w:val="24"/>
          <w:szCs w:val="24"/>
        </w:rPr>
        <w:t xml:space="preserve"> </w:t>
      </w:r>
      <w:r>
        <w:rPr>
          <w:rFonts w:ascii="Times New Roman" w:hAnsi="Times New Roman"/>
          <w:sz w:val="24"/>
          <w:szCs w:val="24"/>
        </w:rPr>
        <w:t>3</w:t>
      </w:r>
      <w:r w:rsidR="003F7C82" w:rsidRPr="0008486F">
        <w:rPr>
          <w:rFonts w:ascii="Times New Roman" w:hAnsi="Times New Roman"/>
          <w:sz w:val="24"/>
          <w:szCs w:val="24"/>
        </w:rPr>
        <w:t xml:space="preserve"> recoge la información que se ha considerado fundamental para el análisis de los mismos</w:t>
      </w:r>
      <w:r>
        <w:rPr>
          <w:rFonts w:ascii="Times New Roman" w:hAnsi="Times New Roman"/>
          <w:sz w:val="24"/>
          <w:szCs w:val="24"/>
        </w:rPr>
        <w:t xml:space="preserve"> y dos posibles paralelos más</w:t>
      </w:r>
      <w:r w:rsidR="003F7C82" w:rsidRPr="0008486F">
        <w:rPr>
          <w:rFonts w:ascii="Times New Roman" w:hAnsi="Times New Roman"/>
          <w:sz w:val="24"/>
          <w:szCs w:val="24"/>
        </w:rPr>
        <w:t xml:space="preserve">. </w:t>
      </w:r>
      <w:r w:rsidR="005F3404" w:rsidRPr="0008486F">
        <w:rPr>
          <w:rFonts w:ascii="Times New Roman" w:hAnsi="Times New Roman"/>
          <w:sz w:val="24"/>
          <w:szCs w:val="24"/>
        </w:rPr>
        <w:t>La primera columna de est</w:t>
      </w:r>
      <w:r w:rsidR="00A34CE2" w:rsidRPr="0008486F">
        <w:rPr>
          <w:rFonts w:ascii="Times New Roman" w:hAnsi="Times New Roman"/>
          <w:sz w:val="24"/>
          <w:szCs w:val="24"/>
        </w:rPr>
        <w:t>a tabla contiene una numeración consecutiva que se emplear</w:t>
      </w:r>
      <w:r w:rsidR="008943A2" w:rsidRPr="0008486F">
        <w:rPr>
          <w:rFonts w:ascii="Times New Roman" w:hAnsi="Times New Roman"/>
          <w:sz w:val="24"/>
          <w:szCs w:val="24"/>
        </w:rPr>
        <w:t xml:space="preserve">á para aludir a los distintos ejemplares de manera simplificada. </w:t>
      </w:r>
      <w:r>
        <w:rPr>
          <w:rFonts w:ascii="Times New Roman" w:hAnsi="Times New Roman"/>
          <w:sz w:val="24"/>
          <w:szCs w:val="24"/>
        </w:rPr>
        <w:t xml:space="preserve">En la columna Grupo se indica el tipo de estructura epigráfica -1 a 6-, conteniendo CAR -A- o su paralelo TICO -B-. </w:t>
      </w:r>
      <w:r w:rsidR="005F3404" w:rsidRPr="0008486F">
        <w:rPr>
          <w:rFonts w:ascii="Times New Roman" w:hAnsi="Times New Roman"/>
          <w:sz w:val="24"/>
          <w:szCs w:val="24"/>
        </w:rPr>
        <w:t xml:space="preserve">En Hallazgo se indica </w:t>
      </w:r>
      <w:r w:rsidR="003F7C82" w:rsidRPr="0008486F">
        <w:rPr>
          <w:rFonts w:ascii="Times New Roman" w:hAnsi="Times New Roman"/>
          <w:sz w:val="24"/>
          <w:szCs w:val="24"/>
        </w:rPr>
        <w:t>el año de excavación en primer término</w:t>
      </w:r>
      <w:r w:rsidR="008943A2" w:rsidRPr="0008486F">
        <w:rPr>
          <w:rFonts w:ascii="Times New Roman" w:hAnsi="Times New Roman"/>
          <w:sz w:val="24"/>
          <w:szCs w:val="24"/>
        </w:rPr>
        <w:t xml:space="preserve"> y la ubicación </w:t>
      </w:r>
      <w:r w:rsidR="005F3404" w:rsidRPr="0008486F">
        <w:rPr>
          <w:rFonts w:ascii="Times New Roman" w:hAnsi="Times New Roman"/>
          <w:sz w:val="24"/>
          <w:szCs w:val="24"/>
        </w:rPr>
        <w:t xml:space="preserve">del ánfora </w:t>
      </w:r>
      <w:r w:rsidR="008943A2" w:rsidRPr="0008486F">
        <w:rPr>
          <w:rFonts w:ascii="Times New Roman" w:hAnsi="Times New Roman"/>
          <w:sz w:val="24"/>
          <w:szCs w:val="24"/>
        </w:rPr>
        <w:t>en el parcelario urbano</w:t>
      </w:r>
      <w:r w:rsidR="005F3404" w:rsidRPr="0008486F">
        <w:rPr>
          <w:rFonts w:ascii="Times New Roman" w:hAnsi="Times New Roman"/>
          <w:sz w:val="24"/>
          <w:szCs w:val="24"/>
        </w:rPr>
        <w:t xml:space="preserve"> de </w:t>
      </w:r>
      <w:r w:rsidR="005F3404" w:rsidRPr="0008486F">
        <w:rPr>
          <w:rFonts w:ascii="Times New Roman" w:hAnsi="Times New Roman"/>
          <w:i/>
          <w:sz w:val="24"/>
          <w:szCs w:val="24"/>
        </w:rPr>
        <w:t>Pompeii</w:t>
      </w:r>
      <w:r w:rsidR="008943A2" w:rsidRPr="0008486F">
        <w:rPr>
          <w:rFonts w:ascii="Times New Roman" w:hAnsi="Times New Roman"/>
          <w:sz w:val="24"/>
          <w:szCs w:val="24"/>
        </w:rPr>
        <w:t>.</w:t>
      </w:r>
      <w:r w:rsidR="003F7C82" w:rsidRPr="0008486F">
        <w:rPr>
          <w:rFonts w:ascii="Times New Roman" w:hAnsi="Times New Roman"/>
          <w:sz w:val="24"/>
          <w:szCs w:val="24"/>
        </w:rPr>
        <w:t xml:space="preserve"> Se han incluido tambi</w:t>
      </w:r>
      <w:r w:rsidR="00A34CE2" w:rsidRPr="0008486F">
        <w:rPr>
          <w:rFonts w:ascii="Times New Roman" w:hAnsi="Times New Roman"/>
          <w:sz w:val="24"/>
          <w:szCs w:val="24"/>
        </w:rPr>
        <w:t xml:space="preserve">én las columnas Forma, </w:t>
      </w:r>
      <w:r w:rsidR="003F7C82" w:rsidRPr="00160EFE">
        <w:rPr>
          <w:rFonts w:ascii="Times New Roman" w:hAnsi="Times New Roman"/>
          <w:sz w:val="24"/>
          <w:szCs w:val="24"/>
        </w:rPr>
        <w:t>Tinta</w:t>
      </w:r>
      <w:r w:rsidR="00A50376" w:rsidRPr="00160EFE">
        <w:rPr>
          <w:rFonts w:ascii="Times New Roman" w:hAnsi="Times New Roman"/>
          <w:sz w:val="24"/>
          <w:szCs w:val="24"/>
        </w:rPr>
        <w:t xml:space="preserve"> y Sigla</w:t>
      </w:r>
      <w:r w:rsidR="003F7C82" w:rsidRPr="0008486F">
        <w:rPr>
          <w:rFonts w:ascii="Times New Roman" w:hAnsi="Times New Roman"/>
          <w:sz w:val="24"/>
          <w:szCs w:val="24"/>
        </w:rPr>
        <w:t>, pues se valora una serie de paralelos</w:t>
      </w:r>
      <w:r w:rsidR="00A34CE2" w:rsidRPr="0008486F">
        <w:rPr>
          <w:rFonts w:ascii="Times New Roman" w:hAnsi="Times New Roman"/>
          <w:sz w:val="24"/>
          <w:szCs w:val="24"/>
        </w:rPr>
        <w:t xml:space="preserve"> a l</w:t>
      </w:r>
      <w:r w:rsidR="005F3404" w:rsidRPr="0008486F">
        <w:rPr>
          <w:rFonts w:ascii="Times New Roman" w:hAnsi="Times New Roman"/>
          <w:sz w:val="24"/>
          <w:szCs w:val="24"/>
        </w:rPr>
        <w:t>os mencionados casos sobre PO08, mo</w:t>
      </w:r>
      <w:r w:rsidR="00A34CE2" w:rsidRPr="0008486F">
        <w:rPr>
          <w:rFonts w:ascii="Times New Roman" w:hAnsi="Times New Roman"/>
          <w:sz w:val="24"/>
          <w:szCs w:val="24"/>
        </w:rPr>
        <w:t>stran</w:t>
      </w:r>
      <w:r w:rsidR="005F3404" w:rsidRPr="0008486F">
        <w:rPr>
          <w:rFonts w:ascii="Times New Roman" w:hAnsi="Times New Roman"/>
          <w:sz w:val="24"/>
          <w:szCs w:val="24"/>
        </w:rPr>
        <w:t>do</w:t>
      </w:r>
      <w:r w:rsidR="00A34CE2" w:rsidRPr="0008486F">
        <w:rPr>
          <w:rFonts w:ascii="Times New Roman" w:hAnsi="Times New Roman"/>
          <w:sz w:val="24"/>
          <w:szCs w:val="24"/>
        </w:rPr>
        <w:t xml:space="preserve"> variaciones en tales aspectos.</w:t>
      </w:r>
      <w:r w:rsidR="008943A2" w:rsidRPr="0008486F">
        <w:rPr>
          <w:rFonts w:ascii="Times New Roman" w:hAnsi="Times New Roman"/>
          <w:sz w:val="24"/>
          <w:szCs w:val="24"/>
        </w:rPr>
        <w:t xml:space="preserve"> </w:t>
      </w:r>
      <w:r w:rsidR="00E34D04">
        <w:rPr>
          <w:rFonts w:ascii="Times New Roman" w:hAnsi="Times New Roman"/>
          <w:sz w:val="24"/>
          <w:szCs w:val="24"/>
        </w:rPr>
        <w:t>L</w:t>
      </w:r>
      <w:r w:rsidR="008943A2" w:rsidRPr="0008486F">
        <w:rPr>
          <w:rFonts w:ascii="Times New Roman" w:hAnsi="Times New Roman"/>
          <w:sz w:val="24"/>
          <w:szCs w:val="24"/>
        </w:rPr>
        <w:t xml:space="preserve">a columna </w:t>
      </w:r>
      <w:r w:rsidR="008943A2" w:rsidRPr="0008486F">
        <w:rPr>
          <w:rFonts w:ascii="Times New Roman" w:hAnsi="Times New Roman"/>
          <w:i/>
          <w:sz w:val="24"/>
          <w:szCs w:val="24"/>
        </w:rPr>
        <w:t>Tituli</w:t>
      </w:r>
      <w:r w:rsidR="008943A2" w:rsidRPr="0008486F">
        <w:rPr>
          <w:rFonts w:ascii="Times New Roman" w:hAnsi="Times New Roman"/>
          <w:sz w:val="24"/>
          <w:szCs w:val="24"/>
        </w:rPr>
        <w:t xml:space="preserve"> reproduce el contenido completo y la ordenación de las inscripciones, facilitando la interpretación de su codifica</w:t>
      </w:r>
      <w:r w:rsidR="00E34D04">
        <w:rPr>
          <w:rFonts w:ascii="Times New Roman" w:hAnsi="Times New Roman"/>
          <w:sz w:val="24"/>
          <w:szCs w:val="24"/>
        </w:rPr>
        <w:t xml:space="preserve">ción, representada en </w:t>
      </w:r>
      <w:r w:rsidR="00B17114">
        <w:rPr>
          <w:rFonts w:ascii="Times New Roman" w:hAnsi="Times New Roman"/>
          <w:sz w:val="24"/>
          <w:szCs w:val="24"/>
        </w:rPr>
        <w:t>columnas Codex I-III</w:t>
      </w:r>
      <w:r w:rsidR="008943A2" w:rsidRPr="0008486F">
        <w:rPr>
          <w:rFonts w:ascii="Times New Roman" w:hAnsi="Times New Roman"/>
          <w:sz w:val="24"/>
          <w:szCs w:val="24"/>
        </w:rPr>
        <w:t>.</w:t>
      </w:r>
    </w:p>
    <w:p w:rsidR="00A34CE2" w:rsidRPr="0008486F" w:rsidRDefault="003722C8" w:rsidP="00A50376">
      <w:pPr>
        <w:spacing w:after="0" w:line="360" w:lineRule="auto"/>
        <w:ind w:firstLine="709"/>
        <w:jc w:val="both"/>
        <w:rPr>
          <w:rFonts w:ascii="Times New Roman" w:hAnsi="Times New Roman"/>
          <w:sz w:val="24"/>
          <w:szCs w:val="24"/>
        </w:rPr>
      </w:pPr>
      <w:r w:rsidRPr="0008486F">
        <w:rPr>
          <w:rFonts w:ascii="Times New Roman" w:hAnsi="Times New Roman"/>
          <w:sz w:val="24"/>
          <w:szCs w:val="24"/>
        </w:rPr>
        <w:t>L</w:t>
      </w:r>
      <w:r w:rsidR="00A50376">
        <w:rPr>
          <w:rFonts w:ascii="Times New Roman" w:hAnsi="Times New Roman"/>
          <w:sz w:val="24"/>
          <w:szCs w:val="24"/>
        </w:rPr>
        <w:t xml:space="preserve">os </w:t>
      </w:r>
      <w:r w:rsidR="00A50376" w:rsidRPr="00A50376">
        <w:rPr>
          <w:rFonts w:ascii="Times New Roman" w:hAnsi="Times New Roman"/>
          <w:i/>
          <w:sz w:val="24"/>
          <w:szCs w:val="24"/>
        </w:rPr>
        <w:t>tituli</w:t>
      </w:r>
      <w:r w:rsidR="00A50376">
        <w:rPr>
          <w:rFonts w:ascii="Times New Roman" w:hAnsi="Times New Roman"/>
          <w:sz w:val="24"/>
          <w:szCs w:val="24"/>
        </w:rPr>
        <w:t xml:space="preserve"> </w:t>
      </w:r>
      <w:r w:rsidR="00A50376" w:rsidRPr="00A50376">
        <w:rPr>
          <w:rFonts w:ascii="Times New Roman" w:hAnsi="Times New Roman"/>
          <w:sz w:val="24"/>
          <w:szCs w:val="24"/>
        </w:rPr>
        <w:t>CAR</w:t>
      </w:r>
      <w:r w:rsidRPr="0008486F">
        <w:rPr>
          <w:rFonts w:ascii="Times New Roman" w:hAnsi="Times New Roman"/>
          <w:sz w:val="24"/>
          <w:szCs w:val="24"/>
        </w:rPr>
        <w:t xml:space="preserve"> sobre 9 PO08 </w:t>
      </w:r>
      <w:r w:rsidR="00A50376">
        <w:rPr>
          <w:rFonts w:ascii="Times New Roman" w:hAnsi="Times New Roman"/>
          <w:sz w:val="24"/>
          <w:szCs w:val="24"/>
        </w:rPr>
        <w:t>-</w:t>
      </w:r>
      <w:r w:rsidRPr="0008486F">
        <w:rPr>
          <w:rFonts w:ascii="Times New Roman" w:hAnsi="Times New Roman"/>
          <w:sz w:val="24"/>
          <w:szCs w:val="24"/>
        </w:rPr>
        <w:t xml:space="preserve">2-4 y </w:t>
      </w:r>
      <w:r w:rsidR="00A50376">
        <w:rPr>
          <w:rFonts w:ascii="Times New Roman" w:hAnsi="Times New Roman"/>
          <w:sz w:val="24"/>
          <w:szCs w:val="24"/>
        </w:rPr>
        <w:t>15-20-</w:t>
      </w:r>
      <w:r w:rsidRPr="0008486F">
        <w:rPr>
          <w:rFonts w:ascii="Times New Roman" w:hAnsi="Times New Roman"/>
          <w:sz w:val="24"/>
          <w:szCs w:val="24"/>
        </w:rPr>
        <w:t xml:space="preserve"> corresponden a un mismo lote, es decir, un grupo de ánforas localizadas en la misma vivienda pompeyana</w:t>
      </w:r>
      <w:r w:rsidR="00FF51DC" w:rsidRPr="0008486F">
        <w:rPr>
          <w:rFonts w:ascii="Times New Roman" w:hAnsi="Times New Roman"/>
          <w:sz w:val="24"/>
          <w:szCs w:val="24"/>
        </w:rPr>
        <w:t xml:space="preserve"> durante las excavaciones de 1876</w:t>
      </w:r>
      <w:r w:rsidRPr="0008486F">
        <w:rPr>
          <w:rFonts w:ascii="Times New Roman" w:hAnsi="Times New Roman"/>
          <w:sz w:val="24"/>
          <w:szCs w:val="24"/>
        </w:rPr>
        <w:t>.</w:t>
      </w:r>
      <w:r w:rsidR="00A90CC2" w:rsidRPr="0008486F">
        <w:rPr>
          <w:rFonts w:ascii="Times New Roman" w:hAnsi="Times New Roman"/>
          <w:sz w:val="24"/>
          <w:szCs w:val="24"/>
        </w:rPr>
        <w:t xml:space="preserve"> Se añade</w:t>
      </w:r>
      <w:r w:rsidR="00FF51DC" w:rsidRPr="0008486F">
        <w:rPr>
          <w:rFonts w:ascii="Times New Roman" w:hAnsi="Times New Roman"/>
          <w:sz w:val="24"/>
          <w:szCs w:val="24"/>
        </w:rPr>
        <w:t>n</w:t>
      </w:r>
      <w:r w:rsidR="00A90CC2" w:rsidRPr="0008486F">
        <w:rPr>
          <w:rFonts w:ascii="Times New Roman" w:hAnsi="Times New Roman"/>
          <w:sz w:val="24"/>
          <w:szCs w:val="24"/>
        </w:rPr>
        <w:t xml:space="preserve"> al estudio otras tres á</w:t>
      </w:r>
      <w:r w:rsidR="00FF51DC" w:rsidRPr="0008486F">
        <w:rPr>
          <w:rFonts w:ascii="Times New Roman" w:hAnsi="Times New Roman"/>
          <w:sz w:val="24"/>
          <w:szCs w:val="24"/>
        </w:rPr>
        <w:t>nforas con esta misma sigla</w:t>
      </w:r>
      <w:r w:rsidR="00A50376">
        <w:rPr>
          <w:rFonts w:ascii="Times New Roman" w:hAnsi="Times New Roman"/>
          <w:sz w:val="24"/>
          <w:szCs w:val="24"/>
        </w:rPr>
        <w:t xml:space="preserve"> -10 y 13- o similar -1-</w:t>
      </w:r>
      <w:r w:rsidR="00FF51DC" w:rsidRPr="0008486F">
        <w:rPr>
          <w:rFonts w:ascii="Times New Roman" w:hAnsi="Times New Roman"/>
          <w:sz w:val="24"/>
          <w:szCs w:val="24"/>
        </w:rPr>
        <w:t>. El ánfora 1 es una PO13 que p</w:t>
      </w:r>
      <w:r w:rsidR="004A6A22" w:rsidRPr="0008486F">
        <w:rPr>
          <w:rFonts w:ascii="Times New Roman" w:hAnsi="Times New Roman"/>
          <w:sz w:val="24"/>
          <w:szCs w:val="24"/>
        </w:rPr>
        <w:t xml:space="preserve">ortaba una sigla en </w:t>
      </w:r>
      <w:r w:rsidR="00A50376">
        <w:rPr>
          <w:rFonts w:ascii="Times New Roman" w:hAnsi="Times New Roman"/>
          <w:i/>
          <w:sz w:val="24"/>
          <w:szCs w:val="24"/>
        </w:rPr>
        <w:t>g</w:t>
      </w:r>
      <w:r w:rsidR="00833DFA" w:rsidRPr="00833DFA">
        <w:rPr>
          <w:rFonts w:ascii="Times New Roman" w:hAnsi="Times New Roman"/>
          <w:i/>
          <w:sz w:val="24"/>
          <w:szCs w:val="24"/>
        </w:rPr>
        <w:t>ilvus</w:t>
      </w:r>
      <w:r w:rsidR="004A6A22" w:rsidRPr="0008486F">
        <w:rPr>
          <w:rFonts w:ascii="Times New Roman" w:hAnsi="Times New Roman"/>
          <w:sz w:val="24"/>
          <w:szCs w:val="24"/>
        </w:rPr>
        <w:t xml:space="preserve">. La lectura </w:t>
      </w:r>
      <w:r w:rsidR="004A6A22" w:rsidRPr="0008486F">
        <w:rPr>
          <w:rFonts w:ascii="Times New Roman" w:hAnsi="Times New Roman"/>
          <w:i/>
          <w:sz w:val="24"/>
          <w:szCs w:val="24"/>
        </w:rPr>
        <w:t>C. A. I.</w:t>
      </w:r>
      <w:r w:rsidR="004A6A22" w:rsidRPr="0008486F">
        <w:rPr>
          <w:rFonts w:ascii="Times New Roman" w:hAnsi="Times New Roman"/>
          <w:sz w:val="24"/>
          <w:szCs w:val="24"/>
        </w:rPr>
        <w:t xml:space="preserve"> podría haber r</w:t>
      </w:r>
      <w:r w:rsidR="00D03260">
        <w:rPr>
          <w:rFonts w:ascii="Times New Roman" w:hAnsi="Times New Roman"/>
          <w:sz w:val="24"/>
          <w:szCs w:val="24"/>
        </w:rPr>
        <w:t>esultado del deterioro de una R</w:t>
      </w:r>
      <w:r w:rsidR="004A6A22" w:rsidRPr="0008486F">
        <w:rPr>
          <w:rFonts w:ascii="Times New Roman" w:hAnsi="Times New Roman"/>
          <w:sz w:val="24"/>
          <w:szCs w:val="24"/>
        </w:rPr>
        <w:t xml:space="preserve"> final. El </w:t>
      </w:r>
      <w:r w:rsidR="004A6A22" w:rsidRPr="0008486F">
        <w:rPr>
          <w:rFonts w:ascii="Times New Roman" w:hAnsi="Times New Roman"/>
          <w:i/>
          <w:sz w:val="24"/>
          <w:szCs w:val="24"/>
        </w:rPr>
        <w:t>conceptum</w:t>
      </w:r>
      <w:r w:rsidR="00D03260">
        <w:rPr>
          <w:rFonts w:ascii="Times New Roman" w:hAnsi="Times New Roman"/>
          <w:sz w:val="24"/>
          <w:szCs w:val="24"/>
        </w:rPr>
        <w:t xml:space="preserve"> aparece aislado, al igual que CAR </w:t>
      </w:r>
      <w:r w:rsidR="004A6A22" w:rsidRPr="0008486F">
        <w:rPr>
          <w:rFonts w:ascii="Times New Roman" w:hAnsi="Times New Roman"/>
          <w:sz w:val="24"/>
          <w:szCs w:val="24"/>
        </w:rPr>
        <w:t xml:space="preserve">en otros casos, por lo que es difícil establecer mayores diferencias con el resto de casos. También debe considerarse que la forma PO13 aparece frecuentemente entre los paralelos considerados en el presente estudio. </w:t>
      </w:r>
      <w:r w:rsidR="00D03260">
        <w:rPr>
          <w:rFonts w:ascii="Times New Roman" w:hAnsi="Times New Roman"/>
          <w:sz w:val="24"/>
          <w:szCs w:val="24"/>
        </w:rPr>
        <w:t>E</w:t>
      </w:r>
      <w:r w:rsidR="004A6A22" w:rsidRPr="0008486F">
        <w:rPr>
          <w:rFonts w:ascii="Times New Roman" w:hAnsi="Times New Roman"/>
          <w:sz w:val="24"/>
          <w:szCs w:val="24"/>
        </w:rPr>
        <w:t xml:space="preserve">l ánfora </w:t>
      </w:r>
      <w:r w:rsidR="00D03260">
        <w:rPr>
          <w:rFonts w:ascii="Times New Roman" w:hAnsi="Times New Roman"/>
          <w:sz w:val="24"/>
          <w:szCs w:val="24"/>
        </w:rPr>
        <w:t>1</w:t>
      </w:r>
      <w:r w:rsidR="004A6A22" w:rsidRPr="0008486F">
        <w:rPr>
          <w:rFonts w:ascii="Times New Roman" w:hAnsi="Times New Roman"/>
          <w:sz w:val="24"/>
          <w:szCs w:val="24"/>
        </w:rPr>
        <w:t xml:space="preserve">0 es una PO11 </w:t>
      </w:r>
      <w:r w:rsidR="00D03260">
        <w:rPr>
          <w:rFonts w:ascii="Times New Roman" w:hAnsi="Times New Roman"/>
          <w:sz w:val="24"/>
          <w:szCs w:val="24"/>
        </w:rPr>
        <w:t xml:space="preserve">cuyo </w:t>
      </w:r>
      <w:r w:rsidR="00D03260" w:rsidRPr="00D03260">
        <w:rPr>
          <w:rFonts w:ascii="Times New Roman" w:hAnsi="Times New Roman"/>
          <w:i/>
          <w:sz w:val="24"/>
          <w:szCs w:val="24"/>
        </w:rPr>
        <w:t>titulus</w:t>
      </w:r>
      <w:r w:rsidR="00D03260">
        <w:rPr>
          <w:rFonts w:ascii="Times New Roman" w:hAnsi="Times New Roman"/>
          <w:sz w:val="24"/>
          <w:szCs w:val="24"/>
        </w:rPr>
        <w:t xml:space="preserve"> CAR</w:t>
      </w:r>
      <w:r w:rsidR="004A6A22" w:rsidRPr="0008486F">
        <w:rPr>
          <w:rFonts w:ascii="Times New Roman" w:hAnsi="Times New Roman"/>
          <w:sz w:val="24"/>
          <w:szCs w:val="24"/>
        </w:rPr>
        <w:t xml:space="preserve"> aparece</w:t>
      </w:r>
      <w:r w:rsidR="001A0DAB" w:rsidRPr="0008486F">
        <w:rPr>
          <w:rFonts w:ascii="Times New Roman" w:hAnsi="Times New Roman"/>
          <w:sz w:val="24"/>
          <w:szCs w:val="24"/>
        </w:rPr>
        <w:t xml:space="preserve"> en </w:t>
      </w:r>
      <w:r w:rsidR="001A0DAB" w:rsidRPr="0008486F">
        <w:rPr>
          <w:rFonts w:ascii="Times New Roman" w:hAnsi="Times New Roman"/>
          <w:i/>
          <w:sz w:val="24"/>
          <w:szCs w:val="24"/>
        </w:rPr>
        <w:t>nigrum</w:t>
      </w:r>
      <w:r w:rsidR="001A0DAB" w:rsidRPr="0008486F">
        <w:rPr>
          <w:rFonts w:ascii="Times New Roman" w:hAnsi="Times New Roman"/>
          <w:sz w:val="24"/>
          <w:szCs w:val="24"/>
        </w:rPr>
        <w:t xml:space="preserve">, acompañado de </w:t>
      </w:r>
      <w:r w:rsidR="00D03260">
        <w:rPr>
          <w:rFonts w:ascii="Times New Roman" w:hAnsi="Times New Roman"/>
          <w:sz w:val="24"/>
          <w:szCs w:val="24"/>
        </w:rPr>
        <w:t>otro posible</w:t>
      </w:r>
      <w:r w:rsidR="001A0DAB" w:rsidRPr="0008486F">
        <w:rPr>
          <w:rFonts w:ascii="Times New Roman" w:hAnsi="Times New Roman"/>
          <w:sz w:val="24"/>
          <w:szCs w:val="24"/>
        </w:rPr>
        <w:t xml:space="preserve"> </w:t>
      </w:r>
      <w:r w:rsidR="001A0DAB" w:rsidRPr="0008486F">
        <w:rPr>
          <w:rFonts w:ascii="Times New Roman" w:hAnsi="Times New Roman"/>
          <w:i/>
          <w:sz w:val="24"/>
          <w:szCs w:val="24"/>
        </w:rPr>
        <w:t>tria nomina</w:t>
      </w:r>
      <w:r w:rsidR="001A0DAB" w:rsidRPr="0008486F">
        <w:rPr>
          <w:rFonts w:ascii="Times New Roman" w:hAnsi="Times New Roman"/>
          <w:sz w:val="24"/>
          <w:szCs w:val="24"/>
        </w:rPr>
        <w:t>.</w:t>
      </w:r>
      <w:r w:rsidR="00A50376">
        <w:rPr>
          <w:rFonts w:ascii="Times New Roman" w:hAnsi="Times New Roman"/>
          <w:sz w:val="24"/>
          <w:szCs w:val="24"/>
        </w:rPr>
        <w:t xml:space="preserve"> </w:t>
      </w:r>
      <w:r w:rsidR="00A50376" w:rsidRPr="0008486F">
        <w:rPr>
          <w:rFonts w:ascii="Times New Roman" w:hAnsi="Times New Roman"/>
          <w:sz w:val="24"/>
          <w:szCs w:val="24"/>
        </w:rPr>
        <w:t xml:space="preserve">El ánfora </w:t>
      </w:r>
      <w:r w:rsidR="00A50376">
        <w:rPr>
          <w:rFonts w:ascii="Times New Roman" w:hAnsi="Times New Roman"/>
          <w:sz w:val="24"/>
          <w:szCs w:val="24"/>
        </w:rPr>
        <w:t>13</w:t>
      </w:r>
      <w:r w:rsidR="00A50376" w:rsidRPr="0008486F">
        <w:rPr>
          <w:rFonts w:ascii="Times New Roman" w:hAnsi="Times New Roman"/>
          <w:sz w:val="24"/>
          <w:szCs w:val="24"/>
        </w:rPr>
        <w:t xml:space="preserve"> es una PO08 hallada en 1898, distinguiéndose </w:t>
      </w:r>
      <w:r w:rsidR="00D03260">
        <w:rPr>
          <w:rFonts w:ascii="Times New Roman" w:hAnsi="Times New Roman"/>
          <w:sz w:val="24"/>
          <w:szCs w:val="24"/>
        </w:rPr>
        <w:t xml:space="preserve">así </w:t>
      </w:r>
      <w:r w:rsidR="00A50376" w:rsidRPr="0008486F">
        <w:rPr>
          <w:rFonts w:ascii="Times New Roman" w:hAnsi="Times New Roman"/>
          <w:sz w:val="24"/>
          <w:szCs w:val="24"/>
        </w:rPr>
        <w:t>respecto al lote antes definido.</w:t>
      </w:r>
    </w:p>
    <w:p w:rsidR="009018A8" w:rsidRPr="0008486F" w:rsidRDefault="00D03260" w:rsidP="00F34854">
      <w:pPr>
        <w:spacing w:after="0" w:line="360" w:lineRule="auto"/>
        <w:ind w:firstLine="709"/>
        <w:jc w:val="both"/>
        <w:rPr>
          <w:rFonts w:ascii="Times New Roman" w:hAnsi="Times New Roman"/>
          <w:sz w:val="24"/>
          <w:szCs w:val="24"/>
        </w:rPr>
      </w:pPr>
      <w:r>
        <w:rPr>
          <w:rFonts w:ascii="Times New Roman" w:hAnsi="Times New Roman"/>
          <w:sz w:val="24"/>
          <w:szCs w:val="24"/>
        </w:rPr>
        <w:t xml:space="preserve">El </w:t>
      </w:r>
      <w:r w:rsidRPr="00D03260">
        <w:rPr>
          <w:rFonts w:ascii="Times New Roman" w:hAnsi="Times New Roman"/>
          <w:i/>
          <w:sz w:val="24"/>
          <w:szCs w:val="24"/>
        </w:rPr>
        <w:t>titulus</w:t>
      </w:r>
      <w:r>
        <w:rPr>
          <w:rFonts w:ascii="Times New Roman" w:hAnsi="Times New Roman"/>
          <w:sz w:val="24"/>
          <w:szCs w:val="24"/>
        </w:rPr>
        <w:t xml:space="preserve"> CAR</w:t>
      </w:r>
      <w:r w:rsidR="00E70CBE" w:rsidRPr="0008486F">
        <w:rPr>
          <w:rFonts w:ascii="Times New Roman" w:hAnsi="Times New Roman"/>
          <w:sz w:val="24"/>
          <w:szCs w:val="24"/>
        </w:rPr>
        <w:t xml:space="preserve"> aparece </w:t>
      </w:r>
      <w:r w:rsidR="004B0E30" w:rsidRPr="0008486F">
        <w:rPr>
          <w:rFonts w:ascii="Times New Roman" w:hAnsi="Times New Roman"/>
          <w:sz w:val="24"/>
          <w:szCs w:val="24"/>
        </w:rPr>
        <w:t xml:space="preserve">frecuentemente </w:t>
      </w:r>
      <w:r w:rsidR="00E70CBE" w:rsidRPr="0008486F">
        <w:rPr>
          <w:rFonts w:ascii="Times New Roman" w:hAnsi="Times New Roman"/>
          <w:sz w:val="24"/>
          <w:szCs w:val="24"/>
        </w:rPr>
        <w:t>acompañad</w:t>
      </w:r>
      <w:r>
        <w:rPr>
          <w:rFonts w:ascii="Times New Roman" w:hAnsi="Times New Roman"/>
          <w:sz w:val="24"/>
          <w:szCs w:val="24"/>
        </w:rPr>
        <w:t>o</w:t>
      </w:r>
      <w:r w:rsidR="00E70CBE" w:rsidRPr="0008486F">
        <w:rPr>
          <w:rFonts w:ascii="Times New Roman" w:hAnsi="Times New Roman"/>
          <w:sz w:val="24"/>
          <w:szCs w:val="24"/>
        </w:rPr>
        <w:t xml:space="preserve"> por </w:t>
      </w:r>
      <w:r w:rsidR="00E70CBE" w:rsidRPr="0008486F">
        <w:rPr>
          <w:rFonts w:ascii="Times New Roman" w:hAnsi="Times New Roman"/>
          <w:i/>
          <w:sz w:val="24"/>
          <w:szCs w:val="24"/>
        </w:rPr>
        <w:t>tituli Graeci</w:t>
      </w:r>
      <w:r w:rsidR="00E70CBE" w:rsidRPr="0008486F">
        <w:rPr>
          <w:rFonts w:ascii="Times New Roman" w:hAnsi="Times New Roman"/>
          <w:sz w:val="24"/>
          <w:szCs w:val="24"/>
        </w:rPr>
        <w:t>. De hecho, la letra C se podría leer como sigma</w:t>
      </w:r>
      <w:r w:rsidR="00E80044" w:rsidRPr="0008486F">
        <w:rPr>
          <w:rFonts w:ascii="Times New Roman" w:hAnsi="Times New Roman"/>
          <w:sz w:val="24"/>
          <w:szCs w:val="24"/>
        </w:rPr>
        <w:t>, en su habitual forma epigráfica,</w:t>
      </w:r>
      <w:r w:rsidR="00E70CBE" w:rsidRPr="0008486F">
        <w:rPr>
          <w:rFonts w:ascii="Times New Roman" w:hAnsi="Times New Roman"/>
          <w:sz w:val="24"/>
          <w:szCs w:val="24"/>
        </w:rPr>
        <w:t xml:space="preserve"> y la A como alfa. No obstante, la R pertenece inequívocamente a las </w:t>
      </w:r>
      <w:r w:rsidR="00E70CBE" w:rsidRPr="0008486F">
        <w:rPr>
          <w:rFonts w:ascii="Times New Roman" w:hAnsi="Times New Roman"/>
          <w:i/>
          <w:sz w:val="24"/>
          <w:szCs w:val="24"/>
        </w:rPr>
        <w:t>litterae Latinae</w:t>
      </w:r>
      <w:r w:rsidR="00E70CBE" w:rsidRPr="0008486F">
        <w:rPr>
          <w:rFonts w:ascii="Times New Roman" w:hAnsi="Times New Roman"/>
          <w:sz w:val="24"/>
          <w:szCs w:val="24"/>
        </w:rPr>
        <w:t>, al igual que</w:t>
      </w:r>
      <w:r w:rsidR="005E7CC0" w:rsidRPr="0008486F">
        <w:rPr>
          <w:rFonts w:ascii="Times New Roman" w:hAnsi="Times New Roman"/>
          <w:sz w:val="24"/>
          <w:szCs w:val="24"/>
        </w:rPr>
        <w:t xml:space="preserve"> la</w:t>
      </w:r>
      <w:r w:rsidR="00E70CBE" w:rsidRPr="0008486F">
        <w:rPr>
          <w:rFonts w:ascii="Times New Roman" w:hAnsi="Times New Roman"/>
          <w:sz w:val="24"/>
          <w:szCs w:val="24"/>
        </w:rPr>
        <w:t xml:space="preserve"> V</w:t>
      </w:r>
      <w:r w:rsidR="004B0E30">
        <w:rPr>
          <w:rFonts w:ascii="Times New Roman" w:hAnsi="Times New Roman"/>
          <w:sz w:val="24"/>
          <w:szCs w:val="24"/>
        </w:rPr>
        <w:t xml:space="preserve"> de AVM. </w:t>
      </w:r>
      <w:r w:rsidR="00E80044" w:rsidRPr="0008486F">
        <w:rPr>
          <w:rFonts w:ascii="Times New Roman" w:hAnsi="Times New Roman"/>
          <w:sz w:val="24"/>
          <w:szCs w:val="24"/>
        </w:rPr>
        <w:t xml:space="preserve">Cabe objetar aún que las letras A y R pueden confundirse fácilmente en los </w:t>
      </w:r>
      <w:r w:rsidR="00E80044" w:rsidRPr="0008486F">
        <w:rPr>
          <w:rFonts w:ascii="Times New Roman" w:hAnsi="Times New Roman"/>
          <w:i/>
          <w:sz w:val="24"/>
          <w:szCs w:val="24"/>
        </w:rPr>
        <w:t>tituli picti</w:t>
      </w:r>
      <w:r w:rsidR="00E80044" w:rsidRPr="0008486F">
        <w:rPr>
          <w:rStyle w:val="FootnoteReference"/>
          <w:rFonts w:ascii="Times New Roman" w:hAnsi="Times New Roman"/>
          <w:sz w:val="24"/>
          <w:szCs w:val="24"/>
        </w:rPr>
        <w:footnoteReference w:id="25"/>
      </w:r>
      <w:r w:rsidR="00E80044" w:rsidRPr="0008486F">
        <w:rPr>
          <w:rFonts w:ascii="Times New Roman" w:hAnsi="Times New Roman"/>
          <w:sz w:val="24"/>
          <w:szCs w:val="24"/>
        </w:rPr>
        <w:t>.</w:t>
      </w:r>
      <w:r w:rsidR="00815E6F" w:rsidRPr="0008486F">
        <w:rPr>
          <w:rFonts w:ascii="Times New Roman" w:hAnsi="Times New Roman"/>
          <w:sz w:val="24"/>
          <w:szCs w:val="24"/>
        </w:rPr>
        <w:t xml:space="preserve"> Se añade además el problema de la ausencia de interpunciones en </w:t>
      </w:r>
      <w:r w:rsidR="004B0E30">
        <w:rPr>
          <w:rFonts w:ascii="Times New Roman" w:hAnsi="Times New Roman"/>
          <w:sz w:val="24"/>
          <w:szCs w:val="24"/>
        </w:rPr>
        <w:t xml:space="preserve">los </w:t>
      </w:r>
      <w:r w:rsidR="004B0E30" w:rsidRPr="004B0E30">
        <w:rPr>
          <w:rFonts w:ascii="Times New Roman" w:hAnsi="Times New Roman"/>
          <w:i/>
          <w:sz w:val="24"/>
          <w:szCs w:val="24"/>
        </w:rPr>
        <w:t>tituli</w:t>
      </w:r>
      <w:r w:rsidR="004B0E30">
        <w:rPr>
          <w:rFonts w:ascii="Times New Roman" w:hAnsi="Times New Roman"/>
          <w:sz w:val="24"/>
          <w:szCs w:val="24"/>
        </w:rPr>
        <w:t xml:space="preserve"> CAR documentado</w:t>
      </w:r>
      <w:r w:rsidR="00815E6F" w:rsidRPr="0008486F">
        <w:rPr>
          <w:rFonts w:ascii="Times New Roman" w:hAnsi="Times New Roman"/>
          <w:sz w:val="24"/>
          <w:szCs w:val="24"/>
        </w:rPr>
        <w:t xml:space="preserve">s, por lo que podría interpretarse como la abreviatura </w:t>
      </w:r>
      <w:r w:rsidR="00815E6F" w:rsidRPr="0008486F">
        <w:rPr>
          <w:rFonts w:ascii="Times New Roman" w:hAnsi="Times New Roman"/>
          <w:i/>
          <w:sz w:val="24"/>
          <w:szCs w:val="24"/>
        </w:rPr>
        <w:t>car</w:t>
      </w:r>
      <w:r w:rsidR="00815E6F" w:rsidRPr="0008486F">
        <w:rPr>
          <w:rFonts w:ascii="Times New Roman" w:hAnsi="Times New Roman"/>
          <w:sz w:val="24"/>
          <w:szCs w:val="24"/>
        </w:rPr>
        <w:t xml:space="preserve">(---) o </w:t>
      </w:r>
      <w:r w:rsidR="00815E6F" w:rsidRPr="0008486F">
        <w:rPr>
          <w:rFonts w:ascii="Times New Roman" w:hAnsi="Times New Roman"/>
          <w:i/>
          <w:sz w:val="24"/>
          <w:szCs w:val="24"/>
        </w:rPr>
        <w:t>Car</w:t>
      </w:r>
      <w:r w:rsidR="00815E6F" w:rsidRPr="0008486F">
        <w:rPr>
          <w:rFonts w:ascii="Times New Roman" w:hAnsi="Times New Roman"/>
          <w:sz w:val="24"/>
          <w:szCs w:val="24"/>
        </w:rPr>
        <w:t>(---)</w:t>
      </w:r>
      <w:r w:rsidR="007C1D61" w:rsidRPr="0008486F">
        <w:rPr>
          <w:rFonts w:ascii="Times New Roman" w:hAnsi="Times New Roman"/>
          <w:sz w:val="24"/>
          <w:szCs w:val="24"/>
        </w:rPr>
        <w:t xml:space="preserve">, en vez de </w:t>
      </w:r>
      <w:r w:rsidR="004B0E30">
        <w:rPr>
          <w:rFonts w:ascii="Times New Roman" w:hAnsi="Times New Roman"/>
          <w:sz w:val="24"/>
          <w:szCs w:val="24"/>
        </w:rPr>
        <w:t>como sigla de</w:t>
      </w:r>
      <w:r w:rsidR="007C1D61" w:rsidRPr="0008486F">
        <w:rPr>
          <w:rFonts w:ascii="Times New Roman" w:hAnsi="Times New Roman"/>
          <w:sz w:val="24"/>
          <w:szCs w:val="24"/>
        </w:rPr>
        <w:t xml:space="preserve"> </w:t>
      </w:r>
      <w:r w:rsidR="007C1D61" w:rsidRPr="0008486F">
        <w:rPr>
          <w:rFonts w:ascii="Times New Roman" w:hAnsi="Times New Roman"/>
          <w:i/>
          <w:sz w:val="24"/>
          <w:szCs w:val="24"/>
        </w:rPr>
        <w:t>tria nomina</w:t>
      </w:r>
      <w:r w:rsidR="007C1D61" w:rsidRPr="0008486F">
        <w:rPr>
          <w:rFonts w:ascii="Times New Roman" w:hAnsi="Times New Roman"/>
          <w:sz w:val="24"/>
          <w:szCs w:val="24"/>
        </w:rPr>
        <w:t>. Para valorar esta</w:t>
      </w:r>
      <w:r w:rsidR="005E7CC0" w:rsidRPr="0008486F">
        <w:rPr>
          <w:rFonts w:ascii="Times New Roman" w:hAnsi="Times New Roman"/>
          <w:sz w:val="24"/>
          <w:szCs w:val="24"/>
        </w:rPr>
        <w:t>s</w:t>
      </w:r>
      <w:r w:rsidR="007C1D61" w:rsidRPr="0008486F">
        <w:rPr>
          <w:rFonts w:ascii="Times New Roman" w:hAnsi="Times New Roman"/>
          <w:sz w:val="24"/>
          <w:szCs w:val="24"/>
        </w:rPr>
        <w:t xml:space="preserve"> posibilidad</w:t>
      </w:r>
      <w:r w:rsidR="005E7CC0" w:rsidRPr="0008486F">
        <w:rPr>
          <w:rFonts w:ascii="Times New Roman" w:hAnsi="Times New Roman"/>
          <w:sz w:val="24"/>
          <w:szCs w:val="24"/>
        </w:rPr>
        <w:t>es</w:t>
      </w:r>
      <w:r w:rsidR="007C1D61" w:rsidRPr="0008486F">
        <w:rPr>
          <w:rFonts w:ascii="Times New Roman" w:hAnsi="Times New Roman"/>
          <w:sz w:val="24"/>
          <w:szCs w:val="24"/>
        </w:rPr>
        <w:t xml:space="preserve">, se han examinado otros </w:t>
      </w:r>
      <w:r w:rsidR="007C1D61" w:rsidRPr="0008486F">
        <w:rPr>
          <w:rFonts w:ascii="Times New Roman" w:hAnsi="Times New Roman"/>
          <w:i/>
          <w:sz w:val="24"/>
          <w:szCs w:val="24"/>
        </w:rPr>
        <w:t>tituli</w:t>
      </w:r>
      <w:r w:rsidR="007C1D61" w:rsidRPr="0008486F">
        <w:rPr>
          <w:rFonts w:ascii="Times New Roman" w:hAnsi="Times New Roman"/>
          <w:sz w:val="24"/>
          <w:szCs w:val="24"/>
        </w:rPr>
        <w:t xml:space="preserve"> </w:t>
      </w:r>
      <w:r w:rsidR="004B0E30">
        <w:rPr>
          <w:rFonts w:ascii="Times New Roman" w:hAnsi="Times New Roman"/>
          <w:sz w:val="24"/>
          <w:szCs w:val="24"/>
        </w:rPr>
        <w:t>sobre distintos tipos anfóricos</w:t>
      </w:r>
      <w:r w:rsidR="007C1D61" w:rsidRPr="0008486F">
        <w:rPr>
          <w:rFonts w:ascii="Times New Roman" w:hAnsi="Times New Roman"/>
          <w:sz w:val="24"/>
          <w:szCs w:val="24"/>
        </w:rPr>
        <w:t xml:space="preserve"> del </w:t>
      </w:r>
      <w:r w:rsidR="007C1D61" w:rsidRPr="0008486F">
        <w:rPr>
          <w:rFonts w:ascii="Times New Roman" w:hAnsi="Times New Roman"/>
          <w:i/>
          <w:sz w:val="24"/>
          <w:szCs w:val="24"/>
        </w:rPr>
        <w:t>CIL</w:t>
      </w:r>
      <w:r w:rsidR="007C1D61" w:rsidRPr="0008486F">
        <w:rPr>
          <w:rFonts w:ascii="Times New Roman" w:hAnsi="Times New Roman"/>
          <w:sz w:val="24"/>
          <w:szCs w:val="24"/>
        </w:rPr>
        <w:t xml:space="preserve"> IV y otras publicaciones</w:t>
      </w:r>
      <w:r w:rsidR="004B0E30">
        <w:rPr>
          <w:rStyle w:val="FootnoteReference"/>
          <w:rFonts w:ascii="Times New Roman" w:hAnsi="Times New Roman"/>
          <w:sz w:val="24"/>
          <w:szCs w:val="24"/>
        </w:rPr>
        <w:footnoteReference w:id="26"/>
      </w:r>
      <w:r w:rsidR="007C1D61" w:rsidRPr="0008486F">
        <w:rPr>
          <w:rFonts w:ascii="Times New Roman" w:hAnsi="Times New Roman"/>
          <w:sz w:val="24"/>
          <w:szCs w:val="24"/>
        </w:rPr>
        <w:t xml:space="preserve">. Se han </w:t>
      </w:r>
      <w:r w:rsidR="005E7CC0" w:rsidRPr="0008486F">
        <w:rPr>
          <w:rFonts w:ascii="Times New Roman" w:hAnsi="Times New Roman"/>
          <w:sz w:val="24"/>
          <w:szCs w:val="24"/>
        </w:rPr>
        <w:t>buscado</w:t>
      </w:r>
      <w:r w:rsidR="007C1D61" w:rsidRPr="0008486F">
        <w:rPr>
          <w:rFonts w:ascii="Times New Roman" w:hAnsi="Times New Roman"/>
          <w:sz w:val="24"/>
          <w:szCs w:val="24"/>
        </w:rPr>
        <w:t xml:space="preserve"> las combinaciones</w:t>
      </w:r>
      <w:r w:rsidR="00577C55">
        <w:rPr>
          <w:rFonts w:ascii="Times New Roman" w:hAnsi="Times New Roman"/>
          <w:sz w:val="24"/>
          <w:szCs w:val="24"/>
        </w:rPr>
        <w:t xml:space="preserve"> y lecturas</w:t>
      </w:r>
      <w:r w:rsidR="007C1D61" w:rsidRPr="0008486F">
        <w:rPr>
          <w:rFonts w:ascii="Times New Roman" w:hAnsi="Times New Roman"/>
          <w:sz w:val="24"/>
          <w:szCs w:val="24"/>
        </w:rPr>
        <w:t xml:space="preserve"> alternativas: </w:t>
      </w:r>
      <w:r w:rsidR="00577C55">
        <w:rPr>
          <w:rFonts w:ascii="Times New Roman" w:hAnsi="Times New Roman"/>
          <w:i/>
          <w:sz w:val="24"/>
          <w:szCs w:val="24"/>
        </w:rPr>
        <w:t>car</w:t>
      </w:r>
      <w:r w:rsidR="0066559F" w:rsidRPr="0008486F">
        <w:rPr>
          <w:rFonts w:ascii="Times New Roman" w:hAnsi="Times New Roman"/>
          <w:sz w:val="24"/>
          <w:szCs w:val="24"/>
        </w:rPr>
        <w:t>(---</w:t>
      </w:r>
      <w:r w:rsidR="007C1D61" w:rsidRPr="0008486F">
        <w:rPr>
          <w:rFonts w:ascii="Times New Roman" w:hAnsi="Times New Roman"/>
          <w:sz w:val="24"/>
          <w:szCs w:val="24"/>
        </w:rPr>
        <w:t>)</w:t>
      </w:r>
      <w:r w:rsidR="007877AE" w:rsidRPr="0008486F">
        <w:rPr>
          <w:rStyle w:val="FootnoteReference"/>
          <w:rFonts w:ascii="Times New Roman" w:hAnsi="Times New Roman"/>
          <w:sz w:val="24"/>
          <w:szCs w:val="24"/>
        </w:rPr>
        <w:footnoteReference w:id="27"/>
      </w:r>
      <w:r w:rsidR="007C1D61" w:rsidRPr="0008486F">
        <w:rPr>
          <w:rFonts w:ascii="Times New Roman" w:hAnsi="Times New Roman"/>
          <w:sz w:val="24"/>
          <w:szCs w:val="24"/>
        </w:rPr>
        <w:t xml:space="preserve">, </w:t>
      </w:r>
      <w:r w:rsidR="007C1D61" w:rsidRPr="0008486F">
        <w:rPr>
          <w:rFonts w:ascii="Times New Roman" w:hAnsi="Times New Roman"/>
          <w:i/>
          <w:sz w:val="24"/>
          <w:szCs w:val="24"/>
        </w:rPr>
        <w:t>C. A. A.</w:t>
      </w:r>
      <w:r w:rsidR="007877AE" w:rsidRPr="0008486F">
        <w:rPr>
          <w:rStyle w:val="FootnoteReference"/>
          <w:rFonts w:ascii="Times New Roman" w:hAnsi="Times New Roman"/>
          <w:sz w:val="24"/>
          <w:szCs w:val="24"/>
        </w:rPr>
        <w:footnoteReference w:id="28"/>
      </w:r>
      <w:r w:rsidR="007C1D61" w:rsidRPr="0008486F">
        <w:rPr>
          <w:rFonts w:ascii="Times New Roman" w:hAnsi="Times New Roman"/>
          <w:sz w:val="24"/>
          <w:szCs w:val="24"/>
        </w:rPr>
        <w:t xml:space="preserve">, </w:t>
      </w:r>
      <w:r w:rsidR="00577C55">
        <w:rPr>
          <w:rFonts w:ascii="Times New Roman" w:hAnsi="Times New Roman"/>
          <w:i/>
          <w:sz w:val="24"/>
          <w:szCs w:val="24"/>
        </w:rPr>
        <w:t>cra</w:t>
      </w:r>
      <w:r w:rsidR="007C1D61" w:rsidRPr="0008486F">
        <w:rPr>
          <w:rFonts w:ascii="Times New Roman" w:hAnsi="Times New Roman"/>
          <w:sz w:val="24"/>
          <w:szCs w:val="24"/>
        </w:rPr>
        <w:t xml:space="preserve">(---), </w:t>
      </w:r>
      <w:r w:rsidR="007C1D61" w:rsidRPr="0008486F">
        <w:rPr>
          <w:rFonts w:ascii="Times New Roman" w:hAnsi="Times New Roman"/>
          <w:i/>
          <w:sz w:val="24"/>
          <w:szCs w:val="24"/>
        </w:rPr>
        <w:t>C. R. A.</w:t>
      </w:r>
      <w:r w:rsidR="007C1D61" w:rsidRPr="0008486F">
        <w:rPr>
          <w:rFonts w:ascii="Times New Roman" w:hAnsi="Times New Roman"/>
          <w:sz w:val="24"/>
          <w:szCs w:val="24"/>
        </w:rPr>
        <w:t xml:space="preserve"> </w:t>
      </w:r>
      <w:r w:rsidR="00532D60" w:rsidRPr="0008486F">
        <w:rPr>
          <w:rFonts w:ascii="Times New Roman" w:hAnsi="Times New Roman"/>
          <w:sz w:val="24"/>
          <w:szCs w:val="24"/>
        </w:rPr>
        <w:t xml:space="preserve">y </w:t>
      </w:r>
      <w:r w:rsidR="00532D60" w:rsidRPr="0008486F">
        <w:rPr>
          <w:rFonts w:ascii="Times New Roman" w:hAnsi="Times New Roman"/>
          <w:i/>
          <w:sz w:val="24"/>
          <w:szCs w:val="24"/>
        </w:rPr>
        <w:t>C. R. R.</w:t>
      </w:r>
      <w:r w:rsidR="00532D60" w:rsidRPr="0008486F">
        <w:rPr>
          <w:rFonts w:ascii="Times New Roman" w:hAnsi="Times New Roman"/>
          <w:sz w:val="24"/>
          <w:szCs w:val="24"/>
        </w:rPr>
        <w:t xml:space="preserve"> Igual</w:t>
      </w:r>
      <w:r w:rsidR="007C1D61" w:rsidRPr="0008486F">
        <w:rPr>
          <w:rFonts w:ascii="Times New Roman" w:hAnsi="Times New Roman"/>
          <w:sz w:val="24"/>
          <w:szCs w:val="24"/>
        </w:rPr>
        <w:t>mente, se ha considerado las versiones griegas donde C pueda</w:t>
      </w:r>
      <w:r w:rsidR="00577C55">
        <w:rPr>
          <w:rFonts w:ascii="Times New Roman" w:hAnsi="Times New Roman"/>
          <w:sz w:val="24"/>
          <w:szCs w:val="24"/>
        </w:rPr>
        <w:t xml:space="preserve"> haberse transcrito como Σ y A o R</w:t>
      </w:r>
      <w:r w:rsidR="007C1D61" w:rsidRPr="0008486F">
        <w:rPr>
          <w:rFonts w:ascii="Times New Roman" w:hAnsi="Times New Roman"/>
          <w:sz w:val="24"/>
          <w:szCs w:val="24"/>
        </w:rPr>
        <w:t xml:space="preserve"> como </w:t>
      </w:r>
      <w:r w:rsidR="00577C55">
        <w:rPr>
          <w:rFonts w:ascii="Times New Roman" w:hAnsi="Times New Roman"/>
          <w:sz w:val="24"/>
          <w:szCs w:val="24"/>
        </w:rPr>
        <w:t>Λ</w:t>
      </w:r>
      <w:r w:rsidR="0066559F" w:rsidRPr="0008486F">
        <w:rPr>
          <w:rStyle w:val="FootnoteReference"/>
          <w:rFonts w:ascii="Times New Roman" w:hAnsi="Times New Roman"/>
          <w:sz w:val="24"/>
          <w:szCs w:val="24"/>
        </w:rPr>
        <w:footnoteReference w:id="29"/>
      </w:r>
      <w:r w:rsidR="007C1D61" w:rsidRPr="0008486F">
        <w:rPr>
          <w:rFonts w:ascii="Times New Roman" w:hAnsi="Times New Roman"/>
          <w:sz w:val="24"/>
          <w:szCs w:val="24"/>
        </w:rPr>
        <w:t xml:space="preserve">. </w:t>
      </w:r>
      <w:r w:rsidR="00D809DC" w:rsidRPr="0008486F">
        <w:rPr>
          <w:rFonts w:ascii="Times New Roman" w:hAnsi="Times New Roman"/>
          <w:sz w:val="24"/>
          <w:szCs w:val="24"/>
        </w:rPr>
        <w:t xml:space="preserve">Ninguno de los registros comprobados se ha </w:t>
      </w:r>
      <w:r w:rsidR="00067D42">
        <w:rPr>
          <w:rFonts w:ascii="Times New Roman" w:hAnsi="Times New Roman"/>
          <w:sz w:val="24"/>
          <w:szCs w:val="24"/>
        </w:rPr>
        <w:t>suscitado una interpretación distinta de CAR</w:t>
      </w:r>
      <w:r w:rsidR="00D809DC" w:rsidRPr="0008486F">
        <w:rPr>
          <w:rFonts w:ascii="Times New Roman" w:hAnsi="Times New Roman"/>
          <w:i/>
          <w:sz w:val="24"/>
          <w:szCs w:val="24"/>
        </w:rPr>
        <w:t>.</w:t>
      </w:r>
      <w:r w:rsidR="00D809DC" w:rsidRPr="0008486F">
        <w:rPr>
          <w:rFonts w:ascii="Times New Roman" w:hAnsi="Times New Roman"/>
          <w:sz w:val="24"/>
          <w:szCs w:val="24"/>
        </w:rPr>
        <w:t xml:space="preserve"> Por tanto, en el estado actual de la investigación, </w:t>
      </w:r>
      <w:r w:rsidR="00067D42">
        <w:rPr>
          <w:rFonts w:ascii="Times New Roman" w:hAnsi="Times New Roman"/>
          <w:sz w:val="24"/>
          <w:szCs w:val="24"/>
        </w:rPr>
        <w:t>CAR</w:t>
      </w:r>
      <w:r w:rsidR="00D809DC" w:rsidRPr="0008486F">
        <w:rPr>
          <w:rFonts w:ascii="Times New Roman" w:hAnsi="Times New Roman"/>
          <w:sz w:val="24"/>
          <w:szCs w:val="24"/>
        </w:rPr>
        <w:t xml:space="preserve"> se considera como</w:t>
      </w:r>
      <w:r w:rsidR="00160EFE">
        <w:rPr>
          <w:rFonts w:ascii="Times New Roman" w:hAnsi="Times New Roman"/>
          <w:sz w:val="24"/>
          <w:szCs w:val="24"/>
        </w:rPr>
        <w:t xml:space="preserve"> posible</w:t>
      </w:r>
      <w:r w:rsidR="00D809DC" w:rsidRPr="0008486F">
        <w:rPr>
          <w:rFonts w:ascii="Times New Roman" w:hAnsi="Times New Roman"/>
          <w:sz w:val="24"/>
          <w:szCs w:val="24"/>
        </w:rPr>
        <w:t xml:space="preserve"> </w:t>
      </w:r>
      <w:r w:rsidR="00D809DC" w:rsidRPr="0008486F">
        <w:rPr>
          <w:rFonts w:ascii="Times New Roman" w:hAnsi="Times New Roman"/>
          <w:i/>
          <w:sz w:val="24"/>
          <w:szCs w:val="24"/>
        </w:rPr>
        <w:t>tria nomina</w:t>
      </w:r>
      <w:r w:rsidR="00D809DC" w:rsidRPr="0008486F">
        <w:rPr>
          <w:rFonts w:ascii="Times New Roman" w:hAnsi="Times New Roman"/>
          <w:sz w:val="24"/>
          <w:szCs w:val="24"/>
        </w:rPr>
        <w:t xml:space="preserve"> abreviado en relación al paralelo qu</w:t>
      </w:r>
      <w:r w:rsidR="000210D0" w:rsidRPr="0008486F">
        <w:rPr>
          <w:rFonts w:ascii="Times New Roman" w:hAnsi="Times New Roman"/>
          <w:sz w:val="24"/>
          <w:szCs w:val="24"/>
        </w:rPr>
        <w:t xml:space="preserve">e ofrece </w:t>
      </w:r>
      <w:r w:rsidR="00067D42">
        <w:rPr>
          <w:rFonts w:ascii="Times New Roman" w:hAnsi="Times New Roman"/>
          <w:sz w:val="24"/>
          <w:szCs w:val="24"/>
        </w:rPr>
        <w:t xml:space="preserve">el </w:t>
      </w:r>
      <w:r w:rsidR="00067D42" w:rsidRPr="00067D42">
        <w:rPr>
          <w:rFonts w:ascii="Times New Roman" w:hAnsi="Times New Roman"/>
          <w:i/>
          <w:sz w:val="24"/>
          <w:szCs w:val="24"/>
        </w:rPr>
        <w:t>titulus</w:t>
      </w:r>
      <w:r w:rsidR="00067D42">
        <w:rPr>
          <w:rFonts w:ascii="Times New Roman" w:hAnsi="Times New Roman"/>
          <w:sz w:val="24"/>
          <w:szCs w:val="24"/>
        </w:rPr>
        <w:t xml:space="preserve"> TICO</w:t>
      </w:r>
      <w:r w:rsidR="008872D1">
        <w:rPr>
          <w:rFonts w:ascii="Times New Roman" w:hAnsi="Times New Roman"/>
          <w:sz w:val="24"/>
          <w:szCs w:val="24"/>
        </w:rPr>
        <w:t>, tratado más adelante.</w:t>
      </w:r>
    </w:p>
    <w:p w:rsidR="00186CAA" w:rsidRPr="00F34854" w:rsidRDefault="0066273C" w:rsidP="00F34854">
      <w:pPr>
        <w:spacing w:after="0" w:line="360" w:lineRule="auto"/>
        <w:ind w:firstLine="709"/>
        <w:jc w:val="both"/>
        <w:rPr>
          <w:rFonts w:ascii="Times New Roman" w:hAnsi="Times New Roman"/>
          <w:sz w:val="24"/>
          <w:szCs w:val="24"/>
        </w:rPr>
      </w:pPr>
      <w:r w:rsidRPr="0008486F">
        <w:rPr>
          <w:rFonts w:ascii="Times New Roman" w:hAnsi="Times New Roman"/>
          <w:sz w:val="24"/>
          <w:szCs w:val="24"/>
        </w:rPr>
        <w:t xml:space="preserve">El listado prosopográfico de Castrén no ofrece </w:t>
      </w:r>
      <w:r w:rsidR="00967AA5" w:rsidRPr="0008486F">
        <w:rPr>
          <w:rFonts w:ascii="Times New Roman" w:hAnsi="Times New Roman"/>
          <w:sz w:val="24"/>
          <w:szCs w:val="24"/>
        </w:rPr>
        <w:t xml:space="preserve">ningún </w:t>
      </w:r>
      <w:r w:rsidRPr="0008486F">
        <w:rPr>
          <w:rFonts w:ascii="Times New Roman" w:hAnsi="Times New Roman"/>
          <w:sz w:val="24"/>
          <w:szCs w:val="24"/>
        </w:rPr>
        <w:t>caso que corresponda a esta sigla. Sólo una PO11</w:t>
      </w:r>
      <w:r w:rsidR="00967AA5" w:rsidRPr="0008486F">
        <w:rPr>
          <w:rStyle w:val="FootnoteReference"/>
          <w:rFonts w:ascii="Times New Roman" w:hAnsi="Times New Roman"/>
          <w:sz w:val="24"/>
          <w:szCs w:val="24"/>
        </w:rPr>
        <w:footnoteReference w:id="30"/>
      </w:r>
      <w:r w:rsidRPr="0008486F">
        <w:rPr>
          <w:rFonts w:ascii="Times New Roman" w:hAnsi="Times New Roman"/>
          <w:sz w:val="24"/>
          <w:szCs w:val="24"/>
        </w:rPr>
        <w:t xml:space="preserve"> sin información sobre el lugar o la fecha de hallazgo muestra el nombre en genitivo de </w:t>
      </w:r>
      <w:r w:rsidRPr="00CC129E">
        <w:rPr>
          <w:rFonts w:ascii="Times New Roman" w:hAnsi="Times New Roman"/>
          <w:i/>
          <w:sz w:val="24"/>
          <w:szCs w:val="24"/>
        </w:rPr>
        <w:t>C. Antonius Rusticus</w:t>
      </w:r>
      <w:r w:rsidRPr="0008486F">
        <w:rPr>
          <w:rFonts w:ascii="Times New Roman" w:hAnsi="Times New Roman"/>
          <w:sz w:val="24"/>
          <w:szCs w:val="24"/>
        </w:rPr>
        <w:t>.</w:t>
      </w:r>
      <w:r w:rsidR="004D044B" w:rsidRPr="0008486F">
        <w:rPr>
          <w:rFonts w:ascii="Times New Roman" w:hAnsi="Times New Roman"/>
          <w:sz w:val="24"/>
          <w:szCs w:val="24"/>
        </w:rPr>
        <w:t xml:space="preserve"> Day</w:t>
      </w:r>
      <w:r w:rsidR="006F733B" w:rsidRPr="0008486F">
        <w:rPr>
          <w:rStyle w:val="FootnoteReference"/>
          <w:rFonts w:ascii="Times New Roman" w:hAnsi="Times New Roman"/>
          <w:sz w:val="24"/>
          <w:szCs w:val="24"/>
        </w:rPr>
        <w:footnoteReference w:id="31"/>
      </w:r>
      <w:r w:rsidR="004D044B" w:rsidRPr="0008486F">
        <w:rPr>
          <w:rFonts w:ascii="Times New Roman" w:hAnsi="Times New Roman"/>
          <w:sz w:val="24"/>
          <w:szCs w:val="24"/>
        </w:rPr>
        <w:t xml:space="preserve"> lo incluyó</w:t>
      </w:r>
      <w:r w:rsidR="006F733B" w:rsidRPr="0008486F">
        <w:rPr>
          <w:rFonts w:ascii="Times New Roman" w:hAnsi="Times New Roman"/>
          <w:sz w:val="24"/>
          <w:szCs w:val="24"/>
        </w:rPr>
        <w:t xml:space="preserve"> entre los productores de vino que pertenecían a familias pompeyanas. Aunque los </w:t>
      </w:r>
      <w:r w:rsidR="006F733B" w:rsidRPr="00CC129E">
        <w:rPr>
          <w:rFonts w:ascii="Times New Roman" w:hAnsi="Times New Roman"/>
          <w:i/>
          <w:sz w:val="24"/>
          <w:szCs w:val="24"/>
        </w:rPr>
        <w:t>Antonii</w:t>
      </w:r>
      <w:r w:rsidR="006F733B" w:rsidRPr="0008486F">
        <w:rPr>
          <w:rFonts w:ascii="Times New Roman" w:hAnsi="Times New Roman"/>
          <w:sz w:val="24"/>
          <w:szCs w:val="24"/>
        </w:rPr>
        <w:t xml:space="preserve"> estén documentados en </w:t>
      </w:r>
      <w:r w:rsidR="006F733B" w:rsidRPr="0008486F">
        <w:rPr>
          <w:rFonts w:ascii="Times New Roman" w:hAnsi="Times New Roman"/>
          <w:i/>
          <w:sz w:val="24"/>
          <w:szCs w:val="24"/>
        </w:rPr>
        <w:t>Pompeii</w:t>
      </w:r>
      <w:r w:rsidR="006F733B" w:rsidRPr="0008486F">
        <w:rPr>
          <w:rStyle w:val="FootnoteReference"/>
          <w:rFonts w:ascii="Times New Roman" w:hAnsi="Times New Roman"/>
          <w:sz w:val="24"/>
          <w:szCs w:val="24"/>
        </w:rPr>
        <w:footnoteReference w:id="32"/>
      </w:r>
      <w:r w:rsidR="00967AA5" w:rsidRPr="0008486F">
        <w:rPr>
          <w:rFonts w:ascii="Times New Roman" w:hAnsi="Times New Roman"/>
          <w:sz w:val="24"/>
          <w:szCs w:val="24"/>
        </w:rPr>
        <w:t xml:space="preserve">, </w:t>
      </w:r>
      <w:r w:rsidR="006F733B" w:rsidRPr="0008486F">
        <w:rPr>
          <w:rFonts w:ascii="Times New Roman" w:hAnsi="Times New Roman"/>
          <w:sz w:val="24"/>
          <w:szCs w:val="24"/>
        </w:rPr>
        <w:t xml:space="preserve">no se trata de un argumento suficientemente sólido como para fijar aquí </w:t>
      </w:r>
      <w:r w:rsidR="00067D42">
        <w:rPr>
          <w:rFonts w:ascii="Times New Roman" w:hAnsi="Times New Roman"/>
          <w:sz w:val="24"/>
          <w:szCs w:val="24"/>
        </w:rPr>
        <w:t>la</w:t>
      </w:r>
      <w:r w:rsidR="006F733B" w:rsidRPr="0008486F">
        <w:rPr>
          <w:rFonts w:ascii="Times New Roman" w:hAnsi="Times New Roman"/>
          <w:sz w:val="24"/>
          <w:szCs w:val="24"/>
        </w:rPr>
        <w:t xml:space="preserve"> residencia</w:t>
      </w:r>
      <w:r w:rsidR="00067D42">
        <w:rPr>
          <w:rFonts w:ascii="Times New Roman" w:hAnsi="Times New Roman"/>
          <w:sz w:val="24"/>
          <w:szCs w:val="24"/>
        </w:rPr>
        <w:t xml:space="preserve"> de </w:t>
      </w:r>
      <w:r w:rsidR="00067D42" w:rsidRPr="00CC129E">
        <w:rPr>
          <w:rFonts w:ascii="Times New Roman" w:hAnsi="Times New Roman"/>
          <w:i/>
          <w:sz w:val="24"/>
          <w:szCs w:val="24"/>
        </w:rPr>
        <w:t>Rusticus</w:t>
      </w:r>
      <w:r w:rsidR="006F733B" w:rsidRPr="0008486F">
        <w:rPr>
          <w:rFonts w:ascii="Times New Roman" w:hAnsi="Times New Roman"/>
          <w:sz w:val="24"/>
          <w:szCs w:val="24"/>
        </w:rPr>
        <w:t>.</w:t>
      </w:r>
      <w:r w:rsidR="00967AA5" w:rsidRPr="0008486F">
        <w:rPr>
          <w:rFonts w:ascii="Times New Roman" w:hAnsi="Times New Roman"/>
          <w:sz w:val="24"/>
          <w:szCs w:val="24"/>
        </w:rPr>
        <w:t xml:space="preserve"> No obstante, esta ánfora PO11 se empleó anómalamente para contener </w:t>
      </w:r>
      <w:r w:rsidR="00967AA5" w:rsidRPr="0008486F">
        <w:rPr>
          <w:rFonts w:ascii="Times New Roman" w:hAnsi="Times New Roman"/>
          <w:i/>
          <w:sz w:val="24"/>
          <w:szCs w:val="24"/>
        </w:rPr>
        <w:t>defrutum</w:t>
      </w:r>
      <w:r w:rsidR="00BD7E11">
        <w:rPr>
          <w:rFonts w:ascii="Times New Roman" w:hAnsi="Times New Roman"/>
          <w:sz w:val="24"/>
          <w:szCs w:val="24"/>
        </w:rPr>
        <w:t>, en vez de aceite. Además, e</w:t>
      </w:r>
      <w:r w:rsidR="00967AA5" w:rsidRPr="0008486F">
        <w:rPr>
          <w:rFonts w:ascii="Times New Roman" w:hAnsi="Times New Roman"/>
          <w:sz w:val="24"/>
          <w:szCs w:val="24"/>
        </w:rPr>
        <w:t xml:space="preserve">l desarrollo del nombre frente al empleo de siglas tampoco es usual para estas ánforas en </w:t>
      </w:r>
      <w:r w:rsidR="00967AA5" w:rsidRPr="0008486F">
        <w:rPr>
          <w:rFonts w:ascii="Times New Roman" w:hAnsi="Times New Roman"/>
          <w:i/>
          <w:sz w:val="24"/>
          <w:szCs w:val="24"/>
        </w:rPr>
        <w:t>Pompeii</w:t>
      </w:r>
      <w:r w:rsidR="004F025D" w:rsidRPr="0008486F">
        <w:rPr>
          <w:rStyle w:val="FootnoteReference"/>
          <w:rFonts w:ascii="Times New Roman" w:hAnsi="Times New Roman"/>
          <w:sz w:val="24"/>
          <w:szCs w:val="24"/>
        </w:rPr>
        <w:footnoteReference w:id="33"/>
      </w:r>
      <w:r w:rsidR="00967AA5" w:rsidRPr="0008486F">
        <w:rPr>
          <w:rFonts w:ascii="Times New Roman" w:hAnsi="Times New Roman"/>
          <w:sz w:val="24"/>
          <w:szCs w:val="24"/>
        </w:rPr>
        <w:t xml:space="preserve">. Desde esta perspectiva, podría tratarse de una reutilización del envase, lo que haría más probable que </w:t>
      </w:r>
      <w:r w:rsidR="00967AA5" w:rsidRPr="00CC129E">
        <w:rPr>
          <w:rFonts w:ascii="Times New Roman" w:hAnsi="Times New Roman"/>
          <w:i/>
          <w:sz w:val="24"/>
          <w:szCs w:val="24"/>
        </w:rPr>
        <w:t>C. Antonius Rusticus</w:t>
      </w:r>
      <w:r w:rsidR="00967AA5" w:rsidRPr="0008486F">
        <w:rPr>
          <w:rFonts w:ascii="Times New Roman" w:hAnsi="Times New Roman"/>
          <w:sz w:val="24"/>
          <w:szCs w:val="24"/>
        </w:rPr>
        <w:t xml:space="preserve"> residiera en la ciudad.</w:t>
      </w:r>
    </w:p>
    <w:p w:rsidR="00186CAA" w:rsidRPr="00F34854" w:rsidRDefault="00186CAA" w:rsidP="00F34854">
      <w:pPr>
        <w:spacing w:after="0" w:line="360" w:lineRule="auto"/>
        <w:ind w:firstLine="709"/>
        <w:jc w:val="both"/>
        <w:rPr>
          <w:rFonts w:ascii="Times New Roman" w:hAnsi="Times New Roman"/>
          <w:i/>
          <w:sz w:val="24"/>
          <w:szCs w:val="24"/>
        </w:rPr>
      </w:pPr>
      <w:r w:rsidRPr="00186CAA">
        <w:rPr>
          <w:rFonts w:ascii="Times New Roman" w:hAnsi="Times New Roman"/>
          <w:i/>
          <w:sz w:val="24"/>
          <w:szCs w:val="24"/>
        </w:rPr>
        <w:t>3.3. TICO</w:t>
      </w:r>
    </w:p>
    <w:p w:rsidR="0007441A" w:rsidRPr="0008486F" w:rsidRDefault="00785967" w:rsidP="00F34854">
      <w:pPr>
        <w:spacing w:after="0" w:line="360" w:lineRule="auto"/>
        <w:ind w:firstLine="709"/>
        <w:jc w:val="both"/>
        <w:rPr>
          <w:rFonts w:ascii="Times New Roman" w:hAnsi="Times New Roman"/>
          <w:sz w:val="24"/>
          <w:szCs w:val="24"/>
        </w:rPr>
      </w:pPr>
      <w:r w:rsidRPr="0008486F">
        <w:rPr>
          <w:rFonts w:ascii="Times New Roman" w:hAnsi="Times New Roman"/>
          <w:sz w:val="24"/>
          <w:szCs w:val="24"/>
        </w:rPr>
        <w:t>Como paralelo a</w:t>
      </w:r>
      <w:r w:rsidR="00F23BA6">
        <w:rPr>
          <w:rFonts w:ascii="Times New Roman" w:hAnsi="Times New Roman"/>
          <w:sz w:val="24"/>
          <w:szCs w:val="24"/>
        </w:rPr>
        <w:t xml:space="preserve"> CAR </w:t>
      </w:r>
      <w:r w:rsidRPr="0008486F">
        <w:rPr>
          <w:rFonts w:ascii="Times New Roman" w:hAnsi="Times New Roman"/>
          <w:sz w:val="24"/>
          <w:szCs w:val="24"/>
        </w:rPr>
        <w:t xml:space="preserve">se propone el estudio conjunto de </w:t>
      </w:r>
      <w:r w:rsidR="00F23BA6">
        <w:rPr>
          <w:rFonts w:ascii="Times New Roman" w:hAnsi="Times New Roman"/>
          <w:sz w:val="24"/>
          <w:szCs w:val="24"/>
        </w:rPr>
        <w:t xml:space="preserve">los </w:t>
      </w:r>
      <w:r w:rsidR="00F23BA6" w:rsidRPr="00F23BA6">
        <w:rPr>
          <w:rFonts w:ascii="Times New Roman" w:hAnsi="Times New Roman"/>
          <w:i/>
          <w:sz w:val="24"/>
          <w:szCs w:val="24"/>
        </w:rPr>
        <w:t>tituli</w:t>
      </w:r>
      <w:r w:rsidR="00F23BA6">
        <w:rPr>
          <w:rFonts w:ascii="Times New Roman" w:hAnsi="Times New Roman"/>
          <w:sz w:val="24"/>
          <w:szCs w:val="24"/>
        </w:rPr>
        <w:t xml:space="preserve"> TICO. </w:t>
      </w:r>
      <w:r w:rsidRPr="0008486F">
        <w:rPr>
          <w:rFonts w:ascii="Times New Roman" w:hAnsi="Times New Roman"/>
          <w:sz w:val="24"/>
          <w:szCs w:val="24"/>
        </w:rPr>
        <w:t xml:space="preserve">Su interés radica en tener una estructura similar, como posible </w:t>
      </w:r>
      <w:r w:rsidRPr="0008486F">
        <w:rPr>
          <w:rFonts w:ascii="Times New Roman" w:hAnsi="Times New Roman"/>
          <w:i/>
          <w:sz w:val="24"/>
          <w:szCs w:val="24"/>
        </w:rPr>
        <w:t>tria nomina</w:t>
      </w:r>
      <w:r w:rsidRPr="0008486F">
        <w:rPr>
          <w:rFonts w:ascii="Times New Roman" w:hAnsi="Times New Roman"/>
          <w:sz w:val="24"/>
          <w:szCs w:val="24"/>
        </w:rPr>
        <w:t xml:space="preserve"> abreviado, y contar con múltiples evidencias, especialmente las escritas en </w:t>
      </w:r>
      <w:r w:rsidR="00CC129E">
        <w:rPr>
          <w:rFonts w:ascii="Times New Roman" w:hAnsi="Times New Roman"/>
          <w:i/>
          <w:sz w:val="24"/>
          <w:szCs w:val="24"/>
        </w:rPr>
        <w:t>g</w:t>
      </w:r>
      <w:r w:rsidR="00833DFA" w:rsidRPr="00833DFA">
        <w:rPr>
          <w:rFonts w:ascii="Times New Roman" w:hAnsi="Times New Roman"/>
          <w:i/>
          <w:sz w:val="24"/>
          <w:szCs w:val="24"/>
        </w:rPr>
        <w:t>ilvus</w:t>
      </w:r>
      <w:r w:rsidRPr="0008486F">
        <w:rPr>
          <w:rFonts w:ascii="Times New Roman" w:hAnsi="Times New Roman"/>
          <w:sz w:val="24"/>
          <w:szCs w:val="24"/>
        </w:rPr>
        <w:t xml:space="preserve">. </w:t>
      </w:r>
      <w:r w:rsidR="00D53592" w:rsidRPr="0008486F">
        <w:rPr>
          <w:rFonts w:ascii="Times New Roman" w:hAnsi="Times New Roman"/>
          <w:sz w:val="24"/>
          <w:szCs w:val="24"/>
        </w:rPr>
        <w:t xml:space="preserve">Aparece con </w:t>
      </w:r>
      <w:r w:rsidR="00BD7E11">
        <w:rPr>
          <w:rFonts w:ascii="Times New Roman" w:hAnsi="Times New Roman"/>
          <w:sz w:val="24"/>
          <w:szCs w:val="24"/>
        </w:rPr>
        <w:t>algunas variantes</w:t>
      </w:r>
      <w:r w:rsidR="00D53592" w:rsidRPr="0008486F">
        <w:rPr>
          <w:rFonts w:ascii="Times New Roman" w:hAnsi="Times New Roman"/>
          <w:sz w:val="24"/>
          <w:szCs w:val="24"/>
        </w:rPr>
        <w:t xml:space="preserve"> sobre</w:t>
      </w:r>
      <w:r w:rsidR="00F23BA6">
        <w:rPr>
          <w:rFonts w:ascii="Times New Roman" w:hAnsi="Times New Roman"/>
          <w:sz w:val="24"/>
          <w:szCs w:val="24"/>
        </w:rPr>
        <w:t xml:space="preserve"> </w:t>
      </w:r>
      <w:r w:rsidR="00D53592" w:rsidRPr="0008486F">
        <w:rPr>
          <w:rFonts w:ascii="Times New Roman" w:hAnsi="Times New Roman"/>
          <w:sz w:val="24"/>
          <w:szCs w:val="24"/>
        </w:rPr>
        <w:t xml:space="preserve">18 ánforas de diversa tipología y hallazgo. No obstante, todas parecen interconectarse por alguna de sus características. </w:t>
      </w:r>
    </w:p>
    <w:p w:rsidR="00C15110" w:rsidRDefault="008211E2" w:rsidP="00F34854">
      <w:pPr>
        <w:spacing w:after="0" w:line="360" w:lineRule="auto"/>
        <w:ind w:firstLine="709"/>
        <w:jc w:val="both"/>
        <w:rPr>
          <w:rFonts w:ascii="Times New Roman" w:hAnsi="Times New Roman"/>
          <w:sz w:val="24"/>
          <w:szCs w:val="24"/>
        </w:rPr>
      </w:pPr>
      <w:r w:rsidRPr="0008486F">
        <w:rPr>
          <w:rFonts w:ascii="Times New Roman" w:hAnsi="Times New Roman"/>
          <w:sz w:val="24"/>
          <w:szCs w:val="24"/>
        </w:rPr>
        <w:t xml:space="preserve">Existen dos contextos de hallazgo principales. La ubicación IX 2, 18 corresponde a un conjunto muy homogéneo de 5 ánforas </w:t>
      </w:r>
      <w:r w:rsidR="00F23BA6">
        <w:rPr>
          <w:rFonts w:ascii="Times New Roman" w:hAnsi="Times New Roman"/>
          <w:sz w:val="24"/>
          <w:szCs w:val="24"/>
        </w:rPr>
        <w:t>-26-30-</w:t>
      </w:r>
      <w:r w:rsidRPr="0008486F">
        <w:rPr>
          <w:rFonts w:ascii="Times New Roman" w:hAnsi="Times New Roman"/>
          <w:sz w:val="24"/>
          <w:szCs w:val="24"/>
        </w:rPr>
        <w:t>. El hallazgo 1876 VI 13, 16 corresponde a un conjunto de 8 ánforas: 6 PO13</w:t>
      </w:r>
      <w:r w:rsidR="00436CDB" w:rsidRPr="0008486F">
        <w:rPr>
          <w:rFonts w:ascii="Times New Roman" w:hAnsi="Times New Roman"/>
          <w:sz w:val="24"/>
          <w:szCs w:val="24"/>
        </w:rPr>
        <w:t xml:space="preserve"> </w:t>
      </w:r>
      <w:r w:rsidR="00F23BA6">
        <w:rPr>
          <w:rFonts w:ascii="Times New Roman" w:hAnsi="Times New Roman"/>
          <w:sz w:val="24"/>
          <w:szCs w:val="24"/>
        </w:rPr>
        <w:t>-5 y 21-25-</w:t>
      </w:r>
      <w:r w:rsidRPr="0008486F">
        <w:rPr>
          <w:rFonts w:ascii="Times New Roman" w:hAnsi="Times New Roman"/>
          <w:sz w:val="24"/>
          <w:szCs w:val="24"/>
        </w:rPr>
        <w:t xml:space="preserve"> y 2 de tipo indefinido</w:t>
      </w:r>
      <w:r w:rsidR="00436CDB" w:rsidRPr="0008486F">
        <w:rPr>
          <w:rFonts w:ascii="Times New Roman" w:hAnsi="Times New Roman"/>
          <w:sz w:val="24"/>
          <w:szCs w:val="24"/>
        </w:rPr>
        <w:t xml:space="preserve"> </w:t>
      </w:r>
      <w:r w:rsidR="00F23BA6">
        <w:rPr>
          <w:rFonts w:ascii="Times New Roman" w:hAnsi="Times New Roman"/>
          <w:sz w:val="24"/>
          <w:szCs w:val="24"/>
        </w:rPr>
        <w:t>-7-8-</w:t>
      </w:r>
      <w:r w:rsidRPr="0008486F">
        <w:rPr>
          <w:rFonts w:ascii="Times New Roman" w:hAnsi="Times New Roman"/>
          <w:sz w:val="24"/>
          <w:szCs w:val="24"/>
        </w:rPr>
        <w:t xml:space="preserve">. Quizás estas últimas pertenezcan también al tipo PO13, pues se ajustan </w:t>
      </w:r>
      <w:r w:rsidR="00436CDB" w:rsidRPr="0008486F">
        <w:rPr>
          <w:rFonts w:ascii="Times New Roman" w:hAnsi="Times New Roman"/>
          <w:sz w:val="24"/>
          <w:szCs w:val="24"/>
        </w:rPr>
        <w:t xml:space="preserve">a todas las demás </w:t>
      </w:r>
      <w:r w:rsidRPr="0008486F">
        <w:rPr>
          <w:rFonts w:ascii="Times New Roman" w:hAnsi="Times New Roman"/>
          <w:sz w:val="24"/>
          <w:szCs w:val="24"/>
        </w:rPr>
        <w:t xml:space="preserve">en el lugar de hallazgo y la tinta empleada. </w:t>
      </w:r>
      <w:r w:rsidR="00436CDB" w:rsidRPr="0008486F">
        <w:rPr>
          <w:rFonts w:ascii="Times New Roman" w:hAnsi="Times New Roman"/>
          <w:sz w:val="24"/>
          <w:szCs w:val="24"/>
        </w:rPr>
        <w:t xml:space="preserve">Se observan dos variantes de la sigla estudiada dentro de este conjunto: </w:t>
      </w:r>
      <w:r w:rsidR="00436CDB" w:rsidRPr="0008486F">
        <w:rPr>
          <w:rFonts w:ascii="Times New Roman" w:hAnsi="Times New Roman"/>
          <w:i/>
          <w:sz w:val="24"/>
          <w:szCs w:val="24"/>
        </w:rPr>
        <w:t>Ti. C. O.</w:t>
      </w:r>
      <w:r w:rsidR="00436CDB" w:rsidRPr="0008486F">
        <w:rPr>
          <w:rFonts w:ascii="Times New Roman" w:hAnsi="Times New Roman"/>
          <w:sz w:val="24"/>
          <w:szCs w:val="24"/>
        </w:rPr>
        <w:t xml:space="preserve"> </w:t>
      </w:r>
      <w:r w:rsidR="00F23BA6">
        <w:rPr>
          <w:rFonts w:ascii="Times New Roman" w:hAnsi="Times New Roman"/>
          <w:sz w:val="24"/>
          <w:szCs w:val="24"/>
        </w:rPr>
        <w:t>-5, 21 y 25-</w:t>
      </w:r>
      <w:r w:rsidR="00436CDB" w:rsidRPr="0008486F">
        <w:rPr>
          <w:rFonts w:ascii="Times New Roman" w:hAnsi="Times New Roman"/>
          <w:sz w:val="24"/>
          <w:szCs w:val="24"/>
        </w:rPr>
        <w:t xml:space="preserve"> y </w:t>
      </w:r>
      <w:r w:rsidR="00436CDB" w:rsidRPr="0008486F">
        <w:rPr>
          <w:rFonts w:ascii="Times New Roman" w:hAnsi="Times New Roman"/>
          <w:i/>
          <w:sz w:val="24"/>
          <w:szCs w:val="24"/>
        </w:rPr>
        <w:t>T. C. O.</w:t>
      </w:r>
      <w:r w:rsidR="00436CDB" w:rsidRPr="0008486F">
        <w:rPr>
          <w:rFonts w:ascii="Times New Roman" w:hAnsi="Times New Roman"/>
          <w:sz w:val="24"/>
          <w:szCs w:val="24"/>
        </w:rPr>
        <w:t xml:space="preserve"> </w:t>
      </w:r>
      <w:r w:rsidR="00C15110">
        <w:rPr>
          <w:rFonts w:ascii="Times New Roman" w:hAnsi="Times New Roman"/>
          <w:sz w:val="24"/>
          <w:szCs w:val="24"/>
        </w:rPr>
        <w:t>-7-8 y 22-24-</w:t>
      </w:r>
      <w:r w:rsidR="00436CDB" w:rsidRPr="0008486F">
        <w:rPr>
          <w:rFonts w:ascii="Times New Roman" w:hAnsi="Times New Roman"/>
          <w:sz w:val="24"/>
          <w:szCs w:val="24"/>
        </w:rPr>
        <w:t xml:space="preserve">. Debe tratarse del mismo </w:t>
      </w:r>
      <w:r w:rsidR="00436CDB" w:rsidRPr="0008486F">
        <w:rPr>
          <w:rFonts w:ascii="Times New Roman" w:hAnsi="Times New Roman"/>
          <w:i/>
          <w:sz w:val="24"/>
          <w:szCs w:val="24"/>
        </w:rPr>
        <w:t>conceptum</w:t>
      </w:r>
      <w:r w:rsidR="00436CDB" w:rsidRPr="0008486F">
        <w:rPr>
          <w:rFonts w:ascii="Times New Roman" w:hAnsi="Times New Roman"/>
          <w:sz w:val="24"/>
          <w:szCs w:val="24"/>
        </w:rPr>
        <w:t xml:space="preserve"> a juzgar por su aparición en el grupo </w:t>
      </w:r>
      <w:r w:rsidR="00C15110">
        <w:rPr>
          <w:rFonts w:ascii="Times New Roman" w:hAnsi="Times New Roman"/>
          <w:sz w:val="24"/>
          <w:szCs w:val="24"/>
        </w:rPr>
        <w:t>21-25</w:t>
      </w:r>
      <w:r w:rsidR="00436CDB" w:rsidRPr="0008486F">
        <w:rPr>
          <w:rFonts w:ascii="Times New Roman" w:hAnsi="Times New Roman"/>
          <w:sz w:val="24"/>
          <w:szCs w:val="24"/>
        </w:rPr>
        <w:t>, ocupando la misma posición en titulaturas de similar estructura.</w:t>
      </w:r>
      <w:r w:rsidR="00A054D6" w:rsidRPr="0008486F">
        <w:rPr>
          <w:rFonts w:ascii="Times New Roman" w:hAnsi="Times New Roman"/>
          <w:sz w:val="24"/>
          <w:szCs w:val="24"/>
        </w:rPr>
        <w:t xml:space="preserve"> </w:t>
      </w:r>
    </w:p>
    <w:p w:rsidR="00C15110" w:rsidRDefault="00A054D6" w:rsidP="00F34854">
      <w:pPr>
        <w:spacing w:after="0" w:line="360" w:lineRule="auto"/>
        <w:ind w:firstLine="709"/>
        <w:jc w:val="both"/>
        <w:rPr>
          <w:rFonts w:ascii="Times New Roman" w:hAnsi="Times New Roman"/>
          <w:sz w:val="24"/>
          <w:szCs w:val="24"/>
        </w:rPr>
      </w:pPr>
      <w:r w:rsidRPr="0008486F">
        <w:rPr>
          <w:rFonts w:ascii="Times New Roman" w:hAnsi="Times New Roman"/>
          <w:sz w:val="24"/>
          <w:szCs w:val="24"/>
        </w:rPr>
        <w:t xml:space="preserve">Otro grupo </w:t>
      </w:r>
      <w:r w:rsidR="00C15110">
        <w:rPr>
          <w:rFonts w:ascii="Times New Roman" w:hAnsi="Times New Roman"/>
          <w:sz w:val="24"/>
          <w:szCs w:val="24"/>
        </w:rPr>
        <w:t>contextual y formal -9 y 12-</w:t>
      </w:r>
      <w:r w:rsidRPr="0008486F">
        <w:rPr>
          <w:rFonts w:ascii="Times New Roman" w:hAnsi="Times New Roman"/>
          <w:sz w:val="24"/>
          <w:szCs w:val="24"/>
        </w:rPr>
        <w:t xml:space="preserve"> viene definido por el hallazgo en 1873 </w:t>
      </w:r>
      <w:r w:rsidR="00C15110">
        <w:rPr>
          <w:rFonts w:ascii="Times New Roman" w:hAnsi="Times New Roman"/>
          <w:sz w:val="24"/>
          <w:szCs w:val="24"/>
        </w:rPr>
        <w:t>de 2</w:t>
      </w:r>
      <w:r w:rsidRPr="0008486F">
        <w:rPr>
          <w:rFonts w:ascii="Times New Roman" w:hAnsi="Times New Roman"/>
          <w:sz w:val="24"/>
          <w:szCs w:val="24"/>
        </w:rPr>
        <w:t xml:space="preserve"> PO10, con d</w:t>
      </w:r>
      <w:r w:rsidR="00C15110">
        <w:rPr>
          <w:rFonts w:ascii="Times New Roman" w:hAnsi="Times New Roman"/>
          <w:sz w:val="24"/>
          <w:szCs w:val="24"/>
        </w:rPr>
        <w:t>iferencia</w:t>
      </w:r>
      <w:r w:rsidRPr="0008486F">
        <w:rPr>
          <w:rFonts w:ascii="Times New Roman" w:hAnsi="Times New Roman"/>
          <w:sz w:val="24"/>
          <w:szCs w:val="24"/>
        </w:rPr>
        <w:t xml:space="preserve">s </w:t>
      </w:r>
      <w:r w:rsidR="00C15110">
        <w:rPr>
          <w:rFonts w:ascii="Times New Roman" w:hAnsi="Times New Roman"/>
          <w:sz w:val="24"/>
          <w:szCs w:val="24"/>
        </w:rPr>
        <w:t>de</w:t>
      </w:r>
      <w:r w:rsidRPr="0008486F">
        <w:rPr>
          <w:rFonts w:ascii="Times New Roman" w:hAnsi="Times New Roman"/>
          <w:sz w:val="24"/>
          <w:szCs w:val="24"/>
        </w:rPr>
        <w:t xml:space="preserve"> t</w:t>
      </w:r>
      <w:r w:rsidR="00C15110">
        <w:rPr>
          <w:rFonts w:ascii="Times New Roman" w:hAnsi="Times New Roman"/>
          <w:sz w:val="24"/>
          <w:szCs w:val="24"/>
        </w:rPr>
        <w:t>inta, sigla</w:t>
      </w:r>
      <w:r w:rsidR="00FB7062" w:rsidRPr="0008486F">
        <w:rPr>
          <w:rFonts w:ascii="Times New Roman" w:hAnsi="Times New Roman"/>
          <w:sz w:val="24"/>
          <w:szCs w:val="24"/>
        </w:rPr>
        <w:t xml:space="preserve"> </w:t>
      </w:r>
      <w:r w:rsidR="00C15110">
        <w:rPr>
          <w:rFonts w:ascii="Times New Roman" w:hAnsi="Times New Roman"/>
          <w:sz w:val="24"/>
          <w:szCs w:val="24"/>
        </w:rPr>
        <w:t>y</w:t>
      </w:r>
      <w:r w:rsidRPr="0008486F">
        <w:rPr>
          <w:rFonts w:ascii="Times New Roman" w:hAnsi="Times New Roman"/>
          <w:sz w:val="24"/>
          <w:szCs w:val="24"/>
        </w:rPr>
        <w:t xml:space="preserve"> </w:t>
      </w:r>
      <w:r w:rsidR="00C15110" w:rsidRPr="00C15110">
        <w:rPr>
          <w:rFonts w:ascii="Times New Roman" w:hAnsi="Times New Roman"/>
          <w:i/>
          <w:sz w:val="24"/>
          <w:szCs w:val="24"/>
        </w:rPr>
        <w:t>tituli</w:t>
      </w:r>
      <w:r w:rsidRPr="0008486F">
        <w:rPr>
          <w:rFonts w:ascii="Times New Roman" w:hAnsi="Times New Roman"/>
          <w:sz w:val="24"/>
          <w:szCs w:val="24"/>
        </w:rPr>
        <w:t>.</w:t>
      </w:r>
      <w:r w:rsidR="00FB7062" w:rsidRPr="0008486F">
        <w:rPr>
          <w:rFonts w:ascii="Times New Roman" w:hAnsi="Times New Roman"/>
          <w:sz w:val="24"/>
          <w:szCs w:val="24"/>
        </w:rPr>
        <w:t xml:space="preserve"> No obstante, </w:t>
      </w:r>
      <w:r w:rsidR="00C15110">
        <w:rPr>
          <w:rFonts w:ascii="Times New Roman" w:hAnsi="Times New Roman"/>
          <w:sz w:val="24"/>
          <w:szCs w:val="24"/>
        </w:rPr>
        <w:t xml:space="preserve">el </w:t>
      </w:r>
      <w:r w:rsidR="00C15110" w:rsidRPr="00C15110">
        <w:rPr>
          <w:rFonts w:ascii="Times New Roman" w:hAnsi="Times New Roman"/>
          <w:i/>
          <w:sz w:val="24"/>
          <w:szCs w:val="24"/>
        </w:rPr>
        <w:t>titulus</w:t>
      </w:r>
      <w:r w:rsidR="00C15110">
        <w:rPr>
          <w:rFonts w:ascii="Times New Roman" w:hAnsi="Times New Roman"/>
          <w:sz w:val="24"/>
          <w:szCs w:val="24"/>
        </w:rPr>
        <w:t xml:space="preserve"> TICO </w:t>
      </w:r>
      <w:r w:rsidR="00FB7062" w:rsidRPr="0008486F">
        <w:rPr>
          <w:rFonts w:ascii="Times New Roman" w:hAnsi="Times New Roman"/>
          <w:sz w:val="24"/>
          <w:szCs w:val="24"/>
        </w:rPr>
        <w:t xml:space="preserve">remite a casos anteriores y los rasgos homogéneos entre </w:t>
      </w:r>
      <w:r w:rsidR="00C15110">
        <w:rPr>
          <w:rFonts w:ascii="Times New Roman" w:hAnsi="Times New Roman"/>
          <w:sz w:val="24"/>
          <w:szCs w:val="24"/>
        </w:rPr>
        <w:t>12</w:t>
      </w:r>
      <w:r w:rsidR="00FB7062" w:rsidRPr="0008486F">
        <w:rPr>
          <w:rFonts w:ascii="Times New Roman" w:hAnsi="Times New Roman"/>
          <w:sz w:val="24"/>
          <w:szCs w:val="24"/>
        </w:rPr>
        <w:t xml:space="preserve"> y </w:t>
      </w:r>
      <w:r w:rsidR="00C15110">
        <w:rPr>
          <w:rFonts w:ascii="Times New Roman" w:hAnsi="Times New Roman"/>
          <w:sz w:val="24"/>
          <w:szCs w:val="24"/>
        </w:rPr>
        <w:t>9</w:t>
      </w:r>
      <w:r w:rsidR="00FB7062" w:rsidRPr="0008486F">
        <w:rPr>
          <w:rFonts w:ascii="Times New Roman" w:hAnsi="Times New Roman"/>
          <w:sz w:val="24"/>
          <w:szCs w:val="24"/>
        </w:rPr>
        <w:t xml:space="preserve"> permiten incluir a esta última</w:t>
      </w:r>
      <w:r w:rsidR="0007441A" w:rsidRPr="0008486F">
        <w:rPr>
          <w:rFonts w:ascii="Times New Roman" w:hAnsi="Times New Roman"/>
          <w:sz w:val="24"/>
          <w:szCs w:val="24"/>
        </w:rPr>
        <w:t xml:space="preserve">, con la sigla </w:t>
      </w:r>
      <w:r w:rsidR="0007441A" w:rsidRPr="0008486F">
        <w:rPr>
          <w:rFonts w:ascii="Times New Roman" w:hAnsi="Times New Roman"/>
          <w:i/>
          <w:sz w:val="24"/>
          <w:szCs w:val="24"/>
        </w:rPr>
        <w:t>Ti. C.</w:t>
      </w:r>
      <w:r w:rsidR="0007441A" w:rsidRPr="0008486F">
        <w:rPr>
          <w:rFonts w:ascii="Times New Roman" w:hAnsi="Times New Roman"/>
          <w:sz w:val="24"/>
          <w:szCs w:val="24"/>
        </w:rPr>
        <w:t>,</w:t>
      </w:r>
      <w:r w:rsidR="00FB7062" w:rsidRPr="0008486F">
        <w:rPr>
          <w:rFonts w:ascii="Times New Roman" w:hAnsi="Times New Roman"/>
          <w:sz w:val="24"/>
          <w:szCs w:val="24"/>
        </w:rPr>
        <w:t xml:space="preserve"> en el repertorio analizado.</w:t>
      </w:r>
    </w:p>
    <w:p w:rsidR="00616E33" w:rsidRPr="0008486F" w:rsidRDefault="0007441A" w:rsidP="00F34854">
      <w:pPr>
        <w:spacing w:after="0" w:line="360" w:lineRule="auto"/>
        <w:ind w:firstLine="709"/>
        <w:jc w:val="both"/>
        <w:rPr>
          <w:rFonts w:ascii="Times New Roman" w:hAnsi="Times New Roman"/>
          <w:sz w:val="24"/>
          <w:szCs w:val="24"/>
        </w:rPr>
      </w:pPr>
      <w:r w:rsidRPr="0008486F">
        <w:rPr>
          <w:rFonts w:ascii="Times New Roman" w:hAnsi="Times New Roman"/>
          <w:sz w:val="24"/>
          <w:szCs w:val="24"/>
        </w:rPr>
        <w:t xml:space="preserve">Por último, </w:t>
      </w:r>
      <w:r w:rsidR="00C15110">
        <w:rPr>
          <w:rFonts w:ascii="Times New Roman" w:hAnsi="Times New Roman"/>
          <w:sz w:val="24"/>
          <w:szCs w:val="24"/>
        </w:rPr>
        <w:t>11</w:t>
      </w:r>
      <w:r w:rsidRPr="0008486F">
        <w:rPr>
          <w:rFonts w:ascii="Times New Roman" w:hAnsi="Times New Roman"/>
          <w:sz w:val="24"/>
          <w:szCs w:val="24"/>
        </w:rPr>
        <w:t xml:space="preserve"> y 1</w:t>
      </w:r>
      <w:r w:rsidR="00C15110">
        <w:rPr>
          <w:rFonts w:ascii="Times New Roman" w:hAnsi="Times New Roman"/>
          <w:sz w:val="24"/>
          <w:szCs w:val="24"/>
        </w:rPr>
        <w:t>4</w:t>
      </w:r>
      <w:r w:rsidRPr="0008486F">
        <w:rPr>
          <w:rFonts w:ascii="Times New Roman" w:hAnsi="Times New Roman"/>
          <w:sz w:val="24"/>
          <w:szCs w:val="24"/>
        </w:rPr>
        <w:t xml:space="preserve"> quedan aisladas por </w:t>
      </w:r>
      <w:r w:rsidR="00D536FE" w:rsidRPr="0008486F">
        <w:rPr>
          <w:rFonts w:ascii="Times New Roman" w:hAnsi="Times New Roman"/>
          <w:sz w:val="24"/>
          <w:szCs w:val="24"/>
        </w:rPr>
        <w:t>las variantes de sus siglas. El ejemplar 1</w:t>
      </w:r>
      <w:r w:rsidR="00C15110">
        <w:rPr>
          <w:rFonts w:ascii="Times New Roman" w:hAnsi="Times New Roman"/>
          <w:sz w:val="24"/>
          <w:szCs w:val="24"/>
        </w:rPr>
        <w:t>4</w:t>
      </w:r>
      <w:r w:rsidR="00D536FE" w:rsidRPr="0008486F">
        <w:rPr>
          <w:rFonts w:ascii="Times New Roman" w:hAnsi="Times New Roman"/>
          <w:sz w:val="24"/>
          <w:szCs w:val="24"/>
        </w:rPr>
        <w:t xml:space="preserve"> corresponde a la forma PO13, con sigla en </w:t>
      </w:r>
      <w:r w:rsidR="00C15110">
        <w:rPr>
          <w:rFonts w:ascii="Times New Roman" w:hAnsi="Times New Roman"/>
          <w:i/>
          <w:sz w:val="24"/>
          <w:szCs w:val="24"/>
        </w:rPr>
        <w:t>g</w:t>
      </w:r>
      <w:r w:rsidR="00833DFA" w:rsidRPr="00833DFA">
        <w:rPr>
          <w:rFonts w:ascii="Times New Roman" w:hAnsi="Times New Roman"/>
          <w:i/>
          <w:sz w:val="24"/>
          <w:szCs w:val="24"/>
        </w:rPr>
        <w:t>ilvus</w:t>
      </w:r>
      <w:r w:rsidR="00D536FE" w:rsidRPr="0008486F">
        <w:rPr>
          <w:rFonts w:ascii="Times New Roman" w:hAnsi="Times New Roman"/>
          <w:sz w:val="24"/>
          <w:szCs w:val="24"/>
        </w:rPr>
        <w:t xml:space="preserve"> y elementos comunes o similares a otras titulaturas del grupo</w:t>
      </w:r>
      <w:r w:rsidR="00C15110">
        <w:rPr>
          <w:rFonts w:ascii="Times New Roman" w:hAnsi="Times New Roman"/>
          <w:sz w:val="24"/>
          <w:szCs w:val="24"/>
        </w:rPr>
        <w:t xml:space="preserve"> TICO</w:t>
      </w:r>
      <w:r w:rsidR="00D536FE" w:rsidRPr="0008486F">
        <w:rPr>
          <w:rFonts w:ascii="Times New Roman" w:hAnsi="Times New Roman"/>
          <w:i/>
          <w:sz w:val="24"/>
          <w:szCs w:val="24"/>
        </w:rPr>
        <w:t>.</w:t>
      </w:r>
      <w:r w:rsidR="00D536FE" w:rsidRPr="0008486F">
        <w:rPr>
          <w:rFonts w:ascii="Times New Roman" w:hAnsi="Times New Roman"/>
          <w:sz w:val="24"/>
          <w:szCs w:val="24"/>
        </w:rPr>
        <w:t xml:space="preserve"> </w:t>
      </w:r>
      <w:r w:rsidR="00790AD5" w:rsidRPr="0008486F">
        <w:rPr>
          <w:rFonts w:ascii="Times New Roman" w:hAnsi="Times New Roman"/>
          <w:sz w:val="24"/>
          <w:szCs w:val="24"/>
        </w:rPr>
        <w:t xml:space="preserve">La correspondiente entrada del </w:t>
      </w:r>
      <w:r w:rsidR="00790AD5" w:rsidRPr="0008486F">
        <w:rPr>
          <w:rFonts w:ascii="Times New Roman" w:hAnsi="Times New Roman"/>
          <w:i/>
          <w:sz w:val="24"/>
          <w:szCs w:val="24"/>
        </w:rPr>
        <w:t>CIL</w:t>
      </w:r>
      <w:r w:rsidR="00BD7E11">
        <w:rPr>
          <w:rFonts w:ascii="Times New Roman" w:hAnsi="Times New Roman"/>
          <w:sz w:val="24"/>
          <w:szCs w:val="24"/>
        </w:rPr>
        <w:t xml:space="preserve"> cuenta con copia</w:t>
      </w:r>
      <w:r w:rsidR="00790AD5" w:rsidRPr="0008486F">
        <w:rPr>
          <w:rFonts w:ascii="Times New Roman" w:hAnsi="Times New Roman"/>
          <w:sz w:val="24"/>
          <w:szCs w:val="24"/>
        </w:rPr>
        <w:t xml:space="preserve"> de la titulatura. Sin embargo, las lecturas resultan poco claras</w:t>
      </w:r>
      <w:r w:rsidR="00790AD5" w:rsidRPr="0008486F">
        <w:rPr>
          <w:rStyle w:val="FootnoteReference"/>
          <w:rFonts w:ascii="Times New Roman" w:hAnsi="Times New Roman"/>
          <w:sz w:val="24"/>
          <w:szCs w:val="24"/>
        </w:rPr>
        <w:footnoteReference w:id="34"/>
      </w:r>
      <w:r w:rsidR="00790AD5" w:rsidRPr="0008486F">
        <w:rPr>
          <w:rFonts w:ascii="Times New Roman" w:hAnsi="Times New Roman"/>
          <w:sz w:val="24"/>
          <w:szCs w:val="24"/>
        </w:rPr>
        <w:t xml:space="preserve">. </w:t>
      </w:r>
      <w:r w:rsidR="00322B88" w:rsidRPr="0008486F">
        <w:rPr>
          <w:rFonts w:ascii="Times New Roman" w:hAnsi="Times New Roman"/>
          <w:sz w:val="24"/>
          <w:szCs w:val="24"/>
        </w:rPr>
        <w:t>El ejemplar 1</w:t>
      </w:r>
      <w:r w:rsidR="00C15110">
        <w:rPr>
          <w:rFonts w:ascii="Times New Roman" w:hAnsi="Times New Roman"/>
          <w:sz w:val="24"/>
          <w:szCs w:val="24"/>
        </w:rPr>
        <w:t>1</w:t>
      </w:r>
      <w:r w:rsidR="00322B88" w:rsidRPr="0008486F">
        <w:rPr>
          <w:rFonts w:ascii="Times New Roman" w:hAnsi="Times New Roman"/>
          <w:sz w:val="24"/>
          <w:szCs w:val="24"/>
        </w:rPr>
        <w:t xml:space="preserve"> </w:t>
      </w:r>
      <w:r w:rsidR="00616E33" w:rsidRPr="0008486F">
        <w:rPr>
          <w:rFonts w:ascii="Times New Roman" w:hAnsi="Times New Roman"/>
          <w:sz w:val="24"/>
          <w:szCs w:val="24"/>
        </w:rPr>
        <w:t>cuenta con más diferencias e incertidumbres en comparación con los demás. C</w:t>
      </w:r>
      <w:r w:rsidR="00322B88" w:rsidRPr="0008486F">
        <w:rPr>
          <w:rFonts w:ascii="Times New Roman" w:hAnsi="Times New Roman"/>
          <w:sz w:val="24"/>
          <w:szCs w:val="24"/>
        </w:rPr>
        <w:t>omparte la</w:t>
      </w:r>
      <w:r w:rsidR="00880D1A">
        <w:rPr>
          <w:rFonts w:ascii="Times New Roman" w:hAnsi="Times New Roman"/>
          <w:sz w:val="24"/>
          <w:szCs w:val="24"/>
        </w:rPr>
        <w:t>s</w:t>
      </w:r>
      <w:r w:rsidR="00322B88" w:rsidRPr="0008486F">
        <w:rPr>
          <w:rFonts w:ascii="Times New Roman" w:hAnsi="Times New Roman"/>
          <w:sz w:val="24"/>
          <w:szCs w:val="24"/>
        </w:rPr>
        <w:t xml:space="preserve"> abreviatura</w:t>
      </w:r>
      <w:r w:rsidR="00880D1A">
        <w:rPr>
          <w:rFonts w:ascii="Times New Roman" w:hAnsi="Times New Roman"/>
          <w:sz w:val="24"/>
          <w:szCs w:val="24"/>
        </w:rPr>
        <w:t>s</w:t>
      </w:r>
      <w:r w:rsidR="00322B88" w:rsidRPr="0008486F">
        <w:rPr>
          <w:rFonts w:ascii="Times New Roman" w:hAnsi="Times New Roman"/>
          <w:sz w:val="24"/>
          <w:szCs w:val="24"/>
        </w:rPr>
        <w:t xml:space="preserve"> </w:t>
      </w:r>
      <w:r w:rsidR="00322B88" w:rsidRPr="0008486F">
        <w:rPr>
          <w:rFonts w:ascii="Times New Roman" w:hAnsi="Times New Roman"/>
          <w:i/>
          <w:sz w:val="24"/>
          <w:szCs w:val="24"/>
        </w:rPr>
        <w:t>Ti. C.</w:t>
      </w:r>
      <w:r w:rsidR="00322B88" w:rsidRPr="0008486F">
        <w:rPr>
          <w:rFonts w:ascii="Times New Roman" w:hAnsi="Times New Roman"/>
          <w:sz w:val="24"/>
          <w:szCs w:val="24"/>
        </w:rPr>
        <w:t xml:space="preserve"> acompañada</w:t>
      </w:r>
      <w:r w:rsidR="001F6F0B">
        <w:rPr>
          <w:rFonts w:ascii="Times New Roman" w:hAnsi="Times New Roman"/>
          <w:sz w:val="24"/>
          <w:szCs w:val="24"/>
        </w:rPr>
        <w:t>s</w:t>
      </w:r>
      <w:r w:rsidR="00322B88" w:rsidRPr="0008486F">
        <w:rPr>
          <w:rFonts w:ascii="Times New Roman" w:hAnsi="Times New Roman"/>
          <w:sz w:val="24"/>
          <w:szCs w:val="24"/>
        </w:rPr>
        <w:t xml:space="preserve"> por una letra más, quizás separada por una interpunción. De nuevo se cuenta con una copia en el </w:t>
      </w:r>
      <w:r w:rsidR="00322B88" w:rsidRPr="0008486F">
        <w:rPr>
          <w:rFonts w:ascii="Times New Roman" w:hAnsi="Times New Roman"/>
          <w:i/>
          <w:sz w:val="24"/>
          <w:szCs w:val="24"/>
        </w:rPr>
        <w:t>CIL</w:t>
      </w:r>
      <w:r w:rsidR="00322B88" w:rsidRPr="0008486F">
        <w:rPr>
          <w:rFonts w:ascii="Times New Roman" w:hAnsi="Times New Roman"/>
          <w:sz w:val="24"/>
          <w:szCs w:val="24"/>
        </w:rPr>
        <w:t xml:space="preserve"> pero la lectura ofrece dudas</w:t>
      </w:r>
      <w:r w:rsidR="00322B88" w:rsidRPr="0008486F">
        <w:rPr>
          <w:rStyle w:val="FootnoteReference"/>
          <w:rFonts w:ascii="Times New Roman" w:hAnsi="Times New Roman"/>
          <w:sz w:val="24"/>
          <w:szCs w:val="24"/>
        </w:rPr>
        <w:footnoteReference w:id="35"/>
      </w:r>
      <w:r w:rsidR="00322B88" w:rsidRPr="0008486F">
        <w:rPr>
          <w:rFonts w:ascii="Times New Roman" w:hAnsi="Times New Roman"/>
          <w:sz w:val="24"/>
          <w:szCs w:val="24"/>
        </w:rPr>
        <w:t>.</w:t>
      </w:r>
      <w:r w:rsidR="00616E33" w:rsidRPr="0008486F">
        <w:rPr>
          <w:rFonts w:ascii="Times New Roman" w:hAnsi="Times New Roman"/>
          <w:sz w:val="24"/>
          <w:szCs w:val="24"/>
        </w:rPr>
        <w:t xml:space="preserve"> Se incluye por el interés dado a la forma PO08 y el posible paralelo estructural de la titulatura con el ejemplar </w:t>
      </w:r>
      <w:r w:rsidR="00C15110">
        <w:rPr>
          <w:rFonts w:ascii="Times New Roman" w:hAnsi="Times New Roman"/>
          <w:sz w:val="24"/>
          <w:szCs w:val="24"/>
        </w:rPr>
        <w:t>1</w:t>
      </w:r>
      <w:r w:rsidR="00616E33" w:rsidRPr="0008486F">
        <w:rPr>
          <w:rFonts w:ascii="Times New Roman" w:hAnsi="Times New Roman"/>
          <w:sz w:val="24"/>
          <w:szCs w:val="24"/>
        </w:rPr>
        <w:t>0.</w:t>
      </w:r>
    </w:p>
    <w:p w:rsidR="00E67AA1" w:rsidRPr="0008486F" w:rsidRDefault="00322B88" w:rsidP="00F34854">
      <w:pPr>
        <w:spacing w:after="0" w:line="360" w:lineRule="auto"/>
        <w:ind w:firstLine="709"/>
        <w:jc w:val="both"/>
        <w:rPr>
          <w:rFonts w:ascii="Times New Roman" w:hAnsi="Times New Roman"/>
          <w:sz w:val="24"/>
          <w:szCs w:val="24"/>
        </w:rPr>
      </w:pPr>
      <w:r w:rsidRPr="0008486F">
        <w:rPr>
          <w:rFonts w:ascii="Times New Roman" w:hAnsi="Times New Roman"/>
          <w:sz w:val="24"/>
          <w:szCs w:val="24"/>
        </w:rPr>
        <w:t xml:space="preserve"> </w:t>
      </w:r>
      <w:r w:rsidR="0009595E" w:rsidRPr="0008486F">
        <w:rPr>
          <w:rFonts w:ascii="Times New Roman" w:hAnsi="Times New Roman"/>
          <w:sz w:val="24"/>
          <w:szCs w:val="24"/>
        </w:rPr>
        <w:t>La ausencia de interpunci</w:t>
      </w:r>
      <w:r w:rsidR="00880D1A">
        <w:rPr>
          <w:rFonts w:ascii="Times New Roman" w:hAnsi="Times New Roman"/>
          <w:sz w:val="24"/>
          <w:szCs w:val="24"/>
        </w:rPr>
        <w:t xml:space="preserve">ones dificulta la aceptación del </w:t>
      </w:r>
      <w:r w:rsidR="00880D1A" w:rsidRPr="00880D1A">
        <w:rPr>
          <w:rFonts w:ascii="Times New Roman" w:hAnsi="Times New Roman"/>
          <w:i/>
          <w:sz w:val="24"/>
          <w:szCs w:val="24"/>
        </w:rPr>
        <w:t>titulus</w:t>
      </w:r>
      <w:r w:rsidR="00880D1A">
        <w:rPr>
          <w:rFonts w:ascii="Times New Roman" w:hAnsi="Times New Roman"/>
          <w:sz w:val="24"/>
          <w:szCs w:val="24"/>
        </w:rPr>
        <w:t xml:space="preserve"> </w:t>
      </w:r>
      <w:r w:rsidR="0009595E" w:rsidRPr="0008486F">
        <w:rPr>
          <w:rFonts w:ascii="Times New Roman" w:hAnsi="Times New Roman"/>
          <w:sz w:val="24"/>
          <w:szCs w:val="24"/>
        </w:rPr>
        <w:t xml:space="preserve">TICO como </w:t>
      </w:r>
      <w:r w:rsidR="0009595E" w:rsidRPr="0008486F">
        <w:rPr>
          <w:rFonts w:ascii="Times New Roman" w:hAnsi="Times New Roman"/>
          <w:i/>
          <w:sz w:val="24"/>
          <w:szCs w:val="24"/>
        </w:rPr>
        <w:t>tria nomina</w:t>
      </w:r>
      <w:r w:rsidR="0009595E" w:rsidRPr="0008486F">
        <w:rPr>
          <w:rFonts w:ascii="Times New Roman" w:hAnsi="Times New Roman"/>
          <w:sz w:val="24"/>
          <w:szCs w:val="24"/>
        </w:rPr>
        <w:t xml:space="preserve"> abreviado. Sin embargo, no se han hallado nombres personales que se inicien de tal forma, pudiendo generar la abreviatura </w:t>
      </w:r>
      <w:r w:rsidR="0009595E" w:rsidRPr="00880D1A">
        <w:rPr>
          <w:rFonts w:ascii="Times New Roman" w:hAnsi="Times New Roman"/>
          <w:i/>
          <w:sz w:val="24"/>
          <w:szCs w:val="24"/>
        </w:rPr>
        <w:t>Tico</w:t>
      </w:r>
      <w:r w:rsidR="0009595E" w:rsidRPr="0008486F">
        <w:rPr>
          <w:rFonts w:ascii="Times New Roman" w:hAnsi="Times New Roman"/>
          <w:sz w:val="24"/>
          <w:szCs w:val="24"/>
        </w:rPr>
        <w:t>(---)</w:t>
      </w:r>
      <w:r w:rsidR="000C7149" w:rsidRPr="0008486F">
        <w:rPr>
          <w:rStyle w:val="FootnoteReference"/>
          <w:rFonts w:ascii="Times New Roman" w:hAnsi="Times New Roman"/>
          <w:sz w:val="24"/>
          <w:szCs w:val="24"/>
        </w:rPr>
        <w:footnoteReference w:id="36"/>
      </w:r>
      <w:r w:rsidR="0009595E" w:rsidRPr="0008486F">
        <w:rPr>
          <w:rFonts w:ascii="Times New Roman" w:hAnsi="Times New Roman"/>
          <w:sz w:val="24"/>
          <w:szCs w:val="24"/>
        </w:rPr>
        <w:t>.</w:t>
      </w:r>
      <w:r w:rsidR="00714390" w:rsidRPr="0008486F">
        <w:rPr>
          <w:rFonts w:ascii="Times New Roman" w:hAnsi="Times New Roman"/>
          <w:sz w:val="24"/>
          <w:szCs w:val="24"/>
        </w:rPr>
        <w:t xml:space="preserve"> </w:t>
      </w:r>
      <w:r w:rsidR="008E6DC8" w:rsidRPr="0008486F">
        <w:rPr>
          <w:rFonts w:ascii="Times New Roman" w:hAnsi="Times New Roman"/>
          <w:sz w:val="24"/>
          <w:szCs w:val="24"/>
        </w:rPr>
        <w:t>Además</w:t>
      </w:r>
      <w:r w:rsidR="00714390" w:rsidRPr="0008486F">
        <w:rPr>
          <w:rFonts w:ascii="Times New Roman" w:hAnsi="Times New Roman"/>
          <w:sz w:val="24"/>
          <w:szCs w:val="24"/>
        </w:rPr>
        <w:t xml:space="preserve">, </w:t>
      </w:r>
      <w:r w:rsidR="00880D1A">
        <w:rPr>
          <w:rFonts w:ascii="Times New Roman" w:hAnsi="Times New Roman"/>
          <w:sz w:val="24"/>
          <w:szCs w:val="24"/>
        </w:rPr>
        <w:t xml:space="preserve">el </w:t>
      </w:r>
      <w:r w:rsidR="00880D1A" w:rsidRPr="00880D1A">
        <w:rPr>
          <w:rFonts w:ascii="Times New Roman" w:hAnsi="Times New Roman"/>
          <w:i/>
          <w:sz w:val="24"/>
          <w:szCs w:val="24"/>
        </w:rPr>
        <w:t>titulus</w:t>
      </w:r>
      <w:r w:rsidR="00714390" w:rsidRPr="0008486F">
        <w:rPr>
          <w:rFonts w:ascii="Times New Roman" w:hAnsi="Times New Roman"/>
          <w:sz w:val="24"/>
          <w:szCs w:val="24"/>
        </w:rPr>
        <w:t xml:space="preserve"> TCO parece indicar verosímilmente que se trata de un </w:t>
      </w:r>
      <w:r w:rsidR="00714390" w:rsidRPr="0008486F">
        <w:rPr>
          <w:rFonts w:ascii="Times New Roman" w:hAnsi="Times New Roman"/>
          <w:i/>
          <w:sz w:val="24"/>
          <w:szCs w:val="24"/>
        </w:rPr>
        <w:t>tria nomina</w:t>
      </w:r>
      <w:r w:rsidR="00714390" w:rsidRPr="0008486F">
        <w:rPr>
          <w:rFonts w:ascii="Times New Roman" w:hAnsi="Times New Roman"/>
          <w:sz w:val="24"/>
          <w:szCs w:val="24"/>
        </w:rPr>
        <w:t xml:space="preserve"> abreviado </w:t>
      </w:r>
      <w:r w:rsidR="00714390" w:rsidRPr="0008486F">
        <w:rPr>
          <w:rFonts w:ascii="Times New Roman" w:hAnsi="Times New Roman"/>
          <w:i/>
          <w:sz w:val="24"/>
          <w:szCs w:val="24"/>
        </w:rPr>
        <w:t>T. C. O.</w:t>
      </w:r>
      <w:r w:rsidR="00714390" w:rsidRPr="0008486F">
        <w:rPr>
          <w:rFonts w:ascii="Times New Roman" w:hAnsi="Times New Roman"/>
          <w:sz w:val="24"/>
          <w:szCs w:val="24"/>
        </w:rPr>
        <w:t xml:space="preserve">, frente a una lectura alternativa como </w:t>
      </w:r>
      <w:r w:rsidR="00714390" w:rsidRPr="0008486F">
        <w:rPr>
          <w:rFonts w:ascii="Times New Roman" w:hAnsi="Times New Roman"/>
          <w:i/>
          <w:sz w:val="24"/>
          <w:szCs w:val="24"/>
        </w:rPr>
        <w:t>T. Co.</w:t>
      </w:r>
      <w:r w:rsidR="00714390" w:rsidRPr="0008486F">
        <w:rPr>
          <w:rFonts w:ascii="Times New Roman" w:hAnsi="Times New Roman"/>
          <w:sz w:val="24"/>
          <w:szCs w:val="24"/>
        </w:rPr>
        <w:t xml:space="preserve"> Los paralelismos expuestos remitirían a un mismo sujeto para ambos casos, apareciendo el </w:t>
      </w:r>
      <w:r w:rsidR="00714390" w:rsidRPr="0008486F">
        <w:rPr>
          <w:rFonts w:ascii="Times New Roman" w:hAnsi="Times New Roman"/>
          <w:i/>
          <w:sz w:val="24"/>
          <w:szCs w:val="24"/>
        </w:rPr>
        <w:t>praenomen</w:t>
      </w:r>
      <w:r w:rsidR="00714390" w:rsidRPr="0008486F">
        <w:rPr>
          <w:rFonts w:ascii="Times New Roman" w:hAnsi="Times New Roman"/>
          <w:sz w:val="24"/>
          <w:szCs w:val="24"/>
        </w:rPr>
        <w:t xml:space="preserve"> </w:t>
      </w:r>
      <w:r w:rsidR="00714390" w:rsidRPr="00244589">
        <w:rPr>
          <w:rFonts w:ascii="Times New Roman" w:hAnsi="Times New Roman"/>
          <w:i/>
          <w:sz w:val="24"/>
          <w:szCs w:val="24"/>
        </w:rPr>
        <w:t>Tiberius</w:t>
      </w:r>
      <w:r w:rsidR="00714390" w:rsidRPr="0008486F">
        <w:rPr>
          <w:rFonts w:ascii="Times New Roman" w:hAnsi="Times New Roman"/>
          <w:sz w:val="24"/>
          <w:szCs w:val="24"/>
        </w:rPr>
        <w:t xml:space="preserve"> abreviado como </w:t>
      </w:r>
      <w:r w:rsidR="00714390" w:rsidRPr="0008486F">
        <w:rPr>
          <w:rFonts w:ascii="Times New Roman" w:hAnsi="Times New Roman"/>
          <w:i/>
          <w:sz w:val="24"/>
          <w:szCs w:val="24"/>
        </w:rPr>
        <w:t>Ti.</w:t>
      </w:r>
      <w:r w:rsidR="00714390" w:rsidRPr="0008486F">
        <w:rPr>
          <w:rFonts w:ascii="Times New Roman" w:hAnsi="Times New Roman"/>
          <w:sz w:val="24"/>
          <w:szCs w:val="24"/>
        </w:rPr>
        <w:t xml:space="preserve"> o </w:t>
      </w:r>
      <w:r w:rsidR="00714390" w:rsidRPr="0008486F">
        <w:rPr>
          <w:rFonts w:ascii="Times New Roman" w:hAnsi="Times New Roman"/>
          <w:i/>
          <w:sz w:val="24"/>
          <w:szCs w:val="24"/>
        </w:rPr>
        <w:t>T.</w:t>
      </w:r>
      <w:r w:rsidR="00714390" w:rsidRPr="0008486F">
        <w:rPr>
          <w:rFonts w:ascii="Times New Roman" w:hAnsi="Times New Roman"/>
          <w:sz w:val="24"/>
          <w:szCs w:val="24"/>
        </w:rPr>
        <w:t xml:space="preserve"> En la prosopografía pompeyana </w:t>
      </w:r>
      <w:r w:rsidR="0051563A" w:rsidRPr="0008486F">
        <w:rPr>
          <w:rFonts w:ascii="Times New Roman" w:hAnsi="Times New Roman"/>
          <w:sz w:val="24"/>
          <w:szCs w:val="24"/>
        </w:rPr>
        <w:t xml:space="preserve">se </w:t>
      </w:r>
      <w:r w:rsidR="00714390" w:rsidRPr="0008486F">
        <w:rPr>
          <w:rFonts w:ascii="Times New Roman" w:hAnsi="Times New Roman"/>
          <w:sz w:val="24"/>
          <w:szCs w:val="24"/>
        </w:rPr>
        <w:t>ha</w:t>
      </w:r>
      <w:r w:rsidR="0051563A" w:rsidRPr="0008486F">
        <w:rPr>
          <w:rFonts w:ascii="Times New Roman" w:hAnsi="Times New Roman"/>
          <w:sz w:val="24"/>
          <w:szCs w:val="24"/>
        </w:rPr>
        <w:t>n</w:t>
      </w:r>
      <w:r w:rsidR="00714390" w:rsidRPr="0008486F">
        <w:rPr>
          <w:rFonts w:ascii="Times New Roman" w:hAnsi="Times New Roman"/>
          <w:sz w:val="24"/>
          <w:szCs w:val="24"/>
        </w:rPr>
        <w:t xml:space="preserve"> encontrado </w:t>
      </w:r>
      <w:r w:rsidR="0051563A" w:rsidRPr="0008486F">
        <w:rPr>
          <w:rFonts w:ascii="Times New Roman" w:hAnsi="Times New Roman"/>
          <w:sz w:val="24"/>
          <w:szCs w:val="24"/>
        </w:rPr>
        <w:t>dos</w:t>
      </w:r>
      <w:r w:rsidR="00714390" w:rsidRPr="0008486F">
        <w:rPr>
          <w:rFonts w:ascii="Times New Roman" w:hAnsi="Times New Roman"/>
          <w:sz w:val="24"/>
          <w:szCs w:val="24"/>
        </w:rPr>
        <w:t xml:space="preserve"> posible</w:t>
      </w:r>
      <w:r w:rsidR="0051563A" w:rsidRPr="0008486F">
        <w:rPr>
          <w:rFonts w:ascii="Times New Roman" w:hAnsi="Times New Roman"/>
          <w:sz w:val="24"/>
          <w:szCs w:val="24"/>
        </w:rPr>
        <w:t>s</w:t>
      </w:r>
      <w:r w:rsidR="00714390" w:rsidRPr="0008486F">
        <w:rPr>
          <w:rFonts w:ascii="Times New Roman" w:hAnsi="Times New Roman"/>
          <w:sz w:val="24"/>
          <w:szCs w:val="24"/>
        </w:rPr>
        <w:t xml:space="preserve"> desarrollo</w:t>
      </w:r>
      <w:r w:rsidR="0051563A" w:rsidRPr="0008486F">
        <w:rPr>
          <w:rFonts w:ascii="Times New Roman" w:hAnsi="Times New Roman"/>
          <w:sz w:val="24"/>
          <w:szCs w:val="24"/>
        </w:rPr>
        <w:t>s</w:t>
      </w:r>
      <w:r w:rsidR="00714390" w:rsidRPr="0008486F">
        <w:rPr>
          <w:rFonts w:ascii="Times New Roman" w:hAnsi="Times New Roman"/>
          <w:sz w:val="24"/>
          <w:szCs w:val="24"/>
        </w:rPr>
        <w:t xml:space="preserve"> como </w:t>
      </w:r>
      <w:r w:rsidR="0051563A" w:rsidRPr="00CC129E">
        <w:rPr>
          <w:rFonts w:ascii="Times New Roman" w:hAnsi="Times New Roman"/>
          <w:i/>
          <w:sz w:val="24"/>
          <w:szCs w:val="24"/>
        </w:rPr>
        <w:t>Ti. Com</w:t>
      </w:r>
      <w:r w:rsidR="0051563A" w:rsidRPr="0008486F">
        <w:rPr>
          <w:rFonts w:ascii="Times New Roman" w:hAnsi="Times New Roman"/>
          <w:sz w:val="24"/>
          <w:szCs w:val="24"/>
        </w:rPr>
        <w:t>(i)</w:t>
      </w:r>
      <w:r w:rsidR="0051563A" w:rsidRPr="00CC129E">
        <w:rPr>
          <w:rFonts w:ascii="Times New Roman" w:hAnsi="Times New Roman"/>
          <w:i/>
          <w:sz w:val="24"/>
          <w:szCs w:val="24"/>
        </w:rPr>
        <w:t>ni</w:t>
      </w:r>
      <w:r w:rsidR="0051563A" w:rsidRPr="0008486F">
        <w:rPr>
          <w:rFonts w:ascii="Times New Roman" w:hAnsi="Times New Roman"/>
          <w:sz w:val="24"/>
          <w:szCs w:val="24"/>
        </w:rPr>
        <w:t>(u)</w:t>
      </w:r>
      <w:r w:rsidR="0051563A" w:rsidRPr="00CC129E">
        <w:rPr>
          <w:rFonts w:ascii="Times New Roman" w:hAnsi="Times New Roman"/>
          <w:i/>
          <w:sz w:val="24"/>
          <w:szCs w:val="24"/>
        </w:rPr>
        <w:t>s</w:t>
      </w:r>
      <w:r w:rsidR="0051563A" w:rsidRPr="0008486F">
        <w:rPr>
          <w:rFonts w:ascii="Times New Roman" w:hAnsi="Times New Roman"/>
          <w:sz w:val="24"/>
          <w:szCs w:val="24"/>
        </w:rPr>
        <w:t xml:space="preserve">? </w:t>
      </w:r>
      <w:r w:rsidR="0051563A" w:rsidRPr="00CC129E">
        <w:rPr>
          <w:rFonts w:ascii="Times New Roman" w:hAnsi="Times New Roman"/>
          <w:i/>
          <w:sz w:val="24"/>
          <w:szCs w:val="24"/>
        </w:rPr>
        <w:t>Olithus</w:t>
      </w:r>
      <w:r w:rsidR="0051563A" w:rsidRPr="0008486F">
        <w:rPr>
          <w:rFonts w:ascii="Times New Roman" w:hAnsi="Times New Roman"/>
          <w:sz w:val="24"/>
          <w:szCs w:val="24"/>
        </w:rPr>
        <w:t>?</w:t>
      </w:r>
      <w:r w:rsidR="0051563A" w:rsidRPr="0008486F">
        <w:rPr>
          <w:rStyle w:val="FootnoteReference"/>
          <w:rFonts w:ascii="Times New Roman" w:hAnsi="Times New Roman"/>
          <w:sz w:val="24"/>
          <w:szCs w:val="24"/>
        </w:rPr>
        <w:footnoteReference w:id="37"/>
      </w:r>
      <w:r w:rsidR="0051563A" w:rsidRPr="0008486F">
        <w:rPr>
          <w:rFonts w:ascii="Times New Roman" w:hAnsi="Times New Roman"/>
          <w:sz w:val="24"/>
          <w:szCs w:val="24"/>
        </w:rPr>
        <w:t xml:space="preserve"> o </w:t>
      </w:r>
      <w:r w:rsidR="00714390" w:rsidRPr="00CC129E">
        <w:rPr>
          <w:rFonts w:ascii="Times New Roman" w:hAnsi="Times New Roman"/>
          <w:i/>
          <w:sz w:val="24"/>
          <w:szCs w:val="24"/>
        </w:rPr>
        <w:t>Ti. Claudius Orpheus</w:t>
      </w:r>
      <w:r w:rsidR="00023117" w:rsidRPr="0008486F">
        <w:rPr>
          <w:rStyle w:val="FootnoteReference"/>
          <w:rFonts w:ascii="Times New Roman" w:hAnsi="Times New Roman"/>
          <w:sz w:val="24"/>
          <w:szCs w:val="24"/>
        </w:rPr>
        <w:footnoteReference w:id="38"/>
      </w:r>
      <w:r w:rsidR="00714390" w:rsidRPr="0008486F">
        <w:rPr>
          <w:rFonts w:ascii="Times New Roman" w:hAnsi="Times New Roman"/>
          <w:sz w:val="24"/>
          <w:szCs w:val="24"/>
        </w:rPr>
        <w:t>.</w:t>
      </w:r>
    </w:p>
    <w:p w:rsidR="00186CAA" w:rsidRPr="00F34854" w:rsidRDefault="00880D1A" w:rsidP="00F34854">
      <w:pPr>
        <w:spacing w:after="0" w:line="360" w:lineRule="auto"/>
        <w:ind w:firstLine="709"/>
        <w:jc w:val="both"/>
        <w:rPr>
          <w:rFonts w:ascii="Times New Roman" w:hAnsi="Times New Roman"/>
          <w:sz w:val="24"/>
          <w:szCs w:val="24"/>
        </w:rPr>
      </w:pPr>
      <w:r>
        <w:rPr>
          <w:rFonts w:ascii="Times New Roman" w:hAnsi="Times New Roman"/>
          <w:sz w:val="24"/>
          <w:szCs w:val="24"/>
        </w:rPr>
        <w:t>La propuesta</w:t>
      </w:r>
      <w:r w:rsidR="00E67AA1" w:rsidRPr="0008486F">
        <w:rPr>
          <w:rFonts w:ascii="Times New Roman" w:hAnsi="Times New Roman"/>
          <w:sz w:val="24"/>
          <w:szCs w:val="24"/>
        </w:rPr>
        <w:t xml:space="preserve"> </w:t>
      </w:r>
      <w:r>
        <w:rPr>
          <w:rFonts w:ascii="Times New Roman" w:hAnsi="Times New Roman"/>
          <w:sz w:val="24"/>
          <w:szCs w:val="24"/>
        </w:rPr>
        <w:t xml:space="preserve">sobre </w:t>
      </w:r>
      <w:r w:rsidRPr="005426CF">
        <w:rPr>
          <w:rFonts w:ascii="Times New Roman" w:hAnsi="Times New Roman"/>
          <w:i/>
          <w:sz w:val="24"/>
          <w:szCs w:val="24"/>
        </w:rPr>
        <w:t>Ti. Claudius Orpheus</w:t>
      </w:r>
      <w:r w:rsidRPr="0008486F">
        <w:rPr>
          <w:rFonts w:ascii="Times New Roman" w:hAnsi="Times New Roman"/>
          <w:sz w:val="24"/>
          <w:szCs w:val="24"/>
        </w:rPr>
        <w:t xml:space="preserve"> </w:t>
      </w:r>
      <w:r w:rsidR="00E67AA1" w:rsidRPr="0008486F">
        <w:rPr>
          <w:rFonts w:ascii="Times New Roman" w:hAnsi="Times New Roman"/>
          <w:sz w:val="24"/>
          <w:szCs w:val="24"/>
        </w:rPr>
        <w:t xml:space="preserve">se muestra con un gran potencial para la interpretación histórica de los </w:t>
      </w:r>
      <w:r w:rsidR="00E67AA1" w:rsidRPr="0008486F">
        <w:rPr>
          <w:rFonts w:ascii="Times New Roman" w:hAnsi="Times New Roman"/>
          <w:i/>
          <w:sz w:val="24"/>
          <w:szCs w:val="24"/>
        </w:rPr>
        <w:t>tituli</w:t>
      </w:r>
      <w:r w:rsidR="00E67AA1" w:rsidRPr="0008486F">
        <w:rPr>
          <w:rFonts w:ascii="Times New Roman" w:hAnsi="Times New Roman"/>
          <w:sz w:val="24"/>
          <w:szCs w:val="24"/>
        </w:rPr>
        <w:t xml:space="preserve">. Este </w:t>
      </w:r>
      <w:r w:rsidR="00881BE6" w:rsidRPr="0008486F">
        <w:rPr>
          <w:rFonts w:ascii="Times New Roman" w:hAnsi="Times New Roman"/>
          <w:sz w:val="24"/>
          <w:szCs w:val="24"/>
        </w:rPr>
        <w:t>individuo aparece</w:t>
      </w:r>
      <w:r w:rsidR="00E67AA1" w:rsidRPr="0008486F">
        <w:rPr>
          <w:rFonts w:ascii="Times New Roman" w:hAnsi="Times New Roman"/>
          <w:sz w:val="24"/>
          <w:szCs w:val="24"/>
        </w:rPr>
        <w:t xml:space="preserve"> como </w:t>
      </w:r>
      <w:r w:rsidR="00E67AA1" w:rsidRPr="0008486F">
        <w:rPr>
          <w:rFonts w:ascii="Times New Roman" w:hAnsi="Times New Roman"/>
          <w:i/>
          <w:sz w:val="24"/>
          <w:szCs w:val="24"/>
        </w:rPr>
        <w:t>vector</w:t>
      </w:r>
      <w:r w:rsidR="00E67AA1" w:rsidRPr="0008486F">
        <w:rPr>
          <w:rFonts w:ascii="Times New Roman" w:hAnsi="Times New Roman"/>
          <w:sz w:val="24"/>
          <w:szCs w:val="24"/>
        </w:rPr>
        <w:t xml:space="preserve"> en </w:t>
      </w:r>
      <w:r w:rsidR="00881BE6" w:rsidRPr="0008486F">
        <w:rPr>
          <w:rFonts w:ascii="Times New Roman" w:hAnsi="Times New Roman"/>
          <w:sz w:val="24"/>
          <w:szCs w:val="24"/>
        </w:rPr>
        <w:t>el contenedor de una</w:t>
      </w:r>
      <w:r w:rsidR="00E67AA1" w:rsidRPr="0008486F">
        <w:rPr>
          <w:rFonts w:ascii="Times New Roman" w:hAnsi="Times New Roman"/>
          <w:sz w:val="24"/>
          <w:szCs w:val="24"/>
        </w:rPr>
        <w:t xml:space="preserve"> muestra de trigo u otra carga similar</w:t>
      </w:r>
      <w:r w:rsidR="00881BE6" w:rsidRPr="0008486F">
        <w:rPr>
          <w:rFonts w:ascii="Times New Roman" w:hAnsi="Times New Roman"/>
          <w:sz w:val="24"/>
          <w:szCs w:val="24"/>
        </w:rPr>
        <w:t xml:space="preserve"> </w:t>
      </w:r>
      <w:r w:rsidR="0055717A">
        <w:rPr>
          <w:rFonts w:ascii="Times New Roman" w:hAnsi="Times New Roman"/>
          <w:sz w:val="24"/>
          <w:szCs w:val="24"/>
        </w:rPr>
        <w:t>-</w:t>
      </w:r>
      <w:r w:rsidR="00881BE6" w:rsidRPr="0008486F">
        <w:rPr>
          <w:rFonts w:ascii="Times New Roman" w:hAnsi="Times New Roman"/>
          <w:i/>
          <w:sz w:val="24"/>
          <w:szCs w:val="24"/>
        </w:rPr>
        <w:t>exemplar</w:t>
      </w:r>
      <w:r w:rsidR="0055717A">
        <w:rPr>
          <w:rFonts w:ascii="Times New Roman" w:hAnsi="Times New Roman"/>
          <w:sz w:val="24"/>
          <w:szCs w:val="24"/>
        </w:rPr>
        <w:t>-</w:t>
      </w:r>
      <w:r w:rsidR="00E67AA1" w:rsidRPr="0008486F">
        <w:rPr>
          <w:rFonts w:ascii="Times New Roman" w:hAnsi="Times New Roman"/>
          <w:sz w:val="24"/>
          <w:szCs w:val="24"/>
        </w:rPr>
        <w:t xml:space="preserve">, transportada en la nave de </w:t>
      </w:r>
      <w:r w:rsidR="00E67AA1" w:rsidRPr="005426CF">
        <w:rPr>
          <w:rFonts w:ascii="Times New Roman" w:hAnsi="Times New Roman"/>
          <w:i/>
          <w:sz w:val="24"/>
          <w:szCs w:val="24"/>
        </w:rPr>
        <w:t>Cn. Sentius</w:t>
      </w:r>
      <w:r w:rsidR="00881BE6" w:rsidRPr="005426CF">
        <w:rPr>
          <w:rFonts w:ascii="Times New Roman" w:hAnsi="Times New Roman"/>
          <w:i/>
          <w:sz w:val="24"/>
          <w:szCs w:val="24"/>
        </w:rPr>
        <w:t xml:space="preserve"> Homerus</w:t>
      </w:r>
      <w:r w:rsidR="00E67AA1" w:rsidRPr="0008486F">
        <w:rPr>
          <w:rFonts w:ascii="Times New Roman" w:hAnsi="Times New Roman"/>
          <w:sz w:val="24"/>
          <w:szCs w:val="24"/>
        </w:rPr>
        <w:t>.</w:t>
      </w:r>
      <w:r w:rsidR="001914AC" w:rsidRPr="0008486F">
        <w:rPr>
          <w:rFonts w:ascii="Times New Roman" w:hAnsi="Times New Roman"/>
          <w:sz w:val="24"/>
          <w:szCs w:val="24"/>
        </w:rPr>
        <w:t xml:space="preserve"> El posible propietario del cargamento sería </w:t>
      </w:r>
      <w:r w:rsidR="001914AC" w:rsidRPr="005426CF">
        <w:rPr>
          <w:rFonts w:ascii="Times New Roman" w:hAnsi="Times New Roman"/>
          <w:i/>
          <w:sz w:val="24"/>
          <w:szCs w:val="24"/>
        </w:rPr>
        <w:t>M. Terentius Artritacus</w:t>
      </w:r>
      <w:r w:rsidR="001914AC" w:rsidRPr="0008486F">
        <w:rPr>
          <w:rStyle w:val="FootnoteReference"/>
          <w:rFonts w:ascii="Times New Roman" w:hAnsi="Times New Roman"/>
          <w:sz w:val="24"/>
          <w:szCs w:val="24"/>
        </w:rPr>
        <w:footnoteReference w:id="39"/>
      </w:r>
      <w:r w:rsidR="001914AC" w:rsidRPr="0008486F">
        <w:rPr>
          <w:rFonts w:ascii="Times New Roman" w:hAnsi="Times New Roman"/>
          <w:sz w:val="24"/>
          <w:szCs w:val="24"/>
        </w:rPr>
        <w:t>.</w:t>
      </w:r>
      <w:r w:rsidR="00851433" w:rsidRPr="0008486F">
        <w:rPr>
          <w:rFonts w:ascii="Times New Roman" w:hAnsi="Times New Roman"/>
          <w:sz w:val="24"/>
          <w:szCs w:val="24"/>
        </w:rPr>
        <w:t xml:space="preserve"> Los </w:t>
      </w:r>
      <w:r w:rsidR="00851433" w:rsidRPr="00CC129E">
        <w:rPr>
          <w:rFonts w:ascii="Times New Roman" w:hAnsi="Times New Roman"/>
          <w:i/>
          <w:sz w:val="24"/>
          <w:szCs w:val="24"/>
        </w:rPr>
        <w:t>Ti. Ti. Claudii</w:t>
      </w:r>
      <w:r w:rsidR="00851433" w:rsidRPr="0008486F">
        <w:rPr>
          <w:rFonts w:ascii="Times New Roman" w:hAnsi="Times New Roman"/>
          <w:sz w:val="24"/>
          <w:szCs w:val="24"/>
        </w:rPr>
        <w:t xml:space="preserve"> estuvieron notablemente vinculados al comercio del vino cretense</w:t>
      </w:r>
      <w:r w:rsidR="00851433" w:rsidRPr="0008486F">
        <w:rPr>
          <w:rStyle w:val="FootnoteReference"/>
          <w:rFonts w:ascii="Times New Roman" w:hAnsi="Times New Roman"/>
          <w:sz w:val="24"/>
          <w:szCs w:val="24"/>
        </w:rPr>
        <w:footnoteReference w:id="40"/>
      </w:r>
      <w:r w:rsidR="00851433" w:rsidRPr="0008486F">
        <w:rPr>
          <w:rFonts w:ascii="Times New Roman" w:hAnsi="Times New Roman"/>
          <w:sz w:val="24"/>
          <w:szCs w:val="24"/>
        </w:rPr>
        <w:t>.</w:t>
      </w:r>
      <w:r w:rsidR="00065590" w:rsidRPr="0008486F">
        <w:rPr>
          <w:rFonts w:ascii="Times New Roman" w:hAnsi="Times New Roman"/>
          <w:sz w:val="24"/>
          <w:szCs w:val="24"/>
        </w:rPr>
        <w:t xml:space="preserve"> Incluso alguno de ellos pudo contar con una </w:t>
      </w:r>
      <w:r w:rsidR="00065590" w:rsidRPr="0008486F">
        <w:rPr>
          <w:rFonts w:ascii="Times New Roman" w:hAnsi="Times New Roman"/>
          <w:i/>
          <w:sz w:val="24"/>
          <w:szCs w:val="24"/>
        </w:rPr>
        <w:t>caupona</w:t>
      </w:r>
      <w:r w:rsidR="00065590" w:rsidRPr="0008486F">
        <w:rPr>
          <w:rFonts w:ascii="Times New Roman" w:hAnsi="Times New Roman"/>
          <w:sz w:val="24"/>
          <w:szCs w:val="24"/>
        </w:rPr>
        <w:t xml:space="preserve"> en </w:t>
      </w:r>
      <w:r w:rsidR="00065590" w:rsidRPr="0008486F">
        <w:rPr>
          <w:rFonts w:ascii="Times New Roman" w:hAnsi="Times New Roman"/>
          <w:i/>
          <w:sz w:val="24"/>
          <w:szCs w:val="24"/>
        </w:rPr>
        <w:t>Pompeii</w:t>
      </w:r>
      <w:r w:rsidR="00065590" w:rsidRPr="0008486F">
        <w:rPr>
          <w:rStyle w:val="FootnoteReference"/>
          <w:rFonts w:ascii="Times New Roman" w:hAnsi="Times New Roman"/>
          <w:sz w:val="24"/>
          <w:szCs w:val="24"/>
        </w:rPr>
        <w:footnoteReference w:id="41"/>
      </w:r>
      <w:r w:rsidR="00BA2E71" w:rsidRPr="0008486F">
        <w:rPr>
          <w:rFonts w:ascii="Times New Roman" w:hAnsi="Times New Roman"/>
          <w:sz w:val="24"/>
          <w:szCs w:val="24"/>
        </w:rPr>
        <w:t xml:space="preserve">. </w:t>
      </w:r>
      <w:r w:rsidR="00BA2E71" w:rsidRPr="005426CF">
        <w:rPr>
          <w:rFonts w:ascii="Times New Roman" w:hAnsi="Times New Roman"/>
          <w:i/>
          <w:sz w:val="24"/>
          <w:szCs w:val="24"/>
        </w:rPr>
        <w:t>T</w:t>
      </w:r>
      <w:r w:rsidR="001D1DA8" w:rsidRPr="005426CF">
        <w:rPr>
          <w:rFonts w:ascii="Times New Roman" w:hAnsi="Times New Roman"/>
          <w:i/>
          <w:sz w:val="24"/>
          <w:szCs w:val="24"/>
        </w:rPr>
        <w:t>i. Claudius Orpheu</w:t>
      </w:r>
      <w:r w:rsidR="001D1DA8" w:rsidRPr="0008486F">
        <w:rPr>
          <w:rFonts w:ascii="Times New Roman" w:hAnsi="Times New Roman"/>
          <w:sz w:val="24"/>
          <w:szCs w:val="24"/>
        </w:rPr>
        <w:t xml:space="preserve">s habría estado implicado en el transporte </w:t>
      </w:r>
      <w:r>
        <w:rPr>
          <w:rFonts w:ascii="Times New Roman" w:hAnsi="Times New Roman"/>
          <w:sz w:val="24"/>
          <w:szCs w:val="24"/>
        </w:rPr>
        <w:t>trasmediterráne</w:t>
      </w:r>
      <w:r w:rsidR="004B7668" w:rsidRPr="0008486F">
        <w:rPr>
          <w:rFonts w:ascii="Times New Roman" w:hAnsi="Times New Roman"/>
          <w:sz w:val="24"/>
          <w:szCs w:val="24"/>
        </w:rPr>
        <w:t>o</w:t>
      </w:r>
      <w:r w:rsidR="001D1DA8" w:rsidRPr="0008486F">
        <w:rPr>
          <w:rStyle w:val="FootnoteReference"/>
          <w:rFonts w:ascii="Times New Roman" w:hAnsi="Times New Roman"/>
          <w:sz w:val="24"/>
          <w:szCs w:val="24"/>
        </w:rPr>
        <w:footnoteReference w:id="42"/>
      </w:r>
      <w:r w:rsidR="001D1DA8" w:rsidRPr="0008486F">
        <w:rPr>
          <w:rFonts w:ascii="Times New Roman" w:hAnsi="Times New Roman"/>
          <w:sz w:val="24"/>
          <w:szCs w:val="24"/>
        </w:rPr>
        <w:t>.</w:t>
      </w:r>
      <w:r w:rsidR="009878B8" w:rsidRPr="0008486F">
        <w:rPr>
          <w:rFonts w:ascii="Times New Roman" w:hAnsi="Times New Roman"/>
          <w:sz w:val="24"/>
          <w:szCs w:val="24"/>
        </w:rPr>
        <w:t xml:space="preserve"> Todo ello contribu</w:t>
      </w:r>
      <w:r w:rsidR="000F76D2">
        <w:rPr>
          <w:rFonts w:ascii="Times New Roman" w:hAnsi="Times New Roman"/>
          <w:sz w:val="24"/>
          <w:szCs w:val="24"/>
        </w:rPr>
        <w:t>iría</w:t>
      </w:r>
      <w:r w:rsidR="009878B8" w:rsidRPr="0008486F">
        <w:rPr>
          <w:rFonts w:ascii="Times New Roman" w:hAnsi="Times New Roman"/>
          <w:sz w:val="24"/>
          <w:szCs w:val="24"/>
        </w:rPr>
        <w:t xml:space="preserve"> a explicar la llegada de productos orientales a manos de este personaje. De tal forma, su sigla</w:t>
      </w:r>
      <w:r w:rsidR="00622476">
        <w:rPr>
          <w:rFonts w:ascii="Times New Roman" w:hAnsi="Times New Roman"/>
          <w:sz w:val="24"/>
          <w:szCs w:val="24"/>
        </w:rPr>
        <w:t xml:space="preserve"> </w:t>
      </w:r>
      <w:r w:rsidR="009878B8" w:rsidRPr="0008486F">
        <w:rPr>
          <w:rFonts w:ascii="Times New Roman" w:hAnsi="Times New Roman"/>
          <w:sz w:val="24"/>
          <w:szCs w:val="24"/>
        </w:rPr>
        <w:t>aparecería en posibl</w:t>
      </w:r>
      <w:r w:rsidR="006B00E5" w:rsidRPr="0008486F">
        <w:rPr>
          <w:rFonts w:ascii="Times New Roman" w:hAnsi="Times New Roman"/>
          <w:sz w:val="24"/>
          <w:szCs w:val="24"/>
        </w:rPr>
        <w:t>es ánforas cretenses (PO10 y 36?</w:t>
      </w:r>
      <w:r w:rsidR="009878B8" w:rsidRPr="0008486F">
        <w:rPr>
          <w:rFonts w:ascii="Times New Roman" w:hAnsi="Times New Roman"/>
          <w:sz w:val="24"/>
          <w:szCs w:val="24"/>
        </w:rPr>
        <w:t>)</w:t>
      </w:r>
      <w:r w:rsidR="009878B8" w:rsidRPr="0008486F">
        <w:rPr>
          <w:rStyle w:val="FootnoteReference"/>
          <w:rFonts w:ascii="Times New Roman" w:hAnsi="Times New Roman"/>
          <w:sz w:val="24"/>
          <w:szCs w:val="24"/>
        </w:rPr>
        <w:footnoteReference w:id="43"/>
      </w:r>
      <w:r w:rsidR="009878B8" w:rsidRPr="0008486F">
        <w:rPr>
          <w:rFonts w:ascii="Times New Roman" w:hAnsi="Times New Roman"/>
          <w:sz w:val="24"/>
          <w:szCs w:val="24"/>
        </w:rPr>
        <w:t>, tripolitanas (PO11) y cilicias (PO13)</w:t>
      </w:r>
      <w:r w:rsidR="00885173" w:rsidRPr="0008486F">
        <w:rPr>
          <w:rStyle w:val="FootnoteReference"/>
          <w:rFonts w:ascii="Times New Roman" w:hAnsi="Times New Roman"/>
          <w:sz w:val="24"/>
          <w:szCs w:val="24"/>
        </w:rPr>
        <w:footnoteReference w:id="44"/>
      </w:r>
      <w:r w:rsidR="009878B8" w:rsidRPr="0008486F">
        <w:rPr>
          <w:rFonts w:ascii="Times New Roman" w:hAnsi="Times New Roman"/>
          <w:sz w:val="24"/>
          <w:szCs w:val="24"/>
        </w:rPr>
        <w:t>.</w:t>
      </w:r>
    </w:p>
    <w:p w:rsidR="00186CAA" w:rsidRPr="0055717A" w:rsidRDefault="0055717A" w:rsidP="00F34854">
      <w:pPr>
        <w:spacing w:after="0" w:line="360" w:lineRule="auto"/>
        <w:ind w:firstLine="709"/>
        <w:jc w:val="both"/>
        <w:rPr>
          <w:rFonts w:ascii="Times New Roman" w:hAnsi="Times New Roman"/>
          <w:b/>
          <w:sz w:val="24"/>
          <w:szCs w:val="24"/>
        </w:rPr>
      </w:pPr>
      <w:r w:rsidRPr="0055717A">
        <w:rPr>
          <w:rFonts w:ascii="Times New Roman" w:hAnsi="Times New Roman"/>
          <w:b/>
          <w:sz w:val="24"/>
          <w:szCs w:val="24"/>
        </w:rPr>
        <w:t>4. Grupos estructurales: t</w:t>
      </w:r>
      <w:r w:rsidR="00186CAA" w:rsidRPr="0055717A">
        <w:rPr>
          <w:rFonts w:ascii="Times New Roman" w:hAnsi="Times New Roman"/>
          <w:b/>
          <w:sz w:val="24"/>
          <w:szCs w:val="24"/>
        </w:rPr>
        <w:t>itulaturas asociadas a CAR y TICO</w:t>
      </w:r>
    </w:p>
    <w:p w:rsidR="006A14A1" w:rsidRDefault="006A14A1" w:rsidP="00F34854">
      <w:pPr>
        <w:spacing w:after="0" w:line="360" w:lineRule="auto"/>
        <w:ind w:firstLine="709"/>
        <w:jc w:val="both"/>
        <w:rPr>
          <w:rFonts w:ascii="Times New Roman" w:hAnsi="Times New Roman"/>
          <w:sz w:val="24"/>
          <w:szCs w:val="24"/>
        </w:rPr>
      </w:pPr>
      <w:r w:rsidRPr="0008486F">
        <w:rPr>
          <w:rFonts w:ascii="Times New Roman" w:hAnsi="Times New Roman"/>
          <w:sz w:val="24"/>
          <w:szCs w:val="24"/>
        </w:rPr>
        <w:t>A continuaci</w:t>
      </w:r>
      <w:r w:rsidR="00E937FC">
        <w:rPr>
          <w:rFonts w:ascii="Times New Roman" w:hAnsi="Times New Roman"/>
          <w:sz w:val="24"/>
          <w:szCs w:val="24"/>
        </w:rPr>
        <w:t xml:space="preserve">ón se proponen lecturas para los </w:t>
      </w:r>
      <w:r w:rsidR="00E937FC" w:rsidRPr="00E937FC">
        <w:rPr>
          <w:rFonts w:ascii="Times New Roman" w:hAnsi="Times New Roman"/>
          <w:i/>
          <w:sz w:val="24"/>
          <w:szCs w:val="24"/>
        </w:rPr>
        <w:t>tituli</w:t>
      </w:r>
      <w:r w:rsidR="00E937FC">
        <w:rPr>
          <w:rFonts w:ascii="Times New Roman" w:hAnsi="Times New Roman"/>
          <w:sz w:val="24"/>
          <w:szCs w:val="24"/>
        </w:rPr>
        <w:t xml:space="preserve"> asociados a CAR y TICO y se analiza la organización de los epígrafes</w:t>
      </w:r>
      <w:r w:rsidR="00A77B42" w:rsidRPr="0008486F">
        <w:rPr>
          <w:rFonts w:ascii="Times New Roman" w:hAnsi="Times New Roman"/>
          <w:sz w:val="24"/>
          <w:szCs w:val="24"/>
        </w:rPr>
        <w:t>.</w:t>
      </w:r>
      <w:r w:rsidR="00F677AF" w:rsidRPr="0008486F">
        <w:rPr>
          <w:rFonts w:ascii="Times New Roman" w:hAnsi="Times New Roman"/>
          <w:sz w:val="24"/>
          <w:szCs w:val="24"/>
        </w:rPr>
        <w:t xml:space="preserve"> Resultan seis grupos </w:t>
      </w:r>
      <w:r w:rsidR="00E937FC">
        <w:rPr>
          <w:rFonts w:ascii="Times New Roman" w:hAnsi="Times New Roman"/>
          <w:sz w:val="24"/>
          <w:szCs w:val="24"/>
        </w:rPr>
        <w:t xml:space="preserve">estructurales, divididos en dos subgrupos, según contengan el </w:t>
      </w:r>
      <w:r w:rsidR="00E937FC" w:rsidRPr="00E937FC">
        <w:rPr>
          <w:rFonts w:ascii="Times New Roman" w:hAnsi="Times New Roman"/>
          <w:i/>
          <w:sz w:val="24"/>
          <w:szCs w:val="24"/>
        </w:rPr>
        <w:t>titulus</w:t>
      </w:r>
      <w:r w:rsidR="00E937FC">
        <w:rPr>
          <w:rFonts w:ascii="Times New Roman" w:hAnsi="Times New Roman"/>
          <w:sz w:val="24"/>
          <w:szCs w:val="24"/>
        </w:rPr>
        <w:t xml:space="preserve"> CAR -A- o TICO -B-.</w:t>
      </w:r>
      <w:r w:rsidR="00F677AF" w:rsidRPr="0008486F">
        <w:rPr>
          <w:rFonts w:ascii="Times New Roman" w:hAnsi="Times New Roman"/>
          <w:sz w:val="24"/>
          <w:szCs w:val="24"/>
        </w:rPr>
        <w:t xml:space="preserve"> </w:t>
      </w:r>
      <w:r w:rsidR="00E937FC">
        <w:rPr>
          <w:rFonts w:ascii="Times New Roman" w:hAnsi="Times New Roman"/>
          <w:sz w:val="24"/>
          <w:szCs w:val="24"/>
        </w:rPr>
        <w:t xml:space="preserve">Su ordenación responde a la </w:t>
      </w:r>
      <w:r w:rsidR="00F677AF" w:rsidRPr="0008486F">
        <w:rPr>
          <w:rFonts w:ascii="Times New Roman" w:hAnsi="Times New Roman"/>
          <w:sz w:val="24"/>
          <w:szCs w:val="24"/>
        </w:rPr>
        <w:t xml:space="preserve">complejidad y </w:t>
      </w:r>
      <w:r w:rsidR="00E937FC">
        <w:rPr>
          <w:rFonts w:ascii="Times New Roman" w:hAnsi="Times New Roman"/>
          <w:sz w:val="24"/>
          <w:szCs w:val="24"/>
        </w:rPr>
        <w:t>extensión de la titulatura</w:t>
      </w:r>
      <w:r w:rsidR="00F677AF" w:rsidRPr="0008486F">
        <w:rPr>
          <w:rFonts w:ascii="Times New Roman" w:hAnsi="Times New Roman"/>
          <w:sz w:val="24"/>
          <w:szCs w:val="24"/>
        </w:rPr>
        <w:t>.</w:t>
      </w:r>
      <w:r w:rsidR="008872D1">
        <w:rPr>
          <w:rFonts w:ascii="Times New Roman" w:hAnsi="Times New Roman"/>
          <w:sz w:val="24"/>
          <w:szCs w:val="24"/>
        </w:rPr>
        <w:t xml:space="preserve"> A partir de las lecturas se determina la codificación de cada inscripción.</w:t>
      </w:r>
    </w:p>
    <w:p w:rsidR="00E937FC" w:rsidRPr="0055717A" w:rsidRDefault="006437C3" w:rsidP="00F34854">
      <w:pPr>
        <w:spacing w:after="0" w:line="360" w:lineRule="auto"/>
        <w:ind w:firstLine="709"/>
        <w:jc w:val="both"/>
        <w:rPr>
          <w:rFonts w:ascii="Times New Roman" w:hAnsi="Times New Roman"/>
          <w:i/>
          <w:sz w:val="24"/>
          <w:szCs w:val="24"/>
        </w:rPr>
      </w:pPr>
      <w:r w:rsidRPr="0055717A">
        <w:rPr>
          <w:rFonts w:ascii="Times New Roman" w:hAnsi="Times New Roman"/>
          <w:i/>
          <w:sz w:val="24"/>
          <w:szCs w:val="24"/>
        </w:rPr>
        <w:t>4.1. Grupo 1</w:t>
      </w:r>
    </w:p>
    <w:p w:rsidR="0087121A" w:rsidRDefault="00F677AF" w:rsidP="00F34854">
      <w:pPr>
        <w:spacing w:after="0" w:line="360" w:lineRule="auto"/>
        <w:ind w:firstLine="709"/>
        <w:jc w:val="both"/>
        <w:rPr>
          <w:rFonts w:ascii="Times New Roman" w:hAnsi="Times New Roman"/>
          <w:sz w:val="24"/>
          <w:szCs w:val="24"/>
        </w:rPr>
      </w:pPr>
      <w:r w:rsidRPr="0008486F">
        <w:rPr>
          <w:rFonts w:ascii="Times New Roman" w:hAnsi="Times New Roman"/>
          <w:sz w:val="24"/>
          <w:szCs w:val="24"/>
        </w:rPr>
        <w:t xml:space="preserve">En el grupo estructural </w:t>
      </w:r>
      <w:r w:rsidR="00E937FC">
        <w:rPr>
          <w:rFonts w:ascii="Times New Roman" w:hAnsi="Times New Roman"/>
          <w:sz w:val="24"/>
          <w:szCs w:val="24"/>
        </w:rPr>
        <w:t xml:space="preserve">1 </w:t>
      </w:r>
      <w:r w:rsidRPr="0008486F">
        <w:rPr>
          <w:rFonts w:ascii="Times New Roman" w:hAnsi="Times New Roman"/>
          <w:sz w:val="24"/>
          <w:szCs w:val="24"/>
        </w:rPr>
        <w:t xml:space="preserve">se hallan </w:t>
      </w:r>
      <w:r w:rsidR="000338F2">
        <w:rPr>
          <w:rFonts w:ascii="Times New Roman" w:hAnsi="Times New Roman"/>
          <w:sz w:val="24"/>
          <w:szCs w:val="24"/>
        </w:rPr>
        <w:t>las ánforas donde las siglas asociadas a CAR -1-4-</w:t>
      </w:r>
      <w:r w:rsidRPr="0008486F">
        <w:rPr>
          <w:rFonts w:ascii="Times New Roman" w:hAnsi="Times New Roman"/>
          <w:sz w:val="24"/>
          <w:szCs w:val="24"/>
        </w:rPr>
        <w:t xml:space="preserve"> </w:t>
      </w:r>
      <w:r w:rsidR="000338F2">
        <w:rPr>
          <w:rFonts w:ascii="Times New Roman" w:hAnsi="Times New Roman"/>
          <w:sz w:val="24"/>
          <w:szCs w:val="24"/>
        </w:rPr>
        <w:t>y TICO -5-9- aparecen en solitario</w:t>
      </w:r>
      <w:r w:rsidRPr="0008486F">
        <w:rPr>
          <w:rFonts w:ascii="Times New Roman" w:hAnsi="Times New Roman"/>
          <w:sz w:val="24"/>
          <w:szCs w:val="24"/>
        </w:rPr>
        <w:t xml:space="preserve">. </w:t>
      </w:r>
      <w:r w:rsidR="006B00E5" w:rsidRPr="0008486F">
        <w:rPr>
          <w:rFonts w:ascii="Times New Roman" w:hAnsi="Times New Roman"/>
          <w:sz w:val="24"/>
          <w:szCs w:val="24"/>
        </w:rPr>
        <w:t xml:space="preserve">Suponen casi un tercio </w:t>
      </w:r>
      <w:r w:rsidR="000338F2">
        <w:rPr>
          <w:rFonts w:ascii="Times New Roman" w:hAnsi="Times New Roman"/>
          <w:sz w:val="24"/>
          <w:szCs w:val="24"/>
        </w:rPr>
        <w:t>de las inscripciones analizadas y se hallan</w:t>
      </w:r>
      <w:r w:rsidR="006B00E5" w:rsidRPr="0008486F">
        <w:rPr>
          <w:rFonts w:ascii="Times New Roman" w:hAnsi="Times New Roman"/>
          <w:sz w:val="24"/>
          <w:szCs w:val="24"/>
        </w:rPr>
        <w:t xml:space="preserve"> sobre for</w:t>
      </w:r>
      <w:r w:rsidR="000338F2">
        <w:rPr>
          <w:rFonts w:ascii="Times New Roman" w:hAnsi="Times New Roman"/>
          <w:sz w:val="24"/>
          <w:szCs w:val="24"/>
        </w:rPr>
        <w:t>mas PO08, 10 y 13</w:t>
      </w:r>
      <w:r w:rsidR="006B00E5" w:rsidRPr="0008486F">
        <w:rPr>
          <w:rFonts w:ascii="Times New Roman" w:hAnsi="Times New Roman"/>
          <w:sz w:val="24"/>
          <w:szCs w:val="24"/>
        </w:rPr>
        <w:t xml:space="preserve">. </w:t>
      </w:r>
      <w:r w:rsidR="002F4A7D" w:rsidRPr="0008486F">
        <w:rPr>
          <w:rFonts w:ascii="Times New Roman" w:hAnsi="Times New Roman"/>
          <w:sz w:val="24"/>
          <w:szCs w:val="24"/>
        </w:rPr>
        <w:t>Existen</w:t>
      </w:r>
      <w:r w:rsidR="000338F2">
        <w:rPr>
          <w:rFonts w:ascii="Times New Roman" w:hAnsi="Times New Roman"/>
          <w:sz w:val="24"/>
          <w:szCs w:val="24"/>
        </w:rPr>
        <w:t xml:space="preserve"> casos dudosos -1 y 9-</w:t>
      </w:r>
      <w:r w:rsidR="006B00E5" w:rsidRPr="0008486F">
        <w:rPr>
          <w:rFonts w:ascii="Times New Roman" w:hAnsi="Times New Roman"/>
          <w:sz w:val="24"/>
          <w:szCs w:val="24"/>
        </w:rPr>
        <w:t xml:space="preserve"> y variantes </w:t>
      </w:r>
      <w:r w:rsidR="000338F2">
        <w:rPr>
          <w:rFonts w:ascii="Times New Roman" w:hAnsi="Times New Roman"/>
          <w:sz w:val="24"/>
          <w:szCs w:val="24"/>
        </w:rPr>
        <w:t>de las siglas -7-8-</w:t>
      </w:r>
      <w:r w:rsidR="006B00E5" w:rsidRPr="0008486F">
        <w:rPr>
          <w:rFonts w:ascii="Times New Roman" w:hAnsi="Times New Roman"/>
          <w:sz w:val="24"/>
          <w:szCs w:val="24"/>
        </w:rPr>
        <w:t xml:space="preserve">, </w:t>
      </w:r>
      <w:r w:rsidR="002F4A7D" w:rsidRPr="0008486F">
        <w:rPr>
          <w:rFonts w:ascii="Times New Roman" w:hAnsi="Times New Roman"/>
          <w:sz w:val="24"/>
          <w:szCs w:val="24"/>
        </w:rPr>
        <w:t>comentad</w:t>
      </w:r>
      <w:r w:rsidR="000B2F85">
        <w:rPr>
          <w:rFonts w:ascii="Times New Roman" w:hAnsi="Times New Roman"/>
          <w:sz w:val="24"/>
          <w:szCs w:val="24"/>
        </w:rPr>
        <w:t>os con anterioridad. E</w:t>
      </w:r>
      <w:r w:rsidR="000338F2">
        <w:rPr>
          <w:rFonts w:ascii="Times New Roman" w:hAnsi="Times New Roman"/>
          <w:sz w:val="24"/>
          <w:szCs w:val="24"/>
        </w:rPr>
        <w:t>l</w:t>
      </w:r>
      <w:r w:rsidR="002F4A7D" w:rsidRPr="0008486F">
        <w:rPr>
          <w:rFonts w:ascii="Times New Roman" w:hAnsi="Times New Roman"/>
          <w:sz w:val="24"/>
          <w:szCs w:val="24"/>
        </w:rPr>
        <w:t xml:space="preserve"> caso </w:t>
      </w:r>
      <w:r w:rsidR="000338F2">
        <w:rPr>
          <w:rFonts w:ascii="Times New Roman" w:hAnsi="Times New Roman"/>
          <w:sz w:val="24"/>
          <w:szCs w:val="24"/>
        </w:rPr>
        <w:t xml:space="preserve">9 se registró en color </w:t>
      </w:r>
      <w:r w:rsidR="000338F2" w:rsidRPr="006437C3">
        <w:rPr>
          <w:rFonts w:ascii="Times New Roman" w:hAnsi="Times New Roman"/>
          <w:i/>
          <w:sz w:val="24"/>
          <w:szCs w:val="24"/>
        </w:rPr>
        <w:t>albus</w:t>
      </w:r>
      <w:r w:rsidR="000B2F85">
        <w:rPr>
          <w:rFonts w:ascii="Times New Roman" w:hAnsi="Times New Roman"/>
          <w:sz w:val="24"/>
          <w:szCs w:val="24"/>
        </w:rPr>
        <w:t xml:space="preserve">, todos los demás en </w:t>
      </w:r>
      <w:r w:rsidR="000B2F85" w:rsidRPr="000B2F85">
        <w:rPr>
          <w:rFonts w:ascii="Times New Roman" w:hAnsi="Times New Roman"/>
          <w:i/>
          <w:sz w:val="24"/>
          <w:szCs w:val="24"/>
        </w:rPr>
        <w:t>gilvus</w:t>
      </w:r>
      <w:r w:rsidR="000B2F85">
        <w:rPr>
          <w:rFonts w:ascii="Times New Roman" w:hAnsi="Times New Roman"/>
          <w:sz w:val="24"/>
          <w:szCs w:val="24"/>
        </w:rPr>
        <w:t>.</w:t>
      </w:r>
    </w:p>
    <w:p w:rsidR="008872D1" w:rsidRDefault="008872D1" w:rsidP="008872D1">
      <w:pPr>
        <w:spacing w:after="0" w:line="360" w:lineRule="auto"/>
        <w:ind w:firstLine="709"/>
        <w:jc w:val="both"/>
        <w:rPr>
          <w:rFonts w:ascii="Times New Roman" w:hAnsi="Times New Roman"/>
          <w:sz w:val="24"/>
          <w:szCs w:val="24"/>
        </w:rPr>
      </w:pPr>
      <w:r w:rsidRPr="006437C3">
        <w:rPr>
          <w:rFonts w:ascii="Times New Roman" w:hAnsi="Times New Roman"/>
          <w:sz w:val="24"/>
          <w:szCs w:val="24"/>
        </w:rPr>
        <w:t>CAR</w:t>
      </w:r>
      <w:r w:rsidRPr="0008486F">
        <w:rPr>
          <w:rFonts w:ascii="Times New Roman" w:hAnsi="Times New Roman"/>
          <w:sz w:val="24"/>
          <w:szCs w:val="24"/>
        </w:rPr>
        <w:t xml:space="preserve"> podría tratarse tanto de un </w:t>
      </w:r>
      <w:r w:rsidRPr="0008486F">
        <w:rPr>
          <w:rFonts w:ascii="Times New Roman" w:hAnsi="Times New Roman"/>
          <w:i/>
          <w:sz w:val="24"/>
          <w:szCs w:val="24"/>
        </w:rPr>
        <w:t>nomen</w:t>
      </w:r>
      <w:r w:rsidRPr="0008486F">
        <w:rPr>
          <w:rFonts w:ascii="Times New Roman" w:hAnsi="Times New Roman"/>
          <w:sz w:val="24"/>
          <w:szCs w:val="24"/>
        </w:rPr>
        <w:t xml:space="preserve"> como de un </w:t>
      </w:r>
      <w:r w:rsidRPr="0008486F">
        <w:rPr>
          <w:rFonts w:ascii="Times New Roman" w:hAnsi="Times New Roman"/>
          <w:i/>
          <w:sz w:val="24"/>
          <w:szCs w:val="24"/>
        </w:rPr>
        <w:t>productus</w:t>
      </w:r>
      <w:r w:rsidRPr="0008486F">
        <w:rPr>
          <w:rFonts w:ascii="Times New Roman" w:hAnsi="Times New Roman"/>
          <w:sz w:val="24"/>
          <w:szCs w:val="24"/>
        </w:rPr>
        <w:t xml:space="preserve"> abreviado, en ausencia de interpunciones. La abreviatura de un </w:t>
      </w:r>
      <w:r w:rsidRPr="0008486F">
        <w:rPr>
          <w:rFonts w:ascii="Times New Roman" w:hAnsi="Times New Roman"/>
          <w:i/>
          <w:sz w:val="24"/>
          <w:szCs w:val="24"/>
        </w:rPr>
        <w:t>productus</w:t>
      </w:r>
      <w:r w:rsidRPr="0008486F">
        <w:rPr>
          <w:rFonts w:ascii="Times New Roman" w:hAnsi="Times New Roman"/>
          <w:sz w:val="24"/>
          <w:szCs w:val="24"/>
        </w:rPr>
        <w:t xml:space="preserve"> no se </w:t>
      </w:r>
      <w:r>
        <w:rPr>
          <w:rFonts w:ascii="Times New Roman" w:hAnsi="Times New Roman"/>
          <w:sz w:val="24"/>
          <w:szCs w:val="24"/>
        </w:rPr>
        <w:t xml:space="preserve">ha podido identificar entre las correspondientes entradas del </w:t>
      </w:r>
      <w:r w:rsidRPr="006437C3">
        <w:rPr>
          <w:rFonts w:ascii="Times New Roman" w:hAnsi="Times New Roman"/>
          <w:i/>
          <w:sz w:val="24"/>
          <w:szCs w:val="24"/>
        </w:rPr>
        <w:t>Oxford Latin Dictionary</w:t>
      </w:r>
      <w:r>
        <w:rPr>
          <w:rFonts w:ascii="Times New Roman" w:hAnsi="Times New Roman"/>
          <w:sz w:val="24"/>
          <w:szCs w:val="24"/>
        </w:rPr>
        <w:t xml:space="preserve"> -1968-.</w:t>
      </w:r>
      <w:r w:rsidRPr="0008486F">
        <w:rPr>
          <w:rFonts w:ascii="Times New Roman" w:hAnsi="Times New Roman"/>
          <w:sz w:val="24"/>
          <w:szCs w:val="24"/>
        </w:rPr>
        <w:t xml:space="preserve"> </w:t>
      </w:r>
      <w:r>
        <w:rPr>
          <w:rFonts w:ascii="Times New Roman" w:hAnsi="Times New Roman"/>
          <w:sz w:val="24"/>
          <w:szCs w:val="24"/>
        </w:rPr>
        <w:t>La abreviatura t</w:t>
      </w:r>
      <w:r w:rsidRPr="0008486F">
        <w:rPr>
          <w:rFonts w:ascii="Times New Roman" w:hAnsi="Times New Roman"/>
          <w:sz w:val="24"/>
          <w:szCs w:val="24"/>
        </w:rPr>
        <w:t xml:space="preserve">ambién puede responder a una característica o denominación específica del producto, como se ha ejemplificado anteriormente. Se ha optado por codificar </w:t>
      </w:r>
      <w:r>
        <w:rPr>
          <w:rFonts w:ascii="Times New Roman" w:hAnsi="Times New Roman"/>
          <w:sz w:val="24"/>
          <w:szCs w:val="24"/>
        </w:rPr>
        <w:t xml:space="preserve">este </w:t>
      </w:r>
      <w:r w:rsidRPr="006437C3">
        <w:rPr>
          <w:rFonts w:ascii="Times New Roman" w:hAnsi="Times New Roman"/>
          <w:i/>
          <w:sz w:val="24"/>
          <w:szCs w:val="24"/>
        </w:rPr>
        <w:t>titulus</w:t>
      </w:r>
      <w:r w:rsidRPr="0008486F">
        <w:rPr>
          <w:rFonts w:ascii="Times New Roman" w:hAnsi="Times New Roman"/>
          <w:sz w:val="24"/>
          <w:szCs w:val="24"/>
        </w:rPr>
        <w:t xml:space="preserve"> como </w:t>
      </w:r>
      <w:r w:rsidRPr="0008486F">
        <w:rPr>
          <w:rFonts w:ascii="Times New Roman" w:hAnsi="Times New Roman"/>
          <w:i/>
          <w:sz w:val="24"/>
          <w:szCs w:val="24"/>
        </w:rPr>
        <w:t>nomen incertus</w:t>
      </w:r>
      <w:r>
        <w:rPr>
          <w:rFonts w:ascii="Times New Roman" w:hAnsi="Times New Roman"/>
          <w:sz w:val="24"/>
          <w:szCs w:val="24"/>
        </w:rPr>
        <w:t xml:space="preserve"> -N?-</w:t>
      </w:r>
      <w:r w:rsidRPr="0008486F">
        <w:rPr>
          <w:rFonts w:ascii="Times New Roman" w:hAnsi="Times New Roman"/>
          <w:sz w:val="24"/>
          <w:szCs w:val="24"/>
        </w:rPr>
        <w:t xml:space="preserve">, por asimilación al caso de </w:t>
      </w:r>
      <w:r>
        <w:rPr>
          <w:rFonts w:ascii="Times New Roman" w:hAnsi="Times New Roman"/>
          <w:sz w:val="24"/>
          <w:szCs w:val="24"/>
        </w:rPr>
        <w:t>TICO</w:t>
      </w:r>
      <w:r w:rsidRPr="0008486F">
        <w:rPr>
          <w:rFonts w:ascii="Times New Roman" w:hAnsi="Times New Roman"/>
          <w:sz w:val="24"/>
          <w:szCs w:val="24"/>
        </w:rPr>
        <w:t xml:space="preserve">. </w:t>
      </w:r>
      <w:r>
        <w:rPr>
          <w:rFonts w:ascii="Times New Roman" w:hAnsi="Times New Roman"/>
          <w:sz w:val="24"/>
          <w:szCs w:val="24"/>
        </w:rPr>
        <w:t>Por su parte, TICO</w:t>
      </w:r>
      <w:r w:rsidRPr="0008486F">
        <w:rPr>
          <w:rFonts w:ascii="Times New Roman" w:hAnsi="Times New Roman"/>
          <w:sz w:val="24"/>
          <w:szCs w:val="24"/>
        </w:rPr>
        <w:t xml:space="preserve"> se ha codificado como </w:t>
      </w:r>
      <w:r w:rsidRPr="0008486F">
        <w:rPr>
          <w:rFonts w:ascii="Times New Roman" w:hAnsi="Times New Roman"/>
          <w:i/>
          <w:sz w:val="24"/>
          <w:szCs w:val="24"/>
        </w:rPr>
        <w:t>nomen</w:t>
      </w:r>
      <w:r w:rsidRPr="0008486F">
        <w:rPr>
          <w:rFonts w:ascii="Times New Roman" w:hAnsi="Times New Roman"/>
          <w:sz w:val="24"/>
          <w:szCs w:val="24"/>
        </w:rPr>
        <w:t xml:space="preserve"> </w:t>
      </w:r>
      <w:r>
        <w:rPr>
          <w:rFonts w:ascii="Times New Roman" w:hAnsi="Times New Roman"/>
          <w:sz w:val="24"/>
          <w:szCs w:val="24"/>
        </w:rPr>
        <w:t xml:space="preserve">-N- </w:t>
      </w:r>
      <w:r w:rsidRPr="0008486F">
        <w:rPr>
          <w:rFonts w:ascii="Times New Roman" w:hAnsi="Times New Roman"/>
          <w:sz w:val="24"/>
          <w:szCs w:val="24"/>
        </w:rPr>
        <w:t xml:space="preserve">a partir del cotejo de sus variantes y posibles lecturas. </w:t>
      </w:r>
    </w:p>
    <w:p w:rsidR="00F677AF" w:rsidRPr="0055717A" w:rsidRDefault="006437C3" w:rsidP="006437C3">
      <w:pPr>
        <w:spacing w:after="0" w:line="360" w:lineRule="auto"/>
        <w:ind w:firstLine="709"/>
        <w:jc w:val="both"/>
        <w:rPr>
          <w:rFonts w:ascii="Times New Roman" w:hAnsi="Times New Roman"/>
          <w:i/>
          <w:sz w:val="24"/>
          <w:szCs w:val="24"/>
        </w:rPr>
      </w:pPr>
      <w:r w:rsidRPr="0055717A">
        <w:rPr>
          <w:rFonts w:ascii="Times New Roman" w:hAnsi="Times New Roman"/>
          <w:i/>
          <w:sz w:val="24"/>
          <w:szCs w:val="24"/>
        </w:rPr>
        <w:t>4.2. Grupo 2</w:t>
      </w:r>
    </w:p>
    <w:p w:rsidR="00A62403" w:rsidRDefault="003641BE" w:rsidP="00F34854">
      <w:pPr>
        <w:spacing w:after="0" w:line="360" w:lineRule="auto"/>
        <w:ind w:firstLine="709"/>
        <w:jc w:val="both"/>
        <w:rPr>
          <w:rFonts w:ascii="Times New Roman" w:hAnsi="Times New Roman"/>
          <w:sz w:val="24"/>
          <w:szCs w:val="24"/>
        </w:rPr>
      </w:pPr>
      <w:r>
        <w:rPr>
          <w:rFonts w:ascii="Times New Roman" w:hAnsi="Times New Roman"/>
          <w:sz w:val="24"/>
          <w:szCs w:val="24"/>
        </w:rPr>
        <w:t>En el</w:t>
      </w:r>
      <w:r w:rsidR="00561D05" w:rsidRPr="0008486F">
        <w:rPr>
          <w:rFonts w:ascii="Times New Roman" w:hAnsi="Times New Roman"/>
          <w:sz w:val="24"/>
          <w:szCs w:val="24"/>
        </w:rPr>
        <w:t xml:space="preserve"> grupo estructural </w:t>
      </w:r>
      <w:r>
        <w:rPr>
          <w:rFonts w:ascii="Times New Roman" w:hAnsi="Times New Roman"/>
          <w:sz w:val="24"/>
          <w:szCs w:val="24"/>
        </w:rPr>
        <w:t xml:space="preserve">2 </w:t>
      </w:r>
      <w:r w:rsidR="00561D05" w:rsidRPr="0008486F">
        <w:rPr>
          <w:rFonts w:ascii="Times New Roman" w:hAnsi="Times New Roman"/>
          <w:sz w:val="24"/>
          <w:szCs w:val="24"/>
        </w:rPr>
        <w:t xml:space="preserve">CAR aparece </w:t>
      </w:r>
      <w:r>
        <w:rPr>
          <w:rFonts w:ascii="Times New Roman" w:hAnsi="Times New Roman"/>
          <w:sz w:val="24"/>
          <w:szCs w:val="24"/>
        </w:rPr>
        <w:t>con</w:t>
      </w:r>
      <w:r w:rsidR="00561D05" w:rsidRPr="0008486F">
        <w:rPr>
          <w:rFonts w:ascii="Times New Roman" w:hAnsi="Times New Roman"/>
          <w:sz w:val="24"/>
          <w:szCs w:val="24"/>
        </w:rPr>
        <w:t xml:space="preserve"> </w:t>
      </w:r>
      <w:r w:rsidR="00561D05" w:rsidRPr="005426CF">
        <w:rPr>
          <w:rFonts w:ascii="Times New Roman" w:hAnsi="Times New Roman"/>
          <w:i/>
          <w:sz w:val="24"/>
          <w:szCs w:val="24"/>
        </w:rPr>
        <w:t>L. A. A.</w:t>
      </w:r>
      <w:r w:rsidR="0098773B" w:rsidRPr="0008486F">
        <w:rPr>
          <w:rStyle w:val="FootnoteReference"/>
          <w:rFonts w:ascii="Times New Roman" w:hAnsi="Times New Roman"/>
          <w:sz w:val="24"/>
          <w:szCs w:val="24"/>
        </w:rPr>
        <w:footnoteReference w:id="45"/>
      </w:r>
      <w:r w:rsidR="00561D05" w:rsidRPr="0008486F">
        <w:rPr>
          <w:rFonts w:ascii="Times New Roman" w:hAnsi="Times New Roman"/>
          <w:sz w:val="24"/>
          <w:szCs w:val="24"/>
        </w:rPr>
        <w:t xml:space="preserve">, </w:t>
      </w:r>
      <w:r w:rsidR="00561D05" w:rsidRPr="0008486F">
        <w:rPr>
          <w:rFonts w:ascii="Times New Roman" w:hAnsi="Times New Roman"/>
          <w:i/>
          <w:sz w:val="24"/>
          <w:szCs w:val="24"/>
        </w:rPr>
        <w:t>tria nomina</w:t>
      </w:r>
      <w:r w:rsidR="00561D05" w:rsidRPr="0008486F">
        <w:rPr>
          <w:rFonts w:ascii="Times New Roman" w:hAnsi="Times New Roman"/>
          <w:sz w:val="24"/>
          <w:szCs w:val="24"/>
        </w:rPr>
        <w:t xml:space="preserve"> </w:t>
      </w:r>
      <w:r w:rsidR="00361BA7" w:rsidRPr="0008486F">
        <w:rPr>
          <w:rFonts w:ascii="Times New Roman" w:hAnsi="Times New Roman"/>
          <w:sz w:val="24"/>
          <w:szCs w:val="24"/>
        </w:rPr>
        <w:t>evidenciado por interpunciones</w:t>
      </w:r>
      <w:r w:rsidR="00A402D7">
        <w:rPr>
          <w:rFonts w:ascii="Times New Roman" w:hAnsi="Times New Roman"/>
          <w:sz w:val="24"/>
          <w:szCs w:val="24"/>
        </w:rPr>
        <w:t xml:space="preserve"> -10-</w:t>
      </w:r>
      <w:r w:rsidR="00361BA7" w:rsidRPr="0008486F">
        <w:rPr>
          <w:rFonts w:ascii="Times New Roman" w:hAnsi="Times New Roman"/>
          <w:sz w:val="24"/>
          <w:szCs w:val="24"/>
        </w:rPr>
        <w:t xml:space="preserve">. Ambos </w:t>
      </w:r>
      <w:r w:rsidR="00361BA7" w:rsidRPr="0008486F">
        <w:rPr>
          <w:rFonts w:ascii="Times New Roman" w:hAnsi="Times New Roman"/>
          <w:i/>
          <w:sz w:val="24"/>
          <w:szCs w:val="24"/>
        </w:rPr>
        <w:t>concepta</w:t>
      </w:r>
      <w:r w:rsidR="00361BA7" w:rsidRPr="0008486F">
        <w:rPr>
          <w:rFonts w:ascii="Times New Roman" w:hAnsi="Times New Roman"/>
          <w:sz w:val="24"/>
          <w:szCs w:val="24"/>
        </w:rPr>
        <w:t xml:space="preserve"> están escritos en </w:t>
      </w:r>
      <w:r w:rsidR="00361BA7" w:rsidRPr="0008486F">
        <w:rPr>
          <w:rFonts w:ascii="Times New Roman" w:hAnsi="Times New Roman"/>
          <w:i/>
          <w:sz w:val="24"/>
          <w:szCs w:val="24"/>
        </w:rPr>
        <w:t>nigrum</w:t>
      </w:r>
      <w:r w:rsidR="00361BA7" w:rsidRPr="0008486F">
        <w:rPr>
          <w:rFonts w:ascii="Times New Roman" w:hAnsi="Times New Roman"/>
          <w:sz w:val="24"/>
          <w:szCs w:val="24"/>
        </w:rPr>
        <w:t xml:space="preserve"> sobre una PO11.</w:t>
      </w:r>
      <w:r w:rsidR="00E452E3" w:rsidRPr="0008486F">
        <w:rPr>
          <w:rFonts w:ascii="Times New Roman" w:hAnsi="Times New Roman"/>
          <w:sz w:val="24"/>
          <w:szCs w:val="24"/>
        </w:rPr>
        <w:t xml:space="preserve"> </w:t>
      </w:r>
      <w:r w:rsidR="006E1239" w:rsidRPr="0008486F">
        <w:rPr>
          <w:rFonts w:ascii="Times New Roman" w:hAnsi="Times New Roman"/>
          <w:sz w:val="24"/>
          <w:szCs w:val="24"/>
        </w:rPr>
        <w:t xml:space="preserve">En el segundo caso de este grupo </w:t>
      </w:r>
      <w:r w:rsidR="00A402D7">
        <w:rPr>
          <w:rFonts w:ascii="Times New Roman" w:hAnsi="Times New Roman"/>
          <w:sz w:val="24"/>
          <w:szCs w:val="24"/>
        </w:rPr>
        <w:t>-11-</w:t>
      </w:r>
      <w:r w:rsidR="006E1239" w:rsidRPr="0008486F">
        <w:rPr>
          <w:rFonts w:ascii="Times New Roman" w:hAnsi="Times New Roman"/>
          <w:sz w:val="24"/>
          <w:szCs w:val="24"/>
        </w:rPr>
        <w:t xml:space="preserve">, una dudosa variante de </w:t>
      </w:r>
      <w:r w:rsidR="00A402D7">
        <w:rPr>
          <w:rFonts w:ascii="Times New Roman" w:hAnsi="Times New Roman"/>
          <w:sz w:val="24"/>
          <w:szCs w:val="24"/>
        </w:rPr>
        <w:t>TICO</w:t>
      </w:r>
      <w:r w:rsidR="006E1239" w:rsidRPr="0008486F">
        <w:rPr>
          <w:rFonts w:ascii="Times New Roman" w:hAnsi="Times New Roman"/>
          <w:sz w:val="24"/>
          <w:szCs w:val="24"/>
        </w:rPr>
        <w:t xml:space="preserve"> se acompaña de tres caracteres de </w:t>
      </w:r>
      <w:r w:rsidR="00413D84" w:rsidRPr="0008486F">
        <w:rPr>
          <w:rFonts w:ascii="Times New Roman" w:hAnsi="Times New Roman"/>
          <w:sz w:val="24"/>
          <w:szCs w:val="24"/>
        </w:rPr>
        <w:t>difícil lectura, transcritos a partir de Brizio</w:t>
      </w:r>
      <w:r w:rsidR="00413D84" w:rsidRPr="0008486F">
        <w:rPr>
          <w:rStyle w:val="FootnoteReference"/>
          <w:rFonts w:ascii="Times New Roman" w:hAnsi="Times New Roman"/>
          <w:sz w:val="24"/>
          <w:szCs w:val="24"/>
        </w:rPr>
        <w:footnoteReference w:id="46"/>
      </w:r>
      <w:r w:rsidR="00413D84" w:rsidRPr="0008486F">
        <w:rPr>
          <w:rFonts w:ascii="Times New Roman" w:hAnsi="Times New Roman"/>
          <w:sz w:val="24"/>
          <w:szCs w:val="24"/>
        </w:rPr>
        <w:t>. No corresponde a ninguna sigla o abreviatura en la base de datos utilizada para este trabajo</w:t>
      </w:r>
      <w:r w:rsidR="00413D84" w:rsidRPr="0008486F">
        <w:rPr>
          <w:rStyle w:val="FootnoteReference"/>
          <w:rFonts w:ascii="Times New Roman" w:hAnsi="Times New Roman"/>
          <w:sz w:val="24"/>
          <w:szCs w:val="24"/>
        </w:rPr>
        <w:footnoteReference w:id="47"/>
      </w:r>
      <w:r w:rsidR="00413D84" w:rsidRPr="0008486F">
        <w:rPr>
          <w:rFonts w:ascii="Times New Roman" w:hAnsi="Times New Roman"/>
          <w:sz w:val="24"/>
          <w:szCs w:val="24"/>
        </w:rPr>
        <w:t>.</w:t>
      </w:r>
      <w:r w:rsidR="0083597B" w:rsidRPr="0008486F">
        <w:rPr>
          <w:rFonts w:ascii="Times New Roman" w:hAnsi="Times New Roman"/>
          <w:sz w:val="24"/>
          <w:szCs w:val="24"/>
        </w:rPr>
        <w:t xml:space="preserve"> Se ha codificado como </w:t>
      </w:r>
      <w:r w:rsidR="0083597B" w:rsidRPr="0008486F">
        <w:rPr>
          <w:rFonts w:ascii="Times New Roman" w:hAnsi="Times New Roman"/>
          <w:i/>
          <w:sz w:val="24"/>
          <w:szCs w:val="24"/>
        </w:rPr>
        <w:t>incertum Latinum</w:t>
      </w:r>
      <w:r w:rsidR="008872D1">
        <w:rPr>
          <w:rFonts w:ascii="Times New Roman" w:hAnsi="Times New Roman"/>
          <w:sz w:val="24"/>
          <w:szCs w:val="24"/>
        </w:rPr>
        <w:t xml:space="preserve"> -I- por su contexto epigráfico,</w:t>
      </w:r>
      <w:r w:rsidR="0000017E" w:rsidRPr="0008486F">
        <w:rPr>
          <w:rFonts w:ascii="Times New Roman" w:hAnsi="Times New Roman"/>
          <w:sz w:val="24"/>
          <w:szCs w:val="24"/>
        </w:rPr>
        <w:t xml:space="preserve"> aunque con ciertas reservas sobre el tipo de </w:t>
      </w:r>
      <w:r w:rsidR="0000017E" w:rsidRPr="0008486F">
        <w:rPr>
          <w:rFonts w:ascii="Times New Roman" w:hAnsi="Times New Roman"/>
          <w:i/>
          <w:sz w:val="24"/>
          <w:szCs w:val="24"/>
        </w:rPr>
        <w:t>Litterae</w:t>
      </w:r>
      <w:r w:rsidR="0000017E" w:rsidRPr="0008486F">
        <w:rPr>
          <w:rFonts w:ascii="Times New Roman" w:hAnsi="Times New Roman"/>
          <w:sz w:val="24"/>
          <w:szCs w:val="24"/>
        </w:rPr>
        <w:t xml:space="preserve"> al que debe asociarse.</w:t>
      </w:r>
      <w:r w:rsidR="008872D1">
        <w:rPr>
          <w:rFonts w:ascii="Times New Roman" w:hAnsi="Times New Roman"/>
          <w:sz w:val="24"/>
          <w:szCs w:val="24"/>
        </w:rPr>
        <w:t xml:space="preserve"> Las codificaciones resultantes son N?/N y N/I respectivamente.</w:t>
      </w:r>
    </w:p>
    <w:p w:rsidR="003641BE" w:rsidRPr="0055717A" w:rsidRDefault="003641BE" w:rsidP="00F34854">
      <w:pPr>
        <w:spacing w:after="0" w:line="360" w:lineRule="auto"/>
        <w:ind w:firstLine="709"/>
        <w:jc w:val="both"/>
        <w:rPr>
          <w:rFonts w:ascii="Times New Roman" w:hAnsi="Times New Roman"/>
          <w:i/>
          <w:sz w:val="24"/>
          <w:szCs w:val="24"/>
        </w:rPr>
      </w:pPr>
      <w:r w:rsidRPr="0055717A">
        <w:rPr>
          <w:rFonts w:ascii="Times New Roman" w:hAnsi="Times New Roman"/>
          <w:i/>
          <w:sz w:val="24"/>
          <w:szCs w:val="24"/>
        </w:rPr>
        <w:t>4.3. Grupo 3</w:t>
      </w:r>
    </w:p>
    <w:p w:rsidR="00E52D98" w:rsidRDefault="0000017E" w:rsidP="00F34854">
      <w:pPr>
        <w:spacing w:after="0" w:line="360" w:lineRule="auto"/>
        <w:ind w:firstLine="709"/>
        <w:jc w:val="both"/>
        <w:rPr>
          <w:rFonts w:ascii="Times New Roman" w:hAnsi="Times New Roman"/>
          <w:sz w:val="24"/>
          <w:szCs w:val="24"/>
        </w:rPr>
      </w:pPr>
      <w:r w:rsidRPr="0008486F">
        <w:rPr>
          <w:rFonts w:ascii="Times New Roman" w:hAnsi="Times New Roman"/>
          <w:sz w:val="24"/>
          <w:szCs w:val="24"/>
        </w:rPr>
        <w:t xml:space="preserve">El grupo </w:t>
      </w:r>
      <w:r w:rsidR="00E52D98">
        <w:rPr>
          <w:rFonts w:ascii="Times New Roman" w:hAnsi="Times New Roman"/>
          <w:sz w:val="24"/>
          <w:szCs w:val="24"/>
        </w:rPr>
        <w:t>3 está constituido por la</w:t>
      </w:r>
      <w:r w:rsidRPr="0008486F">
        <w:rPr>
          <w:rFonts w:ascii="Times New Roman" w:hAnsi="Times New Roman"/>
          <w:sz w:val="24"/>
          <w:szCs w:val="24"/>
        </w:rPr>
        <w:t xml:space="preserve"> inscripción</w:t>
      </w:r>
      <w:r w:rsidR="0043542D" w:rsidRPr="0008486F">
        <w:rPr>
          <w:rFonts w:ascii="Times New Roman" w:hAnsi="Times New Roman"/>
          <w:sz w:val="24"/>
          <w:szCs w:val="24"/>
        </w:rPr>
        <w:t xml:space="preserve"> </w:t>
      </w:r>
      <w:r w:rsidR="00E52D98">
        <w:rPr>
          <w:rFonts w:ascii="Times New Roman" w:hAnsi="Times New Roman"/>
          <w:sz w:val="24"/>
          <w:szCs w:val="24"/>
        </w:rPr>
        <w:t>12</w:t>
      </w:r>
      <w:r w:rsidRPr="0008486F">
        <w:rPr>
          <w:rFonts w:ascii="Times New Roman" w:hAnsi="Times New Roman"/>
          <w:sz w:val="24"/>
          <w:szCs w:val="24"/>
        </w:rPr>
        <w:t xml:space="preserve">. </w:t>
      </w:r>
      <w:r w:rsidR="00E5179E" w:rsidRPr="0008486F">
        <w:rPr>
          <w:rFonts w:ascii="Times New Roman" w:hAnsi="Times New Roman"/>
          <w:sz w:val="24"/>
          <w:szCs w:val="24"/>
        </w:rPr>
        <w:t xml:space="preserve">Carece de </w:t>
      </w:r>
      <w:r w:rsidR="00E52D98">
        <w:rPr>
          <w:rFonts w:ascii="Times New Roman" w:hAnsi="Times New Roman"/>
          <w:sz w:val="24"/>
          <w:szCs w:val="24"/>
        </w:rPr>
        <w:t xml:space="preserve">posibles </w:t>
      </w:r>
      <w:r w:rsidR="00E5179E" w:rsidRPr="0008486F">
        <w:rPr>
          <w:rFonts w:ascii="Times New Roman" w:hAnsi="Times New Roman"/>
          <w:sz w:val="24"/>
          <w:szCs w:val="24"/>
        </w:rPr>
        <w:t>cifras, como las anteriores, pero contiene nombres griegos, como sucede en los siguientes grupos estructurales.</w:t>
      </w:r>
      <w:r w:rsidR="0043542D" w:rsidRPr="0008486F">
        <w:rPr>
          <w:rFonts w:ascii="Times New Roman" w:hAnsi="Times New Roman"/>
          <w:sz w:val="24"/>
          <w:szCs w:val="24"/>
        </w:rPr>
        <w:t xml:space="preserve"> Pertenece a un conjunt</w:t>
      </w:r>
      <w:r w:rsidR="00592702" w:rsidRPr="0008486F">
        <w:rPr>
          <w:rFonts w:ascii="Times New Roman" w:hAnsi="Times New Roman"/>
          <w:sz w:val="24"/>
          <w:szCs w:val="24"/>
        </w:rPr>
        <w:t>o de 18</w:t>
      </w:r>
      <w:r w:rsidR="006439EC" w:rsidRPr="0008486F">
        <w:rPr>
          <w:rFonts w:ascii="Times New Roman" w:hAnsi="Times New Roman"/>
          <w:sz w:val="24"/>
          <w:szCs w:val="24"/>
        </w:rPr>
        <w:t xml:space="preserve"> ánforas</w:t>
      </w:r>
      <w:r w:rsidR="0043542D" w:rsidRPr="0008486F">
        <w:rPr>
          <w:rStyle w:val="FootnoteReference"/>
          <w:rFonts w:ascii="Times New Roman" w:hAnsi="Times New Roman"/>
          <w:sz w:val="24"/>
          <w:szCs w:val="24"/>
        </w:rPr>
        <w:footnoteReference w:id="48"/>
      </w:r>
      <w:r w:rsidR="006439EC" w:rsidRPr="0008486F">
        <w:rPr>
          <w:rFonts w:ascii="Times New Roman" w:hAnsi="Times New Roman"/>
          <w:sz w:val="24"/>
          <w:szCs w:val="24"/>
        </w:rPr>
        <w:t xml:space="preserve"> </w:t>
      </w:r>
      <w:r w:rsidR="0039513A" w:rsidRPr="0008486F">
        <w:rPr>
          <w:rFonts w:ascii="Times New Roman" w:hAnsi="Times New Roman"/>
          <w:sz w:val="24"/>
          <w:szCs w:val="24"/>
        </w:rPr>
        <w:t xml:space="preserve">halladas en distintos lugares de </w:t>
      </w:r>
      <w:r w:rsidR="0039513A" w:rsidRPr="0008486F">
        <w:rPr>
          <w:rFonts w:ascii="Times New Roman" w:hAnsi="Times New Roman"/>
          <w:i/>
          <w:sz w:val="24"/>
          <w:szCs w:val="24"/>
        </w:rPr>
        <w:t>Pompeii</w:t>
      </w:r>
      <w:r w:rsidR="0039513A" w:rsidRPr="0008486F">
        <w:rPr>
          <w:rFonts w:ascii="Times New Roman" w:hAnsi="Times New Roman"/>
          <w:sz w:val="24"/>
          <w:szCs w:val="24"/>
        </w:rPr>
        <w:t xml:space="preserve">, </w:t>
      </w:r>
      <w:r w:rsidR="006439EC" w:rsidRPr="0008486F">
        <w:rPr>
          <w:rFonts w:ascii="Times New Roman" w:hAnsi="Times New Roman"/>
          <w:sz w:val="24"/>
          <w:szCs w:val="24"/>
        </w:rPr>
        <w:t>con los nombres griegos Σεραπίς y Δ</w:t>
      </w:r>
      <w:r w:rsidR="00E52D98">
        <w:rPr>
          <w:rFonts w:ascii="Times New Roman" w:hAnsi="Times New Roman"/>
          <w:sz w:val="24"/>
          <w:szCs w:val="24"/>
        </w:rPr>
        <w:t>ώ</w:t>
      </w:r>
      <w:r w:rsidR="006439EC" w:rsidRPr="0008486F">
        <w:rPr>
          <w:rFonts w:ascii="Times New Roman" w:hAnsi="Times New Roman"/>
          <w:sz w:val="24"/>
          <w:szCs w:val="24"/>
        </w:rPr>
        <w:t>ρα</w:t>
      </w:r>
      <w:r w:rsidR="00E35881" w:rsidRPr="0008486F">
        <w:rPr>
          <w:rStyle w:val="FootnoteReference"/>
          <w:rFonts w:ascii="Times New Roman" w:hAnsi="Times New Roman"/>
          <w:sz w:val="24"/>
          <w:szCs w:val="24"/>
        </w:rPr>
        <w:footnoteReference w:id="49"/>
      </w:r>
      <w:r w:rsidR="006439EC" w:rsidRPr="0008486F">
        <w:rPr>
          <w:rFonts w:ascii="Times New Roman" w:hAnsi="Times New Roman"/>
          <w:sz w:val="24"/>
          <w:szCs w:val="24"/>
        </w:rPr>
        <w:t>.</w:t>
      </w:r>
      <w:r w:rsidR="00364263" w:rsidRPr="0008486F">
        <w:rPr>
          <w:rFonts w:ascii="Times New Roman" w:hAnsi="Times New Roman"/>
          <w:sz w:val="24"/>
          <w:szCs w:val="24"/>
        </w:rPr>
        <w:t xml:space="preserve"> </w:t>
      </w:r>
    </w:p>
    <w:p w:rsidR="00C31DF4" w:rsidRDefault="00364263" w:rsidP="00ED6FFA">
      <w:pPr>
        <w:spacing w:after="0" w:line="360" w:lineRule="auto"/>
        <w:ind w:firstLine="709"/>
        <w:jc w:val="both"/>
        <w:rPr>
          <w:rFonts w:ascii="Times New Roman" w:hAnsi="Times New Roman"/>
          <w:sz w:val="24"/>
          <w:szCs w:val="24"/>
        </w:rPr>
      </w:pPr>
      <w:r w:rsidRPr="0008486F">
        <w:rPr>
          <w:rFonts w:ascii="Times New Roman" w:hAnsi="Times New Roman"/>
          <w:sz w:val="24"/>
          <w:szCs w:val="24"/>
        </w:rPr>
        <w:t xml:space="preserve">Las referencias más específicas a la tinta indican el empleo del </w:t>
      </w:r>
      <w:r w:rsidRPr="0008486F">
        <w:rPr>
          <w:rFonts w:ascii="Times New Roman" w:hAnsi="Times New Roman"/>
          <w:i/>
          <w:sz w:val="24"/>
          <w:szCs w:val="24"/>
        </w:rPr>
        <w:t>atramentum</w:t>
      </w:r>
      <w:r w:rsidRPr="0008486F">
        <w:rPr>
          <w:rFonts w:ascii="Times New Roman" w:hAnsi="Times New Roman"/>
          <w:sz w:val="24"/>
          <w:szCs w:val="24"/>
        </w:rPr>
        <w:t xml:space="preserve">, tanto en estos nombres como en alguno de los </w:t>
      </w:r>
      <w:r w:rsidRPr="0008486F">
        <w:rPr>
          <w:rFonts w:ascii="Times New Roman" w:hAnsi="Times New Roman"/>
          <w:i/>
          <w:sz w:val="24"/>
          <w:szCs w:val="24"/>
        </w:rPr>
        <w:t>tituli</w:t>
      </w:r>
      <w:r w:rsidRPr="0008486F">
        <w:rPr>
          <w:rFonts w:ascii="Times New Roman" w:hAnsi="Times New Roman"/>
          <w:sz w:val="24"/>
          <w:szCs w:val="24"/>
        </w:rPr>
        <w:t xml:space="preserve"> </w:t>
      </w:r>
      <w:r w:rsidR="0080029E" w:rsidRPr="0008486F">
        <w:rPr>
          <w:rFonts w:ascii="Times New Roman" w:hAnsi="Times New Roman"/>
          <w:sz w:val="24"/>
          <w:szCs w:val="24"/>
        </w:rPr>
        <w:t xml:space="preserve">griegos </w:t>
      </w:r>
      <w:r w:rsidRPr="0008486F">
        <w:rPr>
          <w:rFonts w:ascii="Times New Roman" w:hAnsi="Times New Roman"/>
          <w:sz w:val="24"/>
          <w:szCs w:val="24"/>
        </w:rPr>
        <w:t>asociados</w:t>
      </w:r>
      <w:r w:rsidR="0043542D" w:rsidRPr="0008486F">
        <w:rPr>
          <w:rFonts w:ascii="Times New Roman" w:hAnsi="Times New Roman"/>
          <w:sz w:val="24"/>
          <w:szCs w:val="24"/>
        </w:rPr>
        <w:t>,</w:t>
      </w:r>
      <w:r w:rsidRPr="0008486F">
        <w:rPr>
          <w:rFonts w:ascii="Times New Roman" w:hAnsi="Times New Roman"/>
          <w:sz w:val="24"/>
          <w:szCs w:val="24"/>
        </w:rPr>
        <w:t xml:space="preserve"> sin lectura determinada</w:t>
      </w:r>
      <w:r w:rsidR="0080029E" w:rsidRPr="0008486F">
        <w:rPr>
          <w:rStyle w:val="FootnoteReference"/>
          <w:rFonts w:ascii="Times New Roman" w:hAnsi="Times New Roman"/>
          <w:sz w:val="24"/>
          <w:szCs w:val="24"/>
        </w:rPr>
        <w:footnoteReference w:id="50"/>
      </w:r>
      <w:r w:rsidRPr="0008486F">
        <w:rPr>
          <w:rFonts w:ascii="Times New Roman" w:hAnsi="Times New Roman"/>
          <w:sz w:val="24"/>
          <w:szCs w:val="24"/>
        </w:rPr>
        <w:t>.</w:t>
      </w:r>
      <w:r w:rsidR="0080029E" w:rsidRPr="0008486F">
        <w:rPr>
          <w:rFonts w:ascii="Times New Roman" w:hAnsi="Times New Roman"/>
          <w:sz w:val="24"/>
          <w:szCs w:val="24"/>
        </w:rPr>
        <w:t xml:space="preserve"> Entre estos últimos </w:t>
      </w:r>
      <w:r w:rsidR="0080029E" w:rsidRPr="0008486F">
        <w:rPr>
          <w:rFonts w:ascii="Times New Roman" w:hAnsi="Times New Roman"/>
          <w:i/>
          <w:sz w:val="24"/>
          <w:szCs w:val="24"/>
        </w:rPr>
        <w:t>tituli</w:t>
      </w:r>
      <w:r w:rsidR="0080029E" w:rsidRPr="0008486F">
        <w:rPr>
          <w:rFonts w:ascii="Times New Roman" w:hAnsi="Times New Roman"/>
          <w:sz w:val="24"/>
          <w:szCs w:val="24"/>
        </w:rPr>
        <w:t xml:space="preserve"> se encontraría el caso de </w:t>
      </w:r>
      <w:r w:rsidR="00E52D98" w:rsidRPr="00E52D98">
        <w:rPr>
          <w:rFonts w:ascii="Times New Roman" w:hAnsi="Times New Roman"/>
          <w:sz w:val="24"/>
          <w:szCs w:val="24"/>
        </w:rPr>
        <w:t>ΛΙΧΜΟΥ</w:t>
      </w:r>
      <w:r w:rsidR="0043542D" w:rsidRPr="0008486F">
        <w:rPr>
          <w:rFonts w:ascii="Times New Roman" w:hAnsi="Times New Roman"/>
          <w:sz w:val="24"/>
          <w:szCs w:val="24"/>
        </w:rPr>
        <w:t>, a</w:t>
      </w:r>
      <w:r w:rsidR="0080029E" w:rsidRPr="0008486F">
        <w:rPr>
          <w:rFonts w:ascii="Times New Roman" w:hAnsi="Times New Roman"/>
          <w:sz w:val="24"/>
          <w:szCs w:val="24"/>
        </w:rPr>
        <w:t xml:space="preserve">unque la terminación podría hacer referencia a un nombre en genitivo, como </w:t>
      </w:r>
      <w:r w:rsidR="0080029E" w:rsidRPr="005426CF">
        <w:rPr>
          <w:rFonts w:ascii="Times New Roman" w:hAnsi="Times New Roman"/>
          <w:sz w:val="24"/>
          <w:szCs w:val="24"/>
        </w:rPr>
        <w:t>Ζ</w:t>
      </w:r>
      <w:r w:rsidR="00743C4B">
        <w:rPr>
          <w:rFonts w:ascii="Times New Roman" w:hAnsi="Times New Roman"/>
          <w:sz w:val="24"/>
          <w:szCs w:val="24"/>
        </w:rPr>
        <w:t>ΩΣΙΜΟΥ</w:t>
      </w:r>
      <w:r w:rsidR="0080029E" w:rsidRPr="0008486F">
        <w:rPr>
          <w:rStyle w:val="FootnoteReference"/>
          <w:rFonts w:ascii="Times New Roman" w:hAnsi="Times New Roman"/>
          <w:sz w:val="24"/>
          <w:szCs w:val="24"/>
        </w:rPr>
        <w:footnoteReference w:id="51"/>
      </w:r>
      <w:r w:rsidR="0080029E" w:rsidRPr="0008486F">
        <w:rPr>
          <w:rFonts w:ascii="Times New Roman" w:hAnsi="Times New Roman"/>
          <w:sz w:val="24"/>
          <w:szCs w:val="24"/>
        </w:rPr>
        <w:t xml:space="preserve">. </w:t>
      </w:r>
      <w:r w:rsidR="00311A54" w:rsidRPr="0008486F">
        <w:rPr>
          <w:rFonts w:ascii="Times New Roman" w:hAnsi="Times New Roman"/>
          <w:sz w:val="24"/>
          <w:szCs w:val="24"/>
        </w:rPr>
        <w:t>Un an</w:t>
      </w:r>
      <w:r w:rsidR="00391066">
        <w:rPr>
          <w:rFonts w:ascii="Times New Roman" w:hAnsi="Times New Roman"/>
          <w:sz w:val="24"/>
          <w:szCs w:val="24"/>
        </w:rPr>
        <w:t xml:space="preserve">agrama en </w:t>
      </w:r>
      <w:r w:rsidR="00391066" w:rsidRPr="00391066">
        <w:rPr>
          <w:rFonts w:ascii="Times New Roman" w:hAnsi="Times New Roman"/>
          <w:i/>
          <w:sz w:val="24"/>
          <w:szCs w:val="24"/>
        </w:rPr>
        <w:t>c</w:t>
      </w:r>
      <w:r w:rsidR="00391066">
        <w:rPr>
          <w:rFonts w:ascii="Times New Roman" w:hAnsi="Times New Roman"/>
          <w:i/>
          <w:sz w:val="24"/>
          <w:szCs w:val="24"/>
        </w:rPr>
        <w:t>arbo</w:t>
      </w:r>
      <w:r w:rsidR="008418A5" w:rsidRPr="0008486F">
        <w:rPr>
          <w:rFonts w:ascii="Times New Roman" w:hAnsi="Times New Roman"/>
          <w:sz w:val="24"/>
          <w:szCs w:val="24"/>
        </w:rPr>
        <w:t xml:space="preserve"> </w:t>
      </w:r>
      <w:r w:rsidR="00391066">
        <w:rPr>
          <w:rFonts w:ascii="Times New Roman" w:hAnsi="Times New Roman"/>
          <w:sz w:val="24"/>
          <w:szCs w:val="24"/>
        </w:rPr>
        <w:t>-carbón-</w:t>
      </w:r>
      <w:r w:rsidR="00391066">
        <w:rPr>
          <w:rStyle w:val="FootnoteReference"/>
          <w:rFonts w:ascii="Times New Roman" w:hAnsi="Times New Roman"/>
          <w:sz w:val="24"/>
          <w:szCs w:val="24"/>
        </w:rPr>
        <w:footnoteReference w:id="52"/>
      </w:r>
      <w:r w:rsidR="00391066">
        <w:rPr>
          <w:rFonts w:ascii="Times New Roman" w:hAnsi="Times New Roman"/>
          <w:sz w:val="24"/>
          <w:szCs w:val="24"/>
        </w:rPr>
        <w:t xml:space="preserve"> </w:t>
      </w:r>
      <w:r w:rsidR="008418A5" w:rsidRPr="0008486F">
        <w:rPr>
          <w:rFonts w:ascii="Times New Roman" w:hAnsi="Times New Roman"/>
          <w:sz w:val="24"/>
          <w:szCs w:val="24"/>
        </w:rPr>
        <w:t xml:space="preserve">podría servir de paralelo al caso de </w:t>
      </w:r>
      <w:r w:rsidR="00391066">
        <w:rPr>
          <w:rFonts w:ascii="Times New Roman" w:hAnsi="Times New Roman"/>
          <w:sz w:val="24"/>
          <w:szCs w:val="24"/>
        </w:rPr>
        <w:t>TICO</w:t>
      </w:r>
      <w:r w:rsidR="008418A5" w:rsidRPr="0008486F">
        <w:rPr>
          <w:rFonts w:ascii="Times New Roman" w:hAnsi="Times New Roman"/>
          <w:sz w:val="24"/>
          <w:szCs w:val="24"/>
        </w:rPr>
        <w:t xml:space="preserve"> sobre esta </w:t>
      </w:r>
      <w:r w:rsidR="0043542D" w:rsidRPr="0008486F">
        <w:rPr>
          <w:rFonts w:ascii="Times New Roman" w:hAnsi="Times New Roman"/>
          <w:sz w:val="24"/>
          <w:szCs w:val="24"/>
        </w:rPr>
        <w:t>ánfora</w:t>
      </w:r>
      <w:r w:rsidR="008418A5" w:rsidRPr="0008486F">
        <w:rPr>
          <w:rFonts w:ascii="Times New Roman" w:hAnsi="Times New Roman"/>
          <w:sz w:val="24"/>
          <w:szCs w:val="24"/>
        </w:rPr>
        <w:t xml:space="preserve">. </w:t>
      </w:r>
      <w:r w:rsidR="0043542D" w:rsidRPr="0008486F">
        <w:rPr>
          <w:rFonts w:ascii="Times New Roman" w:hAnsi="Times New Roman"/>
          <w:sz w:val="24"/>
          <w:szCs w:val="24"/>
        </w:rPr>
        <w:t>También</w:t>
      </w:r>
      <w:r w:rsidR="008418A5" w:rsidRPr="0008486F">
        <w:rPr>
          <w:rFonts w:ascii="Times New Roman" w:hAnsi="Times New Roman"/>
          <w:sz w:val="24"/>
          <w:szCs w:val="24"/>
        </w:rPr>
        <w:t xml:space="preserve"> las posibles siglas </w:t>
      </w:r>
      <w:r w:rsidR="008418A5" w:rsidRPr="00391066">
        <w:rPr>
          <w:rFonts w:ascii="Times New Roman" w:hAnsi="Times New Roman"/>
          <w:i/>
          <w:sz w:val="24"/>
          <w:szCs w:val="24"/>
        </w:rPr>
        <w:t>S. E. C.</w:t>
      </w:r>
      <w:r w:rsidR="008418A5" w:rsidRPr="0008486F">
        <w:rPr>
          <w:rFonts w:ascii="Times New Roman" w:hAnsi="Times New Roman"/>
          <w:sz w:val="24"/>
          <w:szCs w:val="24"/>
        </w:rPr>
        <w:t xml:space="preserve"> y </w:t>
      </w:r>
      <w:r w:rsidR="008418A5" w:rsidRPr="00391066">
        <w:rPr>
          <w:rFonts w:ascii="Times New Roman" w:hAnsi="Times New Roman"/>
          <w:i/>
          <w:sz w:val="24"/>
          <w:szCs w:val="24"/>
        </w:rPr>
        <w:t>P. A. C.</w:t>
      </w:r>
      <w:r w:rsidR="008418A5" w:rsidRPr="0008486F">
        <w:rPr>
          <w:rFonts w:ascii="Times New Roman" w:hAnsi="Times New Roman"/>
          <w:sz w:val="24"/>
          <w:szCs w:val="24"/>
        </w:rPr>
        <w:t xml:space="preserve"> </w:t>
      </w:r>
      <w:r w:rsidR="0043542D" w:rsidRPr="0008486F">
        <w:rPr>
          <w:rFonts w:ascii="Times New Roman" w:hAnsi="Times New Roman"/>
          <w:sz w:val="24"/>
          <w:szCs w:val="24"/>
        </w:rPr>
        <w:t xml:space="preserve">en </w:t>
      </w:r>
      <w:r w:rsidR="00391066" w:rsidRPr="00391066">
        <w:rPr>
          <w:rFonts w:ascii="Times New Roman" w:hAnsi="Times New Roman"/>
          <w:i/>
          <w:sz w:val="24"/>
          <w:szCs w:val="24"/>
        </w:rPr>
        <w:t>a</w:t>
      </w:r>
      <w:r w:rsidR="0043542D" w:rsidRPr="00391066">
        <w:rPr>
          <w:rFonts w:ascii="Times New Roman" w:hAnsi="Times New Roman"/>
          <w:i/>
          <w:sz w:val="24"/>
          <w:szCs w:val="24"/>
        </w:rPr>
        <w:t>lb</w:t>
      </w:r>
      <w:r w:rsidR="00391066" w:rsidRPr="00391066">
        <w:rPr>
          <w:rFonts w:ascii="Times New Roman" w:hAnsi="Times New Roman"/>
          <w:i/>
          <w:sz w:val="24"/>
          <w:szCs w:val="24"/>
        </w:rPr>
        <w:t>us</w:t>
      </w:r>
      <w:r w:rsidR="008418A5" w:rsidRPr="0008486F">
        <w:rPr>
          <w:rFonts w:ascii="Times New Roman" w:hAnsi="Times New Roman"/>
          <w:sz w:val="24"/>
          <w:szCs w:val="24"/>
        </w:rPr>
        <w:t xml:space="preserve"> sobre PO10</w:t>
      </w:r>
      <w:r w:rsidR="008418A5" w:rsidRPr="0008486F">
        <w:rPr>
          <w:rStyle w:val="FootnoteReference"/>
          <w:rFonts w:ascii="Times New Roman" w:hAnsi="Times New Roman"/>
          <w:sz w:val="24"/>
          <w:szCs w:val="24"/>
        </w:rPr>
        <w:footnoteReference w:id="53"/>
      </w:r>
      <w:r w:rsidR="0043542D" w:rsidRPr="0008486F">
        <w:rPr>
          <w:rFonts w:ascii="Times New Roman" w:hAnsi="Times New Roman"/>
          <w:sz w:val="24"/>
          <w:szCs w:val="24"/>
        </w:rPr>
        <w:t xml:space="preserve"> deben ser aludidas en este sentido.</w:t>
      </w:r>
      <w:r w:rsidR="006D0FAC" w:rsidRPr="0008486F">
        <w:rPr>
          <w:rFonts w:ascii="Times New Roman" w:hAnsi="Times New Roman"/>
          <w:sz w:val="24"/>
          <w:szCs w:val="24"/>
        </w:rPr>
        <w:t xml:space="preserve"> Recuérdese al respecto que la sigla </w:t>
      </w:r>
      <w:r w:rsidR="006D0FAC" w:rsidRPr="00C31DF4">
        <w:rPr>
          <w:rFonts w:ascii="Times New Roman" w:hAnsi="Times New Roman"/>
          <w:i/>
          <w:sz w:val="24"/>
          <w:szCs w:val="24"/>
        </w:rPr>
        <w:t>Ti. C.</w:t>
      </w:r>
      <w:r w:rsidR="006D0FAC" w:rsidRPr="0008486F">
        <w:rPr>
          <w:rFonts w:ascii="Times New Roman" w:hAnsi="Times New Roman"/>
          <w:sz w:val="24"/>
          <w:szCs w:val="24"/>
        </w:rPr>
        <w:t xml:space="preserve"> apareció en </w:t>
      </w:r>
      <w:r w:rsidR="00C31DF4" w:rsidRPr="00C31DF4">
        <w:rPr>
          <w:rFonts w:ascii="Times New Roman" w:hAnsi="Times New Roman"/>
          <w:i/>
          <w:sz w:val="24"/>
          <w:szCs w:val="24"/>
        </w:rPr>
        <w:t>albus</w:t>
      </w:r>
      <w:r w:rsidR="006D0FAC" w:rsidRPr="0008486F">
        <w:rPr>
          <w:rFonts w:ascii="Times New Roman" w:hAnsi="Times New Roman"/>
          <w:sz w:val="24"/>
          <w:szCs w:val="24"/>
        </w:rPr>
        <w:t xml:space="preserve"> sobre otra PO10 </w:t>
      </w:r>
      <w:r w:rsidR="00C31DF4">
        <w:rPr>
          <w:rFonts w:ascii="Times New Roman" w:hAnsi="Times New Roman"/>
          <w:sz w:val="24"/>
          <w:szCs w:val="24"/>
        </w:rPr>
        <w:t>-9-</w:t>
      </w:r>
      <w:r w:rsidR="006D0FAC" w:rsidRPr="0008486F">
        <w:rPr>
          <w:rFonts w:ascii="Times New Roman" w:hAnsi="Times New Roman"/>
          <w:sz w:val="24"/>
          <w:szCs w:val="24"/>
        </w:rPr>
        <w:t xml:space="preserve"> en las excavaciones de 1873, al igual q</w:t>
      </w:r>
      <w:r w:rsidR="00C31DF4">
        <w:rPr>
          <w:rFonts w:ascii="Times New Roman" w:hAnsi="Times New Roman"/>
          <w:sz w:val="24"/>
          <w:szCs w:val="24"/>
        </w:rPr>
        <w:t>ue la inscripción 12</w:t>
      </w:r>
      <w:r w:rsidR="006D0FAC" w:rsidRPr="0008486F">
        <w:rPr>
          <w:rFonts w:ascii="Times New Roman" w:hAnsi="Times New Roman"/>
          <w:sz w:val="24"/>
          <w:szCs w:val="24"/>
        </w:rPr>
        <w:t>.</w:t>
      </w:r>
      <w:r w:rsidR="00C31DF4">
        <w:rPr>
          <w:rFonts w:ascii="Times New Roman" w:hAnsi="Times New Roman"/>
          <w:sz w:val="24"/>
          <w:szCs w:val="24"/>
        </w:rPr>
        <w:t xml:space="preserve"> La codificación resultante es n/n/\N/\</w:t>
      </w:r>
      <w:r w:rsidR="00C31DF4" w:rsidRPr="00885FFC">
        <w:rPr>
          <w:rFonts w:ascii="Times New Roman" w:hAnsi="Times New Roman"/>
          <w:sz w:val="24"/>
          <w:szCs w:val="24"/>
        </w:rPr>
        <w:t>n?</w:t>
      </w:r>
    </w:p>
    <w:p w:rsidR="00ED6FFA" w:rsidRPr="0008486F" w:rsidRDefault="00ED6FFA" w:rsidP="00ED6FFA">
      <w:pPr>
        <w:spacing w:after="0" w:line="360" w:lineRule="auto"/>
        <w:ind w:firstLine="709"/>
        <w:jc w:val="both"/>
        <w:rPr>
          <w:rFonts w:ascii="Times New Roman" w:hAnsi="Times New Roman"/>
          <w:sz w:val="24"/>
          <w:szCs w:val="24"/>
        </w:rPr>
      </w:pPr>
      <w:r w:rsidRPr="0055717A">
        <w:rPr>
          <w:rFonts w:ascii="Times New Roman" w:hAnsi="Times New Roman"/>
          <w:i/>
          <w:sz w:val="24"/>
          <w:szCs w:val="24"/>
        </w:rPr>
        <w:t>4.4. Grupo 4</w:t>
      </w:r>
    </w:p>
    <w:p w:rsidR="00CE547D" w:rsidRDefault="00ED6FFA" w:rsidP="00F34854">
      <w:pPr>
        <w:spacing w:after="0" w:line="360" w:lineRule="auto"/>
        <w:ind w:firstLine="709"/>
        <w:jc w:val="both"/>
        <w:rPr>
          <w:rFonts w:ascii="Times New Roman" w:hAnsi="Times New Roman"/>
          <w:sz w:val="24"/>
          <w:szCs w:val="24"/>
        </w:rPr>
      </w:pPr>
      <w:r>
        <w:rPr>
          <w:rFonts w:ascii="Times New Roman" w:hAnsi="Times New Roman"/>
          <w:sz w:val="24"/>
          <w:szCs w:val="24"/>
        </w:rPr>
        <w:t>E</w:t>
      </w:r>
      <w:r w:rsidR="00CE547D">
        <w:rPr>
          <w:rFonts w:ascii="Times New Roman" w:hAnsi="Times New Roman"/>
          <w:sz w:val="24"/>
          <w:szCs w:val="24"/>
        </w:rPr>
        <w:t xml:space="preserve">n el </w:t>
      </w:r>
      <w:r w:rsidR="004F449B" w:rsidRPr="0008486F">
        <w:rPr>
          <w:rFonts w:ascii="Times New Roman" w:hAnsi="Times New Roman"/>
          <w:sz w:val="24"/>
          <w:szCs w:val="24"/>
        </w:rPr>
        <w:t xml:space="preserve">grupo </w:t>
      </w:r>
      <w:r w:rsidR="00CE547D">
        <w:rPr>
          <w:rFonts w:ascii="Times New Roman" w:hAnsi="Times New Roman"/>
          <w:sz w:val="24"/>
          <w:szCs w:val="24"/>
        </w:rPr>
        <w:t xml:space="preserve">4 se </w:t>
      </w:r>
      <w:r w:rsidR="004F449B" w:rsidRPr="0008486F">
        <w:rPr>
          <w:rFonts w:ascii="Times New Roman" w:hAnsi="Times New Roman"/>
          <w:sz w:val="24"/>
          <w:szCs w:val="24"/>
        </w:rPr>
        <w:t>introduce la problemática de los numer</w:t>
      </w:r>
      <w:r w:rsidR="00CE547D">
        <w:rPr>
          <w:rFonts w:ascii="Times New Roman" w:hAnsi="Times New Roman"/>
          <w:sz w:val="24"/>
          <w:szCs w:val="24"/>
        </w:rPr>
        <w:t>ales y la partícula ΔΙ sobre las</w:t>
      </w:r>
      <w:r w:rsidR="004F449B" w:rsidRPr="0008486F">
        <w:rPr>
          <w:rFonts w:ascii="Times New Roman" w:hAnsi="Times New Roman"/>
          <w:sz w:val="24"/>
          <w:szCs w:val="24"/>
        </w:rPr>
        <w:t xml:space="preserve"> inscripciones </w:t>
      </w:r>
      <w:r w:rsidR="00CE547D">
        <w:rPr>
          <w:rFonts w:ascii="Times New Roman" w:hAnsi="Times New Roman"/>
          <w:sz w:val="24"/>
          <w:szCs w:val="24"/>
        </w:rPr>
        <w:t>13 y 14</w:t>
      </w:r>
      <w:r w:rsidR="004F449B" w:rsidRPr="0008486F">
        <w:rPr>
          <w:rFonts w:ascii="Times New Roman" w:hAnsi="Times New Roman"/>
          <w:sz w:val="24"/>
          <w:szCs w:val="24"/>
        </w:rPr>
        <w:t xml:space="preserve">. Ambas comienzan </w:t>
      </w:r>
      <w:r w:rsidR="00D422C2" w:rsidRPr="0008486F">
        <w:rPr>
          <w:rFonts w:ascii="Times New Roman" w:hAnsi="Times New Roman"/>
          <w:sz w:val="24"/>
          <w:szCs w:val="24"/>
        </w:rPr>
        <w:t>con la letra</w:t>
      </w:r>
      <w:r w:rsidR="004F449B" w:rsidRPr="0008486F">
        <w:rPr>
          <w:rFonts w:ascii="Times New Roman" w:hAnsi="Times New Roman"/>
          <w:sz w:val="24"/>
          <w:szCs w:val="24"/>
        </w:rPr>
        <w:t xml:space="preserve"> Π</w:t>
      </w:r>
      <w:r w:rsidR="00DC01E2" w:rsidRPr="0008486F">
        <w:rPr>
          <w:rFonts w:ascii="Times New Roman" w:hAnsi="Times New Roman"/>
          <w:sz w:val="24"/>
          <w:szCs w:val="24"/>
        </w:rPr>
        <w:t xml:space="preserve">. En el caso de la inscripción </w:t>
      </w:r>
      <w:r w:rsidR="00CE547D">
        <w:rPr>
          <w:rFonts w:ascii="Times New Roman" w:hAnsi="Times New Roman"/>
          <w:sz w:val="24"/>
          <w:szCs w:val="24"/>
        </w:rPr>
        <w:t>13</w:t>
      </w:r>
      <w:r w:rsidR="005647F6">
        <w:rPr>
          <w:rFonts w:ascii="Times New Roman" w:hAnsi="Times New Roman"/>
          <w:sz w:val="24"/>
          <w:szCs w:val="24"/>
        </w:rPr>
        <w:t xml:space="preserve">, este </w:t>
      </w:r>
      <w:r w:rsidR="005647F6" w:rsidRPr="005647F6">
        <w:rPr>
          <w:rFonts w:ascii="Times New Roman" w:hAnsi="Times New Roman"/>
          <w:i/>
          <w:sz w:val="24"/>
          <w:szCs w:val="24"/>
        </w:rPr>
        <w:t>titulus</w:t>
      </w:r>
      <w:r w:rsidR="005647F6">
        <w:rPr>
          <w:rFonts w:ascii="Times New Roman" w:hAnsi="Times New Roman"/>
          <w:sz w:val="24"/>
          <w:szCs w:val="24"/>
        </w:rPr>
        <w:t xml:space="preserve"> </w:t>
      </w:r>
      <w:r w:rsidR="00DC01E2" w:rsidRPr="0008486F">
        <w:rPr>
          <w:rFonts w:ascii="Times New Roman" w:hAnsi="Times New Roman"/>
          <w:sz w:val="24"/>
          <w:szCs w:val="24"/>
        </w:rPr>
        <w:t xml:space="preserve">y el siguiente aparecen en </w:t>
      </w:r>
      <w:r w:rsidR="00DC01E2" w:rsidRPr="0008486F">
        <w:rPr>
          <w:rFonts w:ascii="Times New Roman" w:hAnsi="Times New Roman"/>
          <w:i/>
          <w:sz w:val="24"/>
          <w:szCs w:val="24"/>
        </w:rPr>
        <w:t>atramentum</w:t>
      </w:r>
      <w:r w:rsidR="00DC01E2" w:rsidRPr="0008486F">
        <w:rPr>
          <w:rFonts w:ascii="Times New Roman" w:hAnsi="Times New Roman"/>
          <w:sz w:val="24"/>
          <w:szCs w:val="24"/>
        </w:rPr>
        <w:t xml:space="preserve">. Este último fue </w:t>
      </w:r>
      <w:r w:rsidR="005647F6">
        <w:rPr>
          <w:rFonts w:ascii="Times New Roman" w:hAnsi="Times New Roman"/>
          <w:sz w:val="24"/>
          <w:szCs w:val="24"/>
        </w:rPr>
        <w:t>transcrito</w:t>
      </w:r>
      <w:r w:rsidR="00DC01E2" w:rsidRPr="0008486F">
        <w:rPr>
          <w:rFonts w:ascii="Times New Roman" w:hAnsi="Times New Roman"/>
          <w:sz w:val="24"/>
          <w:szCs w:val="24"/>
        </w:rPr>
        <w:t xml:space="preserve"> como </w:t>
      </w:r>
      <w:r w:rsidR="00DC01E2" w:rsidRPr="00CE547D">
        <w:rPr>
          <w:rFonts w:ascii="Times New Roman" w:hAnsi="Times New Roman"/>
          <w:sz w:val="24"/>
          <w:szCs w:val="24"/>
        </w:rPr>
        <w:t>IIII</w:t>
      </w:r>
      <w:r w:rsidR="00DC01E2" w:rsidRPr="0008486F">
        <w:rPr>
          <w:rFonts w:ascii="Times New Roman" w:hAnsi="Times New Roman"/>
          <w:sz w:val="24"/>
          <w:szCs w:val="24"/>
        </w:rPr>
        <w:t xml:space="preserve"> por Sogliano</w:t>
      </w:r>
      <w:r w:rsidR="00D422C2" w:rsidRPr="0008486F">
        <w:rPr>
          <w:rStyle w:val="FootnoteReference"/>
          <w:rFonts w:ascii="Times New Roman" w:hAnsi="Times New Roman"/>
          <w:sz w:val="24"/>
          <w:szCs w:val="24"/>
        </w:rPr>
        <w:footnoteReference w:id="54"/>
      </w:r>
      <w:r w:rsidR="00DC01E2" w:rsidRPr="0008486F">
        <w:rPr>
          <w:rFonts w:ascii="Times New Roman" w:hAnsi="Times New Roman"/>
          <w:sz w:val="24"/>
          <w:szCs w:val="24"/>
        </w:rPr>
        <w:t xml:space="preserve">, mientras que Mau lo transcribió como </w:t>
      </w:r>
      <w:r w:rsidR="00DC01E2" w:rsidRPr="00CE547D">
        <w:rPr>
          <w:rFonts w:ascii="Times New Roman" w:hAnsi="Times New Roman"/>
          <w:sz w:val="24"/>
          <w:szCs w:val="24"/>
        </w:rPr>
        <w:t>ΤΤΓΓ</w:t>
      </w:r>
      <w:r w:rsidR="00D422C2" w:rsidRPr="0008486F">
        <w:rPr>
          <w:rFonts w:ascii="Times New Roman" w:hAnsi="Times New Roman"/>
          <w:sz w:val="24"/>
          <w:szCs w:val="24"/>
        </w:rPr>
        <w:t xml:space="preserve"> en el </w:t>
      </w:r>
      <w:r w:rsidR="00D422C2" w:rsidRPr="0008486F">
        <w:rPr>
          <w:rFonts w:ascii="Times New Roman" w:hAnsi="Times New Roman"/>
          <w:i/>
          <w:sz w:val="24"/>
          <w:szCs w:val="24"/>
        </w:rPr>
        <w:t>CIL</w:t>
      </w:r>
      <w:r w:rsidR="00D422C2" w:rsidRPr="0008486F">
        <w:rPr>
          <w:rFonts w:ascii="Times New Roman" w:hAnsi="Times New Roman"/>
          <w:sz w:val="24"/>
          <w:szCs w:val="24"/>
        </w:rPr>
        <w:t>.</w:t>
      </w:r>
      <w:r w:rsidR="00DC01E2" w:rsidRPr="0008486F">
        <w:rPr>
          <w:rFonts w:ascii="Times New Roman" w:hAnsi="Times New Roman"/>
          <w:sz w:val="24"/>
          <w:szCs w:val="24"/>
        </w:rPr>
        <w:t xml:space="preserve"> </w:t>
      </w:r>
    </w:p>
    <w:p w:rsidR="0039513A" w:rsidRPr="0008486F" w:rsidRDefault="00DC01E2" w:rsidP="00F34854">
      <w:pPr>
        <w:spacing w:after="0" w:line="360" w:lineRule="auto"/>
        <w:ind w:firstLine="709"/>
        <w:jc w:val="both"/>
        <w:rPr>
          <w:rFonts w:ascii="Times New Roman" w:hAnsi="Times New Roman"/>
          <w:sz w:val="24"/>
          <w:szCs w:val="24"/>
        </w:rPr>
      </w:pPr>
      <w:r w:rsidRPr="0008486F">
        <w:rPr>
          <w:rFonts w:ascii="Times New Roman" w:hAnsi="Times New Roman"/>
          <w:sz w:val="24"/>
          <w:szCs w:val="24"/>
        </w:rPr>
        <w:t xml:space="preserve">Por otro lado, letra Π se ha documentado </w:t>
      </w:r>
      <w:r w:rsidR="00CE547D">
        <w:rPr>
          <w:rFonts w:ascii="Times New Roman" w:hAnsi="Times New Roman"/>
          <w:sz w:val="24"/>
          <w:szCs w:val="24"/>
        </w:rPr>
        <w:t>en otras 16</w:t>
      </w:r>
      <w:r w:rsidR="004F449B" w:rsidRPr="0008486F">
        <w:rPr>
          <w:rFonts w:ascii="Times New Roman" w:hAnsi="Times New Roman"/>
          <w:sz w:val="24"/>
          <w:szCs w:val="24"/>
        </w:rPr>
        <w:t xml:space="preserve"> ocasiones </w:t>
      </w:r>
      <w:r w:rsidRPr="0008486F">
        <w:rPr>
          <w:rFonts w:ascii="Times New Roman" w:hAnsi="Times New Roman"/>
          <w:sz w:val="24"/>
          <w:szCs w:val="24"/>
        </w:rPr>
        <w:t>como registro diferenciable</w:t>
      </w:r>
      <w:r w:rsidR="00CE547D">
        <w:rPr>
          <w:rStyle w:val="FootnoteReference"/>
          <w:rFonts w:ascii="Times New Roman" w:hAnsi="Times New Roman"/>
          <w:sz w:val="24"/>
          <w:szCs w:val="24"/>
        </w:rPr>
        <w:footnoteReference w:id="55"/>
      </w:r>
      <w:r w:rsidRPr="0008486F">
        <w:rPr>
          <w:rFonts w:ascii="Times New Roman" w:hAnsi="Times New Roman"/>
          <w:sz w:val="24"/>
          <w:szCs w:val="24"/>
        </w:rPr>
        <w:t xml:space="preserve">. Sobre </w:t>
      </w:r>
      <w:r w:rsidR="00B07BBC" w:rsidRPr="0008486F">
        <w:rPr>
          <w:rFonts w:ascii="Times New Roman" w:hAnsi="Times New Roman"/>
          <w:sz w:val="24"/>
          <w:szCs w:val="24"/>
        </w:rPr>
        <w:t xml:space="preserve">tres </w:t>
      </w:r>
      <w:r w:rsidR="00341280">
        <w:rPr>
          <w:rFonts w:ascii="Times New Roman" w:hAnsi="Times New Roman"/>
          <w:sz w:val="24"/>
          <w:szCs w:val="24"/>
        </w:rPr>
        <w:t xml:space="preserve">de estas </w:t>
      </w:r>
      <w:r w:rsidR="00B07BBC" w:rsidRPr="0008486F">
        <w:rPr>
          <w:rFonts w:ascii="Times New Roman" w:hAnsi="Times New Roman"/>
          <w:sz w:val="24"/>
          <w:szCs w:val="24"/>
        </w:rPr>
        <w:t xml:space="preserve">ánforas aparece </w:t>
      </w:r>
      <w:r w:rsidRPr="0008486F">
        <w:rPr>
          <w:rFonts w:ascii="Times New Roman" w:hAnsi="Times New Roman"/>
          <w:sz w:val="24"/>
          <w:szCs w:val="24"/>
        </w:rPr>
        <w:t>la inscripción Π / CCCC</w:t>
      </w:r>
      <w:r w:rsidR="00FB4CEB">
        <w:rPr>
          <w:rStyle w:val="FootnoteReference"/>
          <w:rFonts w:ascii="Times New Roman" w:hAnsi="Times New Roman"/>
          <w:sz w:val="24"/>
          <w:szCs w:val="24"/>
        </w:rPr>
        <w:footnoteReference w:id="56"/>
      </w:r>
      <w:r w:rsidR="006A57FA" w:rsidRPr="0008486F">
        <w:rPr>
          <w:rFonts w:ascii="Times New Roman" w:hAnsi="Times New Roman"/>
          <w:sz w:val="24"/>
          <w:szCs w:val="24"/>
        </w:rPr>
        <w:t>. Esta última secuencia se podría haber confundido con los caracteres transcritos por Mau</w:t>
      </w:r>
      <w:r w:rsidR="00F97E52" w:rsidRPr="0008486F">
        <w:rPr>
          <w:rStyle w:val="FootnoteReference"/>
          <w:rFonts w:ascii="Times New Roman" w:hAnsi="Times New Roman"/>
          <w:sz w:val="24"/>
          <w:szCs w:val="24"/>
        </w:rPr>
        <w:footnoteReference w:id="57"/>
      </w:r>
      <w:r w:rsidR="00341280">
        <w:rPr>
          <w:rFonts w:ascii="Times New Roman" w:hAnsi="Times New Roman"/>
          <w:sz w:val="24"/>
          <w:szCs w:val="24"/>
        </w:rPr>
        <w:t xml:space="preserve"> para el ánfora 13</w:t>
      </w:r>
      <w:r w:rsidR="006A57FA" w:rsidRPr="0008486F">
        <w:rPr>
          <w:rFonts w:ascii="Times New Roman" w:hAnsi="Times New Roman"/>
          <w:sz w:val="24"/>
          <w:szCs w:val="24"/>
        </w:rPr>
        <w:t xml:space="preserve">. </w:t>
      </w:r>
      <w:r w:rsidR="00341280">
        <w:rPr>
          <w:rFonts w:ascii="Times New Roman" w:hAnsi="Times New Roman"/>
          <w:sz w:val="24"/>
          <w:szCs w:val="24"/>
        </w:rPr>
        <w:t>Dicha secuencia s</w:t>
      </w:r>
      <w:r w:rsidR="0096048F" w:rsidRPr="0008486F">
        <w:rPr>
          <w:rFonts w:ascii="Times New Roman" w:hAnsi="Times New Roman"/>
          <w:sz w:val="24"/>
          <w:szCs w:val="24"/>
        </w:rPr>
        <w:t>e repite sobre 15</w:t>
      </w:r>
      <w:r w:rsidR="006A57FA" w:rsidRPr="0008486F">
        <w:rPr>
          <w:rFonts w:ascii="Times New Roman" w:hAnsi="Times New Roman"/>
          <w:sz w:val="24"/>
          <w:szCs w:val="24"/>
        </w:rPr>
        <w:t xml:space="preserve"> objetos, la mayoría de ellos PO08</w:t>
      </w:r>
      <w:r w:rsidR="00B07BBC" w:rsidRPr="0008486F">
        <w:rPr>
          <w:rStyle w:val="FootnoteReference"/>
          <w:rFonts w:ascii="Times New Roman" w:hAnsi="Times New Roman"/>
          <w:sz w:val="24"/>
          <w:szCs w:val="24"/>
        </w:rPr>
        <w:footnoteReference w:id="58"/>
      </w:r>
      <w:r w:rsidR="006A57FA" w:rsidRPr="0008486F">
        <w:rPr>
          <w:rFonts w:ascii="Times New Roman" w:hAnsi="Times New Roman"/>
          <w:sz w:val="24"/>
          <w:szCs w:val="24"/>
        </w:rPr>
        <w:t xml:space="preserve">. </w:t>
      </w:r>
      <w:r w:rsidR="00C82129" w:rsidRPr="0008486F">
        <w:rPr>
          <w:rFonts w:ascii="Times New Roman" w:hAnsi="Times New Roman"/>
          <w:sz w:val="24"/>
          <w:szCs w:val="24"/>
        </w:rPr>
        <w:t xml:space="preserve">Apenas se tiene información sobre las tintas en las correspondientes inscripciones. </w:t>
      </w:r>
      <w:r w:rsidR="006A57FA" w:rsidRPr="0008486F">
        <w:rPr>
          <w:rFonts w:ascii="Times New Roman" w:hAnsi="Times New Roman"/>
          <w:sz w:val="24"/>
          <w:szCs w:val="24"/>
        </w:rPr>
        <w:t>En distin</w:t>
      </w:r>
      <w:r w:rsidR="00341280">
        <w:rPr>
          <w:rFonts w:ascii="Times New Roman" w:hAnsi="Times New Roman"/>
          <w:sz w:val="24"/>
          <w:szCs w:val="24"/>
        </w:rPr>
        <w:t>tas ocasiones aparecen otras</w:t>
      </w:r>
      <w:r w:rsidR="006A57FA" w:rsidRPr="0008486F">
        <w:rPr>
          <w:rFonts w:ascii="Times New Roman" w:hAnsi="Times New Roman"/>
          <w:sz w:val="24"/>
          <w:szCs w:val="24"/>
        </w:rPr>
        <w:t xml:space="preserve"> letras que podrían leerse como numerales griegos:</w:t>
      </w:r>
      <w:r w:rsidR="00C82129" w:rsidRPr="0008486F">
        <w:rPr>
          <w:rFonts w:ascii="Times New Roman" w:hAnsi="Times New Roman"/>
          <w:sz w:val="24"/>
          <w:szCs w:val="24"/>
        </w:rPr>
        <w:t xml:space="preserve"> Ε {5}</w:t>
      </w:r>
      <w:r w:rsidR="0096048F" w:rsidRPr="0008486F">
        <w:rPr>
          <w:rStyle w:val="FootnoteReference"/>
          <w:rFonts w:ascii="Times New Roman" w:hAnsi="Times New Roman"/>
          <w:sz w:val="24"/>
          <w:szCs w:val="24"/>
        </w:rPr>
        <w:footnoteReference w:id="59"/>
      </w:r>
      <w:r w:rsidR="00C82129" w:rsidRPr="0008486F">
        <w:rPr>
          <w:rFonts w:ascii="Times New Roman" w:hAnsi="Times New Roman"/>
          <w:sz w:val="24"/>
          <w:szCs w:val="24"/>
        </w:rPr>
        <w:t>, Κ {20}</w:t>
      </w:r>
      <w:r w:rsidR="0081015E" w:rsidRPr="0008486F">
        <w:rPr>
          <w:rStyle w:val="FootnoteReference"/>
          <w:rFonts w:ascii="Times New Roman" w:hAnsi="Times New Roman"/>
          <w:sz w:val="24"/>
          <w:szCs w:val="24"/>
        </w:rPr>
        <w:footnoteReference w:id="60"/>
      </w:r>
      <w:r w:rsidR="00C82129" w:rsidRPr="0008486F">
        <w:rPr>
          <w:rFonts w:ascii="Times New Roman" w:hAnsi="Times New Roman"/>
          <w:sz w:val="24"/>
          <w:szCs w:val="24"/>
        </w:rPr>
        <w:t>, Μ {40}</w:t>
      </w:r>
      <w:r w:rsidR="0081015E" w:rsidRPr="0008486F">
        <w:rPr>
          <w:rStyle w:val="FootnoteReference"/>
          <w:rFonts w:ascii="Times New Roman" w:hAnsi="Times New Roman"/>
          <w:sz w:val="24"/>
          <w:szCs w:val="24"/>
        </w:rPr>
        <w:footnoteReference w:id="61"/>
      </w:r>
      <w:r w:rsidR="00C82129" w:rsidRPr="0008486F">
        <w:rPr>
          <w:rFonts w:ascii="Times New Roman" w:hAnsi="Times New Roman"/>
          <w:sz w:val="24"/>
          <w:szCs w:val="24"/>
        </w:rPr>
        <w:t>, Π {80}</w:t>
      </w:r>
      <w:r w:rsidR="0081015E" w:rsidRPr="0008486F">
        <w:rPr>
          <w:rStyle w:val="FootnoteReference"/>
          <w:rFonts w:ascii="Times New Roman" w:hAnsi="Times New Roman"/>
          <w:sz w:val="24"/>
          <w:szCs w:val="24"/>
        </w:rPr>
        <w:footnoteReference w:id="62"/>
      </w:r>
      <w:r w:rsidR="00C82129" w:rsidRPr="0008486F">
        <w:rPr>
          <w:rFonts w:ascii="Times New Roman" w:hAnsi="Times New Roman"/>
          <w:sz w:val="24"/>
          <w:szCs w:val="24"/>
        </w:rPr>
        <w:t xml:space="preserve"> y ϹΟ {270}</w:t>
      </w:r>
      <w:r w:rsidR="0081015E" w:rsidRPr="0008486F">
        <w:rPr>
          <w:rStyle w:val="FootnoteReference"/>
          <w:rFonts w:ascii="Times New Roman" w:hAnsi="Times New Roman"/>
          <w:sz w:val="24"/>
          <w:szCs w:val="24"/>
        </w:rPr>
        <w:footnoteReference w:id="63"/>
      </w:r>
      <w:r w:rsidR="00C82129" w:rsidRPr="0008486F">
        <w:rPr>
          <w:rFonts w:ascii="Times New Roman" w:hAnsi="Times New Roman"/>
          <w:sz w:val="24"/>
          <w:szCs w:val="24"/>
        </w:rPr>
        <w:t xml:space="preserve">. También se encuentran las posibles siglas </w:t>
      </w:r>
      <w:r w:rsidR="00C82129" w:rsidRPr="00341280">
        <w:rPr>
          <w:rFonts w:ascii="Times New Roman" w:hAnsi="Times New Roman"/>
          <w:i/>
          <w:sz w:val="24"/>
          <w:szCs w:val="24"/>
        </w:rPr>
        <w:t>A. V. M.</w:t>
      </w:r>
      <w:r w:rsidR="00C82129" w:rsidRPr="0008486F">
        <w:rPr>
          <w:rFonts w:ascii="Times New Roman" w:hAnsi="Times New Roman"/>
          <w:sz w:val="24"/>
          <w:szCs w:val="24"/>
        </w:rPr>
        <w:t xml:space="preserve"> y </w:t>
      </w:r>
      <w:r w:rsidR="00C82129" w:rsidRPr="00341280">
        <w:rPr>
          <w:rFonts w:ascii="Times New Roman" w:hAnsi="Times New Roman"/>
          <w:i/>
          <w:sz w:val="24"/>
          <w:szCs w:val="24"/>
        </w:rPr>
        <w:t>A. C. V.</w:t>
      </w:r>
      <w:r w:rsidR="00341280">
        <w:rPr>
          <w:rFonts w:ascii="Times New Roman" w:hAnsi="Times New Roman"/>
          <w:sz w:val="24"/>
          <w:szCs w:val="24"/>
        </w:rPr>
        <w:t xml:space="preserve">, esta última en </w:t>
      </w:r>
      <w:r w:rsidR="00341280" w:rsidRPr="00341280">
        <w:rPr>
          <w:rFonts w:ascii="Times New Roman" w:hAnsi="Times New Roman"/>
          <w:i/>
          <w:sz w:val="24"/>
          <w:szCs w:val="24"/>
        </w:rPr>
        <w:t>carbo</w:t>
      </w:r>
      <w:r w:rsidR="0081015E" w:rsidRPr="0008486F">
        <w:rPr>
          <w:rStyle w:val="FootnoteReference"/>
          <w:rFonts w:ascii="Times New Roman" w:hAnsi="Times New Roman"/>
          <w:sz w:val="24"/>
          <w:szCs w:val="24"/>
        </w:rPr>
        <w:footnoteReference w:id="64"/>
      </w:r>
      <w:r w:rsidR="00C82129" w:rsidRPr="0008486F">
        <w:rPr>
          <w:rFonts w:ascii="Times New Roman" w:hAnsi="Times New Roman"/>
          <w:sz w:val="24"/>
          <w:szCs w:val="24"/>
        </w:rPr>
        <w:t xml:space="preserve">. Destaca la presencia del genitivo </w:t>
      </w:r>
      <w:r w:rsidR="00C82129" w:rsidRPr="0008486F">
        <w:rPr>
          <w:rFonts w:ascii="Times New Roman" w:hAnsi="Times New Roman"/>
          <w:i/>
          <w:sz w:val="24"/>
          <w:szCs w:val="24"/>
        </w:rPr>
        <w:t>Leuci</w:t>
      </w:r>
      <w:r w:rsidR="00C82129" w:rsidRPr="0008486F">
        <w:rPr>
          <w:rFonts w:ascii="Times New Roman" w:hAnsi="Times New Roman"/>
          <w:sz w:val="24"/>
          <w:szCs w:val="24"/>
        </w:rPr>
        <w:t xml:space="preserve"> y de la abreviatura </w:t>
      </w:r>
      <w:r w:rsidR="00C82129" w:rsidRPr="005426CF">
        <w:rPr>
          <w:rFonts w:ascii="Times New Roman" w:hAnsi="Times New Roman"/>
          <w:sz w:val="24"/>
          <w:szCs w:val="24"/>
        </w:rPr>
        <w:t>Κιϲϲ</w:t>
      </w:r>
      <w:r w:rsidR="00C82129" w:rsidRPr="0008486F">
        <w:rPr>
          <w:rFonts w:ascii="Times New Roman" w:hAnsi="Times New Roman"/>
          <w:sz w:val="24"/>
          <w:szCs w:val="24"/>
        </w:rPr>
        <w:t>(---)</w:t>
      </w:r>
      <w:r w:rsidR="0081015E" w:rsidRPr="0008486F">
        <w:rPr>
          <w:rStyle w:val="FootnoteReference"/>
          <w:rFonts w:ascii="Times New Roman" w:hAnsi="Times New Roman"/>
          <w:sz w:val="24"/>
          <w:szCs w:val="24"/>
        </w:rPr>
        <w:footnoteReference w:id="65"/>
      </w:r>
      <w:r w:rsidR="00C82129" w:rsidRPr="0008486F">
        <w:rPr>
          <w:rFonts w:ascii="Times New Roman" w:hAnsi="Times New Roman"/>
          <w:sz w:val="24"/>
          <w:szCs w:val="24"/>
        </w:rPr>
        <w:t xml:space="preserve">. </w:t>
      </w:r>
      <w:r w:rsidR="0036073F" w:rsidRPr="0008486F">
        <w:rPr>
          <w:rFonts w:ascii="Times New Roman" w:hAnsi="Times New Roman"/>
          <w:sz w:val="24"/>
          <w:szCs w:val="24"/>
        </w:rPr>
        <w:t xml:space="preserve">Particularmente, este posible nombre </w:t>
      </w:r>
      <w:r w:rsidR="00E7230D" w:rsidRPr="0008486F">
        <w:rPr>
          <w:rFonts w:ascii="Times New Roman" w:hAnsi="Times New Roman"/>
          <w:sz w:val="24"/>
          <w:szCs w:val="24"/>
        </w:rPr>
        <w:t>abreviado se podría haber sinte</w:t>
      </w:r>
      <w:r w:rsidR="0036073F" w:rsidRPr="0008486F">
        <w:rPr>
          <w:rFonts w:ascii="Times New Roman" w:hAnsi="Times New Roman"/>
          <w:sz w:val="24"/>
          <w:szCs w:val="24"/>
        </w:rPr>
        <w:t xml:space="preserve">tizado como </w:t>
      </w:r>
      <w:r w:rsidR="0036073F" w:rsidRPr="005426CF">
        <w:rPr>
          <w:rFonts w:ascii="Times New Roman" w:hAnsi="Times New Roman"/>
          <w:sz w:val="24"/>
          <w:szCs w:val="24"/>
        </w:rPr>
        <w:t>Κ</w:t>
      </w:r>
      <w:r w:rsidR="0036073F" w:rsidRPr="0008486F">
        <w:rPr>
          <w:rFonts w:ascii="Times New Roman" w:hAnsi="Times New Roman"/>
          <w:sz w:val="24"/>
          <w:szCs w:val="24"/>
        </w:rPr>
        <w:t>(---) en el resto de inscripciones, siguiendo la tónica de un caso paralelo que se verá a continuación.</w:t>
      </w:r>
    </w:p>
    <w:p w:rsidR="0040283B" w:rsidRDefault="0036073F" w:rsidP="00F34854">
      <w:pPr>
        <w:spacing w:after="0" w:line="360" w:lineRule="auto"/>
        <w:ind w:firstLine="709"/>
        <w:jc w:val="both"/>
        <w:rPr>
          <w:rFonts w:ascii="Times New Roman" w:hAnsi="Times New Roman"/>
          <w:sz w:val="24"/>
          <w:szCs w:val="24"/>
        </w:rPr>
      </w:pPr>
      <w:r w:rsidRPr="0008486F">
        <w:rPr>
          <w:rFonts w:ascii="Times New Roman" w:hAnsi="Times New Roman"/>
          <w:sz w:val="24"/>
          <w:szCs w:val="24"/>
        </w:rPr>
        <w:t xml:space="preserve">La inscripción </w:t>
      </w:r>
      <w:r w:rsidR="0040283B">
        <w:rPr>
          <w:rFonts w:ascii="Times New Roman" w:hAnsi="Times New Roman"/>
          <w:sz w:val="24"/>
          <w:szCs w:val="24"/>
        </w:rPr>
        <w:t>14</w:t>
      </w:r>
      <w:r w:rsidRPr="0008486F">
        <w:rPr>
          <w:rFonts w:ascii="Times New Roman" w:hAnsi="Times New Roman"/>
          <w:sz w:val="24"/>
          <w:szCs w:val="24"/>
        </w:rPr>
        <w:t xml:space="preserve"> muestra </w:t>
      </w:r>
      <w:r w:rsidRPr="0008486F">
        <w:rPr>
          <w:rFonts w:ascii="Times New Roman" w:hAnsi="Times New Roman"/>
          <w:i/>
          <w:sz w:val="24"/>
          <w:szCs w:val="24"/>
        </w:rPr>
        <w:t>reliquiae</w:t>
      </w:r>
      <w:r w:rsidRPr="0008486F">
        <w:rPr>
          <w:rFonts w:ascii="Times New Roman" w:hAnsi="Times New Roman"/>
          <w:sz w:val="24"/>
          <w:szCs w:val="24"/>
        </w:rPr>
        <w:t xml:space="preserve"> de Π / ΔΙ</w:t>
      </w:r>
      <w:r w:rsidR="00E7230D" w:rsidRPr="0008486F">
        <w:rPr>
          <w:rFonts w:ascii="Times New Roman" w:hAnsi="Times New Roman"/>
          <w:sz w:val="24"/>
          <w:szCs w:val="24"/>
        </w:rPr>
        <w:t xml:space="preserve"> según Mau</w:t>
      </w:r>
      <w:r w:rsidRPr="0008486F">
        <w:rPr>
          <w:rFonts w:ascii="Times New Roman" w:hAnsi="Times New Roman"/>
          <w:sz w:val="24"/>
          <w:szCs w:val="24"/>
        </w:rPr>
        <w:t xml:space="preserve">, en consonancia con el carácter evanescente de </w:t>
      </w:r>
      <w:r w:rsidR="00341280">
        <w:rPr>
          <w:rFonts w:ascii="Times New Roman" w:hAnsi="Times New Roman"/>
          <w:sz w:val="24"/>
          <w:szCs w:val="24"/>
        </w:rPr>
        <w:t>TICO</w:t>
      </w:r>
      <w:r w:rsidR="00E7230D" w:rsidRPr="0008486F">
        <w:rPr>
          <w:rStyle w:val="FootnoteReference"/>
          <w:rFonts w:ascii="Times New Roman" w:hAnsi="Times New Roman"/>
          <w:sz w:val="24"/>
          <w:szCs w:val="24"/>
        </w:rPr>
        <w:footnoteReference w:id="66"/>
      </w:r>
      <w:r w:rsidR="00341280">
        <w:rPr>
          <w:rFonts w:ascii="Times New Roman" w:hAnsi="Times New Roman"/>
          <w:sz w:val="24"/>
          <w:szCs w:val="24"/>
        </w:rPr>
        <w:t>.</w:t>
      </w:r>
      <w:r w:rsidR="004945B4" w:rsidRPr="0008486F">
        <w:rPr>
          <w:rFonts w:ascii="Times New Roman" w:hAnsi="Times New Roman"/>
          <w:sz w:val="24"/>
          <w:szCs w:val="24"/>
        </w:rPr>
        <w:t xml:space="preserve"> En el sistema ático</w:t>
      </w:r>
      <w:r w:rsidR="00E7230D" w:rsidRPr="0008486F">
        <w:rPr>
          <w:rFonts w:ascii="Times New Roman" w:hAnsi="Times New Roman"/>
          <w:sz w:val="24"/>
          <w:szCs w:val="24"/>
        </w:rPr>
        <w:t>,</w:t>
      </w:r>
      <w:r w:rsidR="004945B4" w:rsidRPr="0008486F">
        <w:rPr>
          <w:rFonts w:ascii="Times New Roman" w:hAnsi="Times New Roman"/>
          <w:sz w:val="24"/>
          <w:szCs w:val="24"/>
        </w:rPr>
        <w:t xml:space="preserve"> Π y Δ se combinan para dar lugar al numeral 50. Este caso parece repetirse en múltiples ejemplos de la epigrafía anfórica pompeyana</w:t>
      </w:r>
      <w:r w:rsidR="00E7230D" w:rsidRPr="0008486F">
        <w:rPr>
          <w:rStyle w:val="FootnoteReference"/>
          <w:rFonts w:ascii="Times New Roman" w:hAnsi="Times New Roman"/>
          <w:sz w:val="24"/>
          <w:szCs w:val="24"/>
        </w:rPr>
        <w:footnoteReference w:id="67"/>
      </w:r>
      <w:r w:rsidR="005C1C74" w:rsidRPr="0008486F">
        <w:rPr>
          <w:rFonts w:ascii="Times New Roman" w:hAnsi="Times New Roman"/>
          <w:sz w:val="24"/>
          <w:szCs w:val="24"/>
        </w:rPr>
        <w:t>. Sin embargo, l</w:t>
      </w:r>
      <w:r w:rsidR="004945B4" w:rsidRPr="0008486F">
        <w:rPr>
          <w:rFonts w:ascii="Times New Roman" w:hAnsi="Times New Roman"/>
          <w:sz w:val="24"/>
          <w:szCs w:val="24"/>
        </w:rPr>
        <w:t xml:space="preserve">a copia del </w:t>
      </w:r>
      <w:r w:rsidR="004945B4" w:rsidRPr="0008486F">
        <w:rPr>
          <w:rFonts w:ascii="Times New Roman" w:hAnsi="Times New Roman"/>
          <w:i/>
          <w:sz w:val="24"/>
          <w:szCs w:val="24"/>
        </w:rPr>
        <w:t>titulus</w:t>
      </w:r>
      <w:r w:rsidR="004945B4" w:rsidRPr="0008486F">
        <w:rPr>
          <w:rFonts w:ascii="Times New Roman" w:hAnsi="Times New Roman"/>
          <w:sz w:val="24"/>
          <w:szCs w:val="24"/>
        </w:rPr>
        <w:t xml:space="preserve"> </w:t>
      </w:r>
      <w:r w:rsidR="005C1C74" w:rsidRPr="0008486F">
        <w:rPr>
          <w:rFonts w:ascii="Times New Roman" w:hAnsi="Times New Roman"/>
          <w:sz w:val="24"/>
          <w:szCs w:val="24"/>
        </w:rPr>
        <w:t>permite transcribir ambas partículas de forma independiente</w:t>
      </w:r>
      <w:r w:rsidR="004945B4" w:rsidRPr="0008486F">
        <w:rPr>
          <w:rFonts w:ascii="Times New Roman" w:hAnsi="Times New Roman"/>
          <w:sz w:val="24"/>
          <w:szCs w:val="24"/>
        </w:rPr>
        <w:t xml:space="preserve">. </w:t>
      </w:r>
    </w:p>
    <w:p w:rsidR="0036073F" w:rsidRDefault="004945B4" w:rsidP="00F34854">
      <w:pPr>
        <w:spacing w:after="0" w:line="360" w:lineRule="auto"/>
        <w:ind w:firstLine="709"/>
        <w:jc w:val="both"/>
        <w:rPr>
          <w:rFonts w:ascii="Times New Roman" w:hAnsi="Times New Roman"/>
          <w:sz w:val="24"/>
          <w:szCs w:val="24"/>
        </w:rPr>
      </w:pPr>
      <w:r w:rsidRPr="0008486F">
        <w:rPr>
          <w:rFonts w:ascii="Times New Roman" w:hAnsi="Times New Roman"/>
          <w:sz w:val="24"/>
          <w:szCs w:val="24"/>
        </w:rPr>
        <w:t xml:space="preserve">Por otro lado, el ánfora </w:t>
      </w:r>
      <w:r w:rsidR="0040283B">
        <w:rPr>
          <w:rFonts w:ascii="Times New Roman" w:hAnsi="Times New Roman"/>
          <w:sz w:val="24"/>
          <w:szCs w:val="24"/>
        </w:rPr>
        <w:t>14</w:t>
      </w:r>
      <w:r w:rsidRPr="0008486F">
        <w:rPr>
          <w:rFonts w:ascii="Times New Roman" w:hAnsi="Times New Roman"/>
          <w:sz w:val="24"/>
          <w:szCs w:val="24"/>
        </w:rPr>
        <w:t xml:space="preserve"> se hallaba vinculada espacialmente a</w:t>
      </w:r>
      <w:r w:rsidR="0040283B">
        <w:rPr>
          <w:rFonts w:ascii="Times New Roman" w:hAnsi="Times New Roman"/>
          <w:sz w:val="24"/>
          <w:szCs w:val="24"/>
        </w:rPr>
        <w:t>l ánfora 6 y otras más. Entre estas otras ánforas, dos muestran</w:t>
      </w:r>
      <w:r w:rsidRPr="0008486F">
        <w:rPr>
          <w:rFonts w:ascii="Times New Roman" w:hAnsi="Times New Roman"/>
          <w:sz w:val="24"/>
          <w:szCs w:val="24"/>
        </w:rPr>
        <w:t xml:space="preserve"> la abreviatura </w:t>
      </w:r>
      <w:r w:rsidRPr="005426CF">
        <w:rPr>
          <w:rFonts w:ascii="Times New Roman" w:hAnsi="Times New Roman"/>
          <w:sz w:val="24"/>
          <w:szCs w:val="24"/>
        </w:rPr>
        <w:t>Χρε</w:t>
      </w:r>
      <w:r w:rsidRPr="0008486F">
        <w:rPr>
          <w:rFonts w:ascii="Times New Roman" w:hAnsi="Times New Roman"/>
          <w:sz w:val="24"/>
          <w:szCs w:val="24"/>
        </w:rPr>
        <w:t>(---)</w:t>
      </w:r>
      <w:r w:rsidR="006A682C">
        <w:rPr>
          <w:rFonts w:ascii="Times New Roman" w:hAnsi="Times New Roman"/>
          <w:sz w:val="24"/>
          <w:szCs w:val="24"/>
        </w:rPr>
        <w:t xml:space="preserve"> </w:t>
      </w:r>
      <w:r w:rsidR="00181AE8" w:rsidRPr="0008486F">
        <w:rPr>
          <w:rFonts w:ascii="Times New Roman" w:hAnsi="Times New Roman"/>
          <w:sz w:val="24"/>
          <w:szCs w:val="24"/>
        </w:rPr>
        <w:t>seguida de ΔΙ</w:t>
      </w:r>
      <w:r w:rsidRPr="0008486F">
        <w:rPr>
          <w:rFonts w:ascii="Times New Roman" w:hAnsi="Times New Roman"/>
          <w:sz w:val="24"/>
          <w:szCs w:val="24"/>
        </w:rPr>
        <w:t>ΟΝ^Υ</w:t>
      </w:r>
      <w:r w:rsidR="00181AE8" w:rsidRPr="0008486F">
        <w:rPr>
          <w:rFonts w:ascii="Times New Roman" w:hAnsi="Times New Roman"/>
          <w:sz w:val="24"/>
          <w:szCs w:val="24"/>
        </w:rPr>
        <w:t xml:space="preserve"> y de ΔΙ</w:t>
      </w:r>
      <w:r w:rsidRPr="0008486F">
        <w:rPr>
          <w:rFonts w:ascii="Times New Roman" w:hAnsi="Times New Roman"/>
          <w:sz w:val="24"/>
          <w:szCs w:val="24"/>
        </w:rPr>
        <w:t xml:space="preserve"> respectivamente</w:t>
      </w:r>
      <w:r w:rsidR="005C1C74" w:rsidRPr="0008486F">
        <w:rPr>
          <w:rStyle w:val="FootnoteReference"/>
          <w:rFonts w:ascii="Times New Roman" w:hAnsi="Times New Roman"/>
          <w:sz w:val="24"/>
          <w:szCs w:val="24"/>
        </w:rPr>
        <w:footnoteReference w:id="68"/>
      </w:r>
      <w:r w:rsidRPr="0008486F">
        <w:rPr>
          <w:rFonts w:ascii="Times New Roman" w:hAnsi="Times New Roman"/>
          <w:sz w:val="24"/>
          <w:szCs w:val="24"/>
        </w:rPr>
        <w:t xml:space="preserve">. </w:t>
      </w:r>
      <w:r w:rsidR="00181AE8" w:rsidRPr="0008486F">
        <w:rPr>
          <w:rFonts w:ascii="Times New Roman" w:hAnsi="Times New Roman"/>
          <w:sz w:val="24"/>
          <w:szCs w:val="24"/>
        </w:rPr>
        <w:t xml:space="preserve">Esto incide en la </w:t>
      </w:r>
      <w:r w:rsidR="005C1C74" w:rsidRPr="0008486F">
        <w:rPr>
          <w:rFonts w:ascii="Times New Roman" w:hAnsi="Times New Roman"/>
          <w:sz w:val="24"/>
          <w:szCs w:val="24"/>
        </w:rPr>
        <w:t xml:space="preserve">posible </w:t>
      </w:r>
      <w:r w:rsidR="00181AE8" w:rsidRPr="0008486F">
        <w:rPr>
          <w:rFonts w:ascii="Times New Roman" w:hAnsi="Times New Roman"/>
          <w:sz w:val="24"/>
          <w:szCs w:val="24"/>
        </w:rPr>
        <w:t xml:space="preserve">lectura de </w:t>
      </w:r>
      <w:r w:rsidR="005C1C74" w:rsidRPr="0008486F">
        <w:rPr>
          <w:rFonts w:ascii="Times New Roman" w:hAnsi="Times New Roman"/>
          <w:sz w:val="24"/>
          <w:szCs w:val="24"/>
        </w:rPr>
        <w:t>ΔΙ</w:t>
      </w:r>
      <w:r w:rsidR="00181AE8" w:rsidRPr="0008486F">
        <w:rPr>
          <w:rFonts w:ascii="Times New Roman" w:hAnsi="Times New Roman"/>
          <w:sz w:val="24"/>
          <w:szCs w:val="24"/>
        </w:rPr>
        <w:t xml:space="preserve"> como abreviatura de un nombre personal, al igual que el caso de Κ respecto a </w:t>
      </w:r>
      <w:r w:rsidR="00181AE8" w:rsidRPr="005426CF">
        <w:rPr>
          <w:rFonts w:ascii="Times New Roman" w:hAnsi="Times New Roman"/>
          <w:sz w:val="24"/>
          <w:szCs w:val="24"/>
        </w:rPr>
        <w:t>Κιϲϲ</w:t>
      </w:r>
      <w:r w:rsidR="00181AE8" w:rsidRPr="0008486F">
        <w:rPr>
          <w:rFonts w:ascii="Times New Roman" w:hAnsi="Times New Roman"/>
          <w:sz w:val="24"/>
          <w:szCs w:val="24"/>
        </w:rPr>
        <w:t>(---).</w:t>
      </w:r>
    </w:p>
    <w:p w:rsidR="00B8787A" w:rsidRDefault="00B8787A" w:rsidP="00F34854">
      <w:pPr>
        <w:spacing w:after="0" w:line="360" w:lineRule="auto"/>
        <w:ind w:firstLine="709"/>
        <w:jc w:val="both"/>
        <w:rPr>
          <w:rFonts w:ascii="Times New Roman" w:hAnsi="Times New Roman"/>
          <w:sz w:val="24"/>
          <w:szCs w:val="24"/>
        </w:rPr>
      </w:pPr>
      <w:r>
        <w:rPr>
          <w:rFonts w:ascii="Times New Roman" w:hAnsi="Times New Roman"/>
          <w:sz w:val="24"/>
          <w:szCs w:val="24"/>
        </w:rPr>
        <w:t>En definitiva, se propone la codificación x?/X?/\N? para la inscripción 13 y x?/n?/\N? para la 14.</w:t>
      </w:r>
    </w:p>
    <w:p w:rsidR="00B8787A" w:rsidRPr="0055717A" w:rsidRDefault="00B8787A" w:rsidP="00F34854">
      <w:pPr>
        <w:spacing w:after="0" w:line="360" w:lineRule="auto"/>
        <w:ind w:firstLine="709"/>
        <w:jc w:val="both"/>
        <w:rPr>
          <w:rFonts w:ascii="Times New Roman" w:hAnsi="Times New Roman"/>
          <w:i/>
          <w:sz w:val="24"/>
          <w:szCs w:val="24"/>
        </w:rPr>
      </w:pPr>
      <w:r w:rsidRPr="0055717A">
        <w:rPr>
          <w:rFonts w:ascii="Times New Roman" w:hAnsi="Times New Roman"/>
          <w:i/>
          <w:sz w:val="24"/>
          <w:szCs w:val="24"/>
        </w:rPr>
        <w:t>4.5. Grupo 5</w:t>
      </w:r>
    </w:p>
    <w:p w:rsidR="00A01DC2" w:rsidRPr="0008486F" w:rsidRDefault="00E471B4" w:rsidP="00F34854">
      <w:pPr>
        <w:spacing w:after="0" w:line="360" w:lineRule="auto"/>
        <w:ind w:firstLine="709"/>
        <w:jc w:val="both"/>
        <w:rPr>
          <w:rFonts w:ascii="Times New Roman" w:hAnsi="Times New Roman"/>
          <w:sz w:val="24"/>
          <w:szCs w:val="24"/>
        </w:rPr>
      </w:pPr>
      <w:r w:rsidRPr="0008486F">
        <w:rPr>
          <w:rFonts w:ascii="Times New Roman" w:hAnsi="Times New Roman"/>
          <w:sz w:val="24"/>
          <w:szCs w:val="24"/>
        </w:rPr>
        <w:t xml:space="preserve">El grupo </w:t>
      </w:r>
      <w:r w:rsidR="00E435BE">
        <w:rPr>
          <w:rFonts w:ascii="Times New Roman" w:hAnsi="Times New Roman"/>
          <w:sz w:val="24"/>
          <w:szCs w:val="24"/>
        </w:rPr>
        <w:t xml:space="preserve">5 </w:t>
      </w:r>
      <w:r w:rsidRPr="0008486F">
        <w:rPr>
          <w:rFonts w:ascii="Times New Roman" w:hAnsi="Times New Roman"/>
          <w:sz w:val="24"/>
          <w:szCs w:val="24"/>
        </w:rPr>
        <w:t>se caracteriza por la presencia hipotética de dos nombres griegos, abreviados o desarrollados, y l</w:t>
      </w:r>
      <w:r w:rsidR="00E435BE">
        <w:rPr>
          <w:rFonts w:ascii="Times New Roman" w:hAnsi="Times New Roman"/>
          <w:sz w:val="24"/>
          <w:szCs w:val="24"/>
        </w:rPr>
        <w:t>o</w:t>
      </w:r>
      <w:r w:rsidRPr="0008486F">
        <w:rPr>
          <w:rFonts w:ascii="Times New Roman" w:hAnsi="Times New Roman"/>
          <w:sz w:val="24"/>
          <w:szCs w:val="24"/>
        </w:rPr>
        <w:t xml:space="preserve">s correspondientes </w:t>
      </w:r>
      <w:r w:rsidR="00E435BE" w:rsidRPr="00E435BE">
        <w:rPr>
          <w:rFonts w:ascii="Times New Roman" w:hAnsi="Times New Roman"/>
          <w:i/>
          <w:sz w:val="24"/>
          <w:szCs w:val="24"/>
        </w:rPr>
        <w:t>tituli</w:t>
      </w:r>
      <w:r w:rsidR="00E435BE">
        <w:rPr>
          <w:rFonts w:ascii="Times New Roman" w:hAnsi="Times New Roman"/>
          <w:sz w:val="24"/>
          <w:szCs w:val="24"/>
        </w:rPr>
        <w:t xml:space="preserve"> CAR y TICO</w:t>
      </w:r>
      <w:r w:rsidRPr="0008486F">
        <w:rPr>
          <w:rFonts w:ascii="Times New Roman" w:hAnsi="Times New Roman"/>
          <w:sz w:val="24"/>
          <w:szCs w:val="24"/>
        </w:rPr>
        <w:t xml:space="preserve"> a continuación o </w:t>
      </w:r>
      <w:r w:rsidRPr="0008486F">
        <w:rPr>
          <w:rFonts w:ascii="Times New Roman" w:hAnsi="Times New Roman"/>
          <w:i/>
          <w:sz w:val="24"/>
          <w:szCs w:val="24"/>
        </w:rPr>
        <w:t>ab altera parte</w:t>
      </w:r>
      <w:r w:rsidRPr="0008486F">
        <w:rPr>
          <w:rFonts w:ascii="Times New Roman" w:hAnsi="Times New Roman"/>
          <w:sz w:val="24"/>
          <w:szCs w:val="24"/>
        </w:rPr>
        <w:t xml:space="preserve">. La primera cuestión a debatir es la naturaleza de la partícula ΔΙ. </w:t>
      </w:r>
      <w:r w:rsidR="000A0465" w:rsidRPr="0008486F">
        <w:rPr>
          <w:rFonts w:ascii="Times New Roman" w:hAnsi="Times New Roman"/>
          <w:sz w:val="24"/>
          <w:szCs w:val="24"/>
        </w:rPr>
        <w:t xml:space="preserve">En los casos </w:t>
      </w:r>
      <w:r w:rsidR="00E435BE">
        <w:rPr>
          <w:rFonts w:ascii="Times New Roman" w:hAnsi="Times New Roman"/>
          <w:sz w:val="24"/>
          <w:szCs w:val="24"/>
        </w:rPr>
        <w:t>21-25</w:t>
      </w:r>
      <w:r w:rsidR="000A0465" w:rsidRPr="0008486F">
        <w:rPr>
          <w:rFonts w:ascii="Times New Roman" w:hAnsi="Times New Roman"/>
          <w:sz w:val="24"/>
          <w:szCs w:val="24"/>
        </w:rPr>
        <w:t xml:space="preserve"> va seguida de un nombre, por lo que se ha valorado la posibilidad de que se tratara de la preposición </w:t>
      </w:r>
      <w:r w:rsidR="000A0465" w:rsidRPr="005426CF">
        <w:rPr>
          <w:rFonts w:ascii="Times New Roman" w:hAnsi="Times New Roman"/>
          <w:sz w:val="24"/>
          <w:szCs w:val="24"/>
        </w:rPr>
        <w:t>δι</w:t>
      </w:r>
      <w:r w:rsidR="000A0465" w:rsidRPr="0008486F">
        <w:rPr>
          <w:rFonts w:ascii="Times New Roman" w:hAnsi="Times New Roman"/>
          <w:sz w:val="24"/>
          <w:szCs w:val="24"/>
        </w:rPr>
        <w:t>(</w:t>
      </w:r>
      <w:r w:rsidR="00EE03D8">
        <w:rPr>
          <w:rFonts w:ascii="Times New Roman" w:hAnsi="Times New Roman"/>
          <w:sz w:val="24"/>
          <w:szCs w:val="24"/>
        </w:rPr>
        <w:t>ά</w:t>
      </w:r>
      <w:r w:rsidR="000A0465" w:rsidRPr="0008486F">
        <w:rPr>
          <w:rFonts w:ascii="Times New Roman" w:hAnsi="Times New Roman"/>
          <w:sz w:val="24"/>
          <w:szCs w:val="24"/>
        </w:rPr>
        <w:t>)</w:t>
      </w:r>
      <w:r w:rsidR="00E435BE">
        <w:rPr>
          <w:rFonts w:ascii="Times New Roman" w:hAnsi="Times New Roman"/>
          <w:sz w:val="24"/>
          <w:szCs w:val="24"/>
        </w:rPr>
        <w:t xml:space="preserve">. Tal preposición, </w:t>
      </w:r>
      <w:r w:rsidR="000A0465" w:rsidRPr="0008486F">
        <w:rPr>
          <w:rFonts w:ascii="Times New Roman" w:hAnsi="Times New Roman"/>
          <w:sz w:val="24"/>
          <w:szCs w:val="24"/>
        </w:rPr>
        <w:t xml:space="preserve">acompañada de un </w:t>
      </w:r>
      <w:r w:rsidR="00E435BE">
        <w:rPr>
          <w:rFonts w:ascii="Times New Roman" w:hAnsi="Times New Roman"/>
          <w:sz w:val="24"/>
          <w:szCs w:val="24"/>
        </w:rPr>
        <w:t xml:space="preserve">nombre en </w:t>
      </w:r>
      <w:r w:rsidR="000A0465" w:rsidRPr="0008486F">
        <w:rPr>
          <w:rFonts w:ascii="Times New Roman" w:hAnsi="Times New Roman"/>
          <w:sz w:val="24"/>
          <w:szCs w:val="24"/>
        </w:rPr>
        <w:t>genitivo</w:t>
      </w:r>
      <w:r w:rsidR="00E435BE">
        <w:rPr>
          <w:rFonts w:ascii="Times New Roman" w:hAnsi="Times New Roman"/>
          <w:sz w:val="24"/>
          <w:szCs w:val="24"/>
        </w:rPr>
        <w:t>,</w:t>
      </w:r>
      <w:r w:rsidR="000A0465" w:rsidRPr="0008486F">
        <w:rPr>
          <w:rFonts w:ascii="Times New Roman" w:hAnsi="Times New Roman"/>
          <w:sz w:val="24"/>
          <w:szCs w:val="24"/>
        </w:rPr>
        <w:t xml:space="preserve"> se traduce como “a través de”. </w:t>
      </w:r>
      <w:r w:rsidR="00CC59A2" w:rsidRPr="0008486F">
        <w:rPr>
          <w:rFonts w:ascii="Times New Roman" w:hAnsi="Times New Roman"/>
          <w:sz w:val="24"/>
          <w:szCs w:val="24"/>
        </w:rPr>
        <w:t>Las partículas ΔΙΑ y ΔΙ se han localizado sobre 24 ánforas de la base de datos utilizada</w:t>
      </w:r>
      <w:r w:rsidR="00721865" w:rsidRPr="0008486F">
        <w:rPr>
          <w:rStyle w:val="FootnoteReference"/>
          <w:rFonts w:ascii="Times New Roman" w:hAnsi="Times New Roman"/>
          <w:sz w:val="24"/>
          <w:szCs w:val="24"/>
        </w:rPr>
        <w:footnoteReference w:id="69"/>
      </w:r>
      <w:r w:rsidR="00CC59A2" w:rsidRPr="0008486F">
        <w:rPr>
          <w:rFonts w:ascii="Times New Roman" w:hAnsi="Times New Roman"/>
          <w:sz w:val="24"/>
          <w:szCs w:val="24"/>
        </w:rPr>
        <w:t xml:space="preserve">. Aparece desarrollada en varios casos, seguida en la misma línea de </w:t>
      </w:r>
      <w:r w:rsidR="000F4637">
        <w:rPr>
          <w:rFonts w:ascii="Times New Roman" w:hAnsi="Times New Roman"/>
          <w:sz w:val="24"/>
          <w:szCs w:val="24"/>
        </w:rPr>
        <w:t xml:space="preserve">la inscripción </w:t>
      </w:r>
      <w:r w:rsidR="00CC59A2" w:rsidRPr="0008486F">
        <w:rPr>
          <w:rFonts w:ascii="Times New Roman" w:hAnsi="Times New Roman"/>
          <w:sz w:val="24"/>
          <w:szCs w:val="24"/>
        </w:rPr>
        <w:t>por un nombre en genitivo</w:t>
      </w:r>
      <w:r w:rsidR="00B12A29" w:rsidRPr="0008486F">
        <w:rPr>
          <w:rStyle w:val="FootnoteReference"/>
          <w:rFonts w:ascii="Times New Roman" w:hAnsi="Times New Roman"/>
          <w:sz w:val="24"/>
          <w:szCs w:val="24"/>
        </w:rPr>
        <w:footnoteReference w:id="70"/>
      </w:r>
      <w:r w:rsidR="00CC59A2" w:rsidRPr="0008486F">
        <w:rPr>
          <w:rFonts w:ascii="Times New Roman" w:hAnsi="Times New Roman"/>
          <w:sz w:val="24"/>
          <w:szCs w:val="24"/>
        </w:rPr>
        <w:t>. Las posibles abreviaturas responden a la presencia de un nombre comenzado por Α</w:t>
      </w:r>
      <w:r w:rsidR="00A429A2" w:rsidRPr="0008486F">
        <w:rPr>
          <w:rStyle w:val="FootnoteReference"/>
          <w:rFonts w:ascii="Times New Roman" w:hAnsi="Times New Roman"/>
          <w:sz w:val="24"/>
          <w:szCs w:val="24"/>
        </w:rPr>
        <w:footnoteReference w:id="71"/>
      </w:r>
      <w:r w:rsidR="00CC59A2" w:rsidRPr="0008486F">
        <w:rPr>
          <w:rFonts w:ascii="Times New Roman" w:hAnsi="Times New Roman"/>
          <w:sz w:val="24"/>
          <w:szCs w:val="24"/>
        </w:rPr>
        <w:t xml:space="preserve">. </w:t>
      </w:r>
      <w:r w:rsidR="00EA3F35" w:rsidRPr="0008486F">
        <w:rPr>
          <w:rFonts w:ascii="Times New Roman" w:hAnsi="Times New Roman"/>
          <w:sz w:val="24"/>
          <w:szCs w:val="24"/>
        </w:rPr>
        <w:t xml:space="preserve">Así pues, es probable que los casos analizados </w:t>
      </w:r>
      <w:r w:rsidR="00B56051">
        <w:rPr>
          <w:rFonts w:ascii="Times New Roman" w:hAnsi="Times New Roman"/>
          <w:sz w:val="24"/>
          <w:szCs w:val="24"/>
        </w:rPr>
        <w:t xml:space="preserve">-21-25- </w:t>
      </w:r>
      <w:r w:rsidR="00EA3F35" w:rsidRPr="0008486F">
        <w:rPr>
          <w:rFonts w:ascii="Times New Roman" w:hAnsi="Times New Roman"/>
          <w:sz w:val="24"/>
          <w:szCs w:val="24"/>
        </w:rPr>
        <w:t>sean abreviaturas</w:t>
      </w:r>
      <w:r w:rsidR="002B1798" w:rsidRPr="0008486F">
        <w:rPr>
          <w:rFonts w:ascii="Times New Roman" w:hAnsi="Times New Roman"/>
          <w:sz w:val="24"/>
          <w:szCs w:val="24"/>
        </w:rPr>
        <w:t xml:space="preserve"> de nombres, colocados en una línea de texto independiente</w:t>
      </w:r>
      <w:r w:rsidR="00B8787A">
        <w:rPr>
          <w:rFonts w:ascii="Times New Roman" w:hAnsi="Times New Roman"/>
          <w:sz w:val="24"/>
          <w:szCs w:val="24"/>
        </w:rPr>
        <w:t>.</w:t>
      </w:r>
    </w:p>
    <w:p w:rsidR="00B56051" w:rsidRDefault="00B641B9" w:rsidP="00F34854">
      <w:pPr>
        <w:spacing w:after="0" w:line="360" w:lineRule="auto"/>
        <w:ind w:firstLine="709"/>
        <w:jc w:val="both"/>
        <w:rPr>
          <w:rFonts w:ascii="Times New Roman" w:hAnsi="Times New Roman"/>
          <w:sz w:val="24"/>
          <w:szCs w:val="24"/>
        </w:rPr>
      </w:pPr>
      <w:r w:rsidRPr="0008486F">
        <w:rPr>
          <w:rFonts w:ascii="Times New Roman" w:hAnsi="Times New Roman"/>
          <w:sz w:val="24"/>
          <w:szCs w:val="24"/>
        </w:rPr>
        <w:t xml:space="preserve">Entre los </w:t>
      </w:r>
      <w:r w:rsidRPr="0008486F">
        <w:rPr>
          <w:rFonts w:ascii="Times New Roman" w:hAnsi="Times New Roman"/>
          <w:i/>
          <w:sz w:val="24"/>
          <w:szCs w:val="24"/>
        </w:rPr>
        <w:t>concepta</w:t>
      </w:r>
      <w:r w:rsidRPr="0008486F">
        <w:rPr>
          <w:rFonts w:ascii="Times New Roman" w:hAnsi="Times New Roman"/>
          <w:sz w:val="24"/>
          <w:szCs w:val="24"/>
        </w:rPr>
        <w:t xml:space="preserve"> </w:t>
      </w:r>
      <w:r w:rsidR="00A01B37" w:rsidRPr="0008486F">
        <w:rPr>
          <w:rFonts w:ascii="Times New Roman" w:hAnsi="Times New Roman"/>
          <w:sz w:val="24"/>
          <w:szCs w:val="24"/>
        </w:rPr>
        <w:t xml:space="preserve">que comienzan por ΔΙ existen algunos de lectura dudosa o </w:t>
      </w:r>
      <w:r w:rsidR="00A9646B">
        <w:rPr>
          <w:rFonts w:ascii="Times New Roman" w:hAnsi="Times New Roman"/>
          <w:sz w:val="24"/>
          <w:szCs w:val="24"/>
        </w:rPr>
        <w:t xml:space="preserve">cuyas variantes se constatan en un </w:t>
      </w:r>
      <w:r w:rsidR="00A01B37" w:rsidRPr="0008486F">
        <w:rPr>
          <w:rFonts w:ascii="Times New Roman" w:hAnsi="Times New Roman"/>
          <w:sz w:val="24"/>
          <w:szCs w:val="24"/>
        </w:rPr>
        <w:t>número reducido</w:t>
      </w:r>
      <w:r w:rsidR="00A9646B">
        <w:rPr>
          <w:rFonts w:ascii="Times New Roman" w:hAnsi="Times New Roman"/>
          <w:sz w:val="24"/>
          <w:szCs w:val="24"/>
        </w:rPr>
        <w:t xml:space="preserve"> de ocasiones</w:t>
      </w:r>
      <w:r w:rsidR="002B1798" w:rsidRPr="0008486F">
        <w:rPr>
          <w:rStyle w:val="FootnoteReference"/>
          <w:rFonts w:ascii="Times New Roman" w:hAnsi="Times New Roman"/>
          <w:sz w:val="24"/>
          <w:szCs w:val="24"/>
        </w:rPr>
        <w:footnoteReference w:id="72"/>
      </w:r>
      <w:r w:rsidR="00A9646B">
        <w:rPr>
          <w:rFonts w:ascii="Times New Roman" w:hAnsi="Times New Roman"/>
          <w:sz w:val="24"/>
          <w:szCs w:val="24"/>
        </w:rPr>
        <w:t>. Por otro lado se halla una mayoría de casos</w:t>
      </w:r>
      <w:r w:rsidR="00A01B37" w:rsidRPr="0008486F">
        <w:rPr>
          <w:rFonts w:ascii="Times New Roman" w:hAnsi="Times New Roman"/>
          <w:sz w:val="24"/>
          <w:szCs w:val="24"/>
        </w:rPr>
        <w:t xml:space="preserve"> constituida por los nombres Διοκλ</w:t>
      </w:r>
      <w:r w:rsidR="00B56051">
        <w:rPr>
          <w:rFonts w:ascii="Times New Roman" w:hAnsi="Times New Roman"/>
          <w:sz w:val="24"/>
          <w:szCs w:val="24"/>
        </w:rPr>
        <w:t>ῆ</w:t>
      </w:r>
      <w:r w:rsidR="00C06EBF" w:rsidRPr="0008486F">
        <w:rPr>
          <w:rFonts w:ascii="Times New Roman" w:hAnsi="Times New Roman"/>
          <w:sz w:val="24"/>
          <w:szCs w:val="24"/>
        </w:rPr>
        <w:t>ς</w:t>
      </w:r>
      <w:r w:rsidR="004D53EE" w:rsidRPr="0008486F">
        <w:rPr>
          <w:rStyle w:val="FootnoteReference"/>
          <w:rFonts w:ascii="Times New Roman" w:hAnsi="Times New Roman"/>
          <w:sz w:val="24"/>
          <w:szCs w:val="24"/>
        </w:rPr>
        <w:footnoteReference w:id="73"/>
      </w:r>
      <w:r w:rsidR="00C06EBF" w:rsidRPr="0008486F">
        <w:rPr>
          <w:rFonts w:ascii="Times New Roman" w:hAnsi="Times New Roman"/>
          <w:sz w:val="24"/>
          <w:szCs w:val="24"/>
        </w:rPr>
        <w:t xml:space="preserve"> y Δι</w:t>
      </w:r>
      <w:r w:rsidR="00B56051">
        <w:rPr>
          <w:rFonts w:ascii="Times New Roman" w:hAnsi="Times New Roman"/>
          <w:sz w:val="24"/>
          <w:szCs w:val="24"/>
        </w:rPr>
        <w:t>ό</w:t>
      </w:r>
      <w:r w:rsidR="00C06EBF" w:rsidRPr="0008486F">
        <w:rPr>
          <w:rFonts w:ascii="Times New Roman" w:hAnsi="Times New Roman"/>
          <w:sz w:val="24"/>
          <w:szCs w:val="24"/>
        </w:rPr>
        <w:t>δωρος</w:t>
      </w:r>
      <w:r w:rsidR="006E485E" w:rsidRPr="0008486F">
        <w:rPr>
          <w:rStyle w:val="FootnoteReference"/>
          <w:rFonts w:ascii="Times New Roman" w:hAnsi="Times New Roman"/>
          <w:sz w:val="24"/>
          <w:szCs w:val="24"/>
        </w:rPr>
        <w:footnoteReference w:id="74"/>
      </w:r>
      <w:r w:rsidR="00C06EBF" w:rsidRPr="0008486F">
        <w:rPr>
          <w:rFonts w:ascii="Times New Roman" w:hAnsi="Times New Roman"/>
          <w:sz w:val="24"/>
          <w:szCs w:val="24"/>
        </w:rPr>
        <w:t xml:space="preserve">. Teniendo en cuenta que el primero de ellos </w:t>
      </w:r>
      <w:r w:rsidR="004D3728" w:rsidRPr="0008486F">
        <w:rPr>
          <w:rFonts w:ascii="Times New Roman" w:hAnsi="Times New Roman"/>
          <w:sz w:val="24"/>
          <w:szCs w:val="24"/>
        </w:rPr>
        <w:t xml:space="preserve">ya </w:t>
      </w:r>
      <w:r w:rsidR="004D53EE" w:rsidRPr="0008486F">
        <w:rPr>
          <w:rFonts w:ascii="Times New Roman" w:hAnsi="Times New Roman"/>
          <w:sz w:val="24"/>
          <w:szCs w:val="24"/>
        </w:rPr>
        <w:t>está</w:t>
      </w:r>
      <w:r w:rsidR="00C06EBF" w:rsidRPr="0008486F">
        <w:rPr>
          <w:rFonts w:ascii="Times New Roman" w:hAnsi="Times New Roman"/>
          <w:sz w:val="24"/>
          <w:szCs w:val="24"/>
        </w:rPr>
        <w:t xml:space="preserve"> mencionado </w:t>
      </w:r>
      <w:r w:rsidR="004D3728" w:rsidRPr="0008486F">
        <w:rPr>
          <w:rFonts w:ascii="Times New Roman" w:hAnsi="Times New Roman"/>
          <w:sz w:val="24"/>
          <w:szCs w:val="24"/>
        </w:rPr>
        <w:t xml:space="preserve">en los </w:t>
      </w:r>
      <w:r w:rsidR="004D3728" w:rsidRPr="0008486F">
        <w:rPr>
          <w:rFonts w:ascii="Times New Roman" w:hAnsi="Times New Roman"/>
          <w:i/>
          <w:sz w:val="24"/>
          <w:szCs w:val="24"/>
        </w:rPr>
        <w:t>tituli</w:t>
      </w:r>
      <w:r w:rsidR="004D3728" w:rsidRPr="0008486F">
        <w:rPr>
          <w:rFonts w:ascii="Times New Roman" w:hAnsi="Times New Roman"/>
          <w:sz w:val="24"/>
          <w:szCs w:val="24"/>
        </w:rPr>
        <w:t xml:space="preserve"> analizados </w:t>
      </w:r>
      <w:r w:rsidR="00B56051">
        <w:rPr>
          <w:rFonts w:ascii="Times New Roman" w:hAnsi="Times New Roman"/>
          <w:sz w:val="24"/>
          <w:szCs w:val="24"/>
        </w:rPr>
        <w:t>-23-24-</w:t>
      </w:r>
      <w:r w:rsidR="00C06EBF" w:rsidRPr="0008486F">
        <w:rPr>
          <w:rFonts w:ascii="Times New Roman" w:hAnsi="Times New Roman"/>
          <w:sz w:val="24"/>
          <w:szCs w:val="24"/>
        </w:rPr>
        <w:t xml:space="preserve">, podría tratarse del segundo. </w:t>
      </w:r>
      <w:r w:rsidR="00854329" w:rsidRPr="0008486F">
        <w:rPr>
          <w:rFonts w:ascii="Times New Roman" w:hAnsi="Times New Roman"/>
          <w:sz w:val="24"/>
          <w:szCs w:val="24"/>
        </w:rPr>
        <w:t xml:space="preserve">Ambos </w:t>
      </w:r>
      <w:r w:rsidR="00C06EBF" w:rsidRPr="0008486F">
        <w:rPr>
          <w:rFonts w:ascii="Times New Roman" w:hAnsi="Times New Roman"/>
          <w:sz w:val="24"/>
          <w:szCs w:val="24"/>
        </w:rPr>
        <w:t>personajes aparecen vinculados en 2</w:t>
      </w:r>
      <w:r w:rsidR="004D3728" w:rsidRPr="0008486F">
        <w:rPr>
          <w:rFonts w:ascii="Times New Roman" w:hAnsi="Times New Roman"/>
          <w:sz w:val="24"/>
          <w:szCs w:val="24"/>
        </w:rPr>
        <w:t>4</w:t>
      </w:r>
      <w:r w:rsidR="00C06EBF" w:rsidRPr="0008486F">
        <w:rPr>
          <w:rFonts w:ascii="Times New Roman" w:hAnsi="Times New Roman"/>
          <w:sz w:val="24"/>
          <w:szCs w:val="24"/>
        </w:rPr>
        <w:t xml:space="preserve"> ocasiones</w:t>
      </w:r>
      <w:r w:rsidR="00854329" w:rsidRPr="0008486F">
        <w:rPr>
          <w:rFonts w:ascii="Times New Roman" w:hAnsi="Times New Roman"/>
          <w:sz w:val="24"/>
          <w:szCs w:val="24"/>
        </w:rPr>
        <w:t xml:space="preserve"> sobre ánforas de las formas PO12-13</w:t>
      </w:r>
      <w:r w:rsidR="00C06EBF" w:rsidRPr="0008486F">
        <w:rPr>
          <w:rFonts w:ascii="Times New Roman" w:hAnsi="Times New Roman"/>
          <w:sz w:val="24"/>
          <w:szCs w:val="24"/>
        </w:rPr>
        <w:t xml:space="preserve">. </w:t>
      </w:r>
    </w:p>
    <w:p w:rsidR="0000017E" w:rsidRPr="0008486F" w:rsidRDefault="00C06EBF" w:rsidP="00F34854">
      <w:pPr>
        <w:spacing w:after="0" w:line="360" w:lineRule="auto"/>
        <w:ind w:firstLine="709"/>
        <w:jc w:val="both"/>
        <w:rPr>
          <w:rFonts w:ascii="Times New Roman" w:hAnsi="Times New Roman"/>
          <w:sz w:val="24"/>
          <w:szCs w:val="24"/>
        </w:rPr>
      </w:pPr>
      <w:r w:rsidRPr="0008486F">
        <w:rPr>
          <w:rFonts w:ascii="Times New Roman" w:hAnsi="Times New Roman"/>
          <w:sz w:val="24"/>
          <w:szCs w:val="24"/>
        </w:rPr>
        <w:t>La aparición de estos personajes sobre las citadas formas se explica por el origen oriental de ambas</w:t>
      </w:r>
      <w:r w:rsidR="00854329" w:rsidRPr="0008486F">
        <w:rPr>
          <w:rFonts w:ascii="Times New Roman" w:hAnsi="Times New Roman"/>
          <w:sz w:val="24"/>
          <w:szCs w:val="24"/>
        </w:rPr>
        <w:t>. La PO13 es de procedencia cilicia, según se ha comentado, mientras que algunas PO12 con tales inscripciones se han podido identificar como Dressel 2-4 egipcias</w:t>
      </w:r>
      <w:r w:rsidR="004D3728" w:rsidRPr="0008486F">
        <w:rPr>
          <w:rStyle w:val="FootnoteReference"/>
          <w:rFonts w:ascii="Times New Roman" w:hAnsi="Times New Roman"/>
          <w:sz w:val="24"/>
          <w:szCs w:val="24"/>
        </w:rPr>
        <w:footnoteReference w:id="75"/>
      </w:r>
      <w:r w:rsidR="00854329" w:rsidRPr="0008486F">
        <w:rPr>
          <w:rFonts w:ascii="Times New Roman" w:hAnsi="Times New Roman"/>
          <w:sz w:val="24"/>
          <w:szCs w:val="24"/>
        </w:rPr>
        <w:t>.</w:t>
      </w:r>
      <w:r w:rsidR="00B8788C" w:rsidRPr="0008486F">
        <w:rPr>
          <w:rFonts w:ascii="Times New Roman" w:hAnsi="Times New Roman"/>
          <w:sz w:val="24"/>
          <w:szCs w:val="24"/>
        </w:rPr>
        <w:t xml:space="preserve"> </w:t>
      </w:r>
      <w:r w:rsidR="00B56051" w:rsidRPr="00B56051">
        <w:rPr>
          <w:rFonts w:ascii="Times New Roman" w:hAnsi="Times New Roman"/>
          <w:sz w:val="24"/>
          <w:szCs w:val="24"/>
        </w:rPr>
        <w:t>Para valorar la</w:t>
      </w:r>
      <w:r w:rsidR="00B56051">
        <w:rPr>
          <w:rFonts w:ascii="Times New Roman" w:hAnsi="Times New Roman"/>
          <w:sz w:val="24"/>
          <w:szCs w:val="24"/>
        </w:rPr>
        <w:t>s</w:t>
      </w:r>
      <w:r w:rsidR="00B56051" w:rsidRPr="00B56051">
        <w:rPr>
          <w:rFonts w:ascii="Times New Roman" w:hAnsi="Times New Roman"/>
          <w:sz w:val="24"/>
          <w:szCs w:val="24"/>
        </w:rPr>
        <w:t xml:space="preserve"> implicaciones comerciales de tales coincidencias epigráficas, cabe considerar la producción local y la importación de Dressel 2-4 egipcias a Cilicia. La producción de Dressel 4, “pseudo-Cos en cloche” (similar a PO13) y posibles PO05 en un taller de Aigéai (Cilicia Pedia) apunta hacia una zona común para la procedencia de los </w:t>
      </w:r>
      <w:r w:rsidR="00B56051" w:rsidRPr="00B56051">
        <w:rPr>
          <w:rFonts w:ascii="Times New Roman" w:hAnsi="Times New Roman"/>
          <w:i/>
          <w:sz w:val="24"/>
          <w:szCs w:val="24"/>
        </w:rPr>
        <w:t>tituli</w:t>
      </w:r>
      <w:r w:rsidR="00B56051" w:rsidRPr="00B56051">
        <w:rPr>
          <w:rFonts w:ascii="Times New Roman" w:hAnsi="Times New Roman"/>
          <w:sz w:val="24"/>
          <w:szCs w:val="24"/>
        </w:rPr>
        <w:t xml:space="preserve"> comentados</w:t>
      </w:r>
      <w:r w:rsidR="00B56051">
        <w:rPr>
          <w:rStyle w:val="FootnoteReference"/>
          <w:rFonts w:ascii="Times New Roman" w:hAnsi="Times New Roman"/>
          <w:sz w:val="24"/>
          <w:szCs w:val="24"/>
        </w:rPr>
        <w:footnoteReference w:id="76"/>
      </w:r>
      <w:r w:rsidR="00B56051" w:rsidRPr="00B56051">
        <w:rPr>
          <w:rFonts w:ascii="Times New Roman" w:hAnsi="Times New Roman"/>
          <w:sz w:val="24"/>
          <w:szCs w:val="24"/>
        </w:rPr>
        <w:t>. También las diferencias formales entre las PO12 documentadas por Panella y Fano podrían remitir a la dualidad de focos productivos, pes</w:t>
      </w:r>
      <w:r w:rsidR="00B56051">
        <w:rPr>
          <w:rFonts w:ascii="Times New Roman" w:hAnsi="Times New Roman"/>
          <w:sz w:val="24"/>
          <w:szCs w:val="24"/>
        </w:rPr>
        <w:t xml:space="preserve">e a que sus grupos anfóricos 5 </w:t>
      </w:r>
      <w:r w:rsidR="00B56051" w:rsidRPr="00B56051">
        <w:rPr>
          <w:rFonts w:ascii="Times New Roman" w:hAnsi="Times New Roman"/>
          <w:sz w:val="24"/>
          <w:szCs w:val="24"/>
        </w:rPr>
        <w:t>y 7 poseen el mismo tipo de arcilla</w:t>
      </w:r>
      <w:r w:rsidR="00B56051">
        <w:rPr>
          <w:rStyle w:val="FootnoteReference"/>
          <w:rFonts w:ascii="Times New Roman" w:hAnsi="Times New Roman"/>
          <w:sz w:val="24"/>
          <w:szCs w:val="24"/>
        </w:rPr>
        <w:footnoteReference w:id="77"/>
      </w:r>
      <w:r w:rsidR="00B56051" w:rsidRPr="00B56051">
        <w:rPr>
          <w:rFonts w:ascii="Times New Roman" w:hAnsi="Times New Roman"/>
          <w:sz w:val="24"/>
          <w:szCs w:val="24"/>
        </w:rPr>
        <w:t>.</w:t>
      </w:r>
      <w:r w:rsidR="00B56051">
        <w:rPr>
          <w:rFonts w:ascii="Times New Roman" w:hAnsi="Times New Roman"/>
          <w:sz w:val="24"/>
          <w:szCs w:val="24"/>
        </w:rPr>
        <w:t xml:space="preserve"> </w:t>
      </w:r>
      <w:r w:rsidR="00B8788C" w:rsidRPr="00B56051">
        <w:rPr>
          <w:rFonts w:ascii="Times New Roman" w:hAnsi="Times New Roman"/>
          <w:sz w:val="24"/>
          <w:szCs w:val="24"/>
        </w:rPr>
        <w:t>Además</w:t>
      </w:r>
      <w:r w:rsidR="00B8788C" w:rsidRPr="0008486F">
        <w:rPr>
          <w:rFonts w:ascii="Times New Roman" w:hAnsi="Times New Roman"/>
          <w:sz w:val="24"/>
          <w:szCs w:val="24"/>
        </w:rPr>
        <w:t xml:space="preserve">, los mismos </w:t>
      </w:r>
      <w:r w:rsidR="00B8788C" w:rsidRPr="0008486F">
        <w:rPr>
          <w:rFonts w:ascii="Times New Roman" w:hAnsi="Times New Roman"/>
          <w:i/>
          <w:sz w:val="24"/>
          <w:szCs w:val="24"/>
        </w:rPr>
        <w:t>tituli</w:t>
      </w:r>
      <w:r w:rsidR="00B8788C" w:rsidRPr="0008486F">
        <w:rPr>
          <w:rFonts w:ascii="Times New Roman" w:hAnsi="Times New Roman"/>
          <w:sz w:val="24"/>
          <w:szCs w:val="24"/>
        </w:rPr>
        <w:t xml:space="preserve"> en </w:t>
      </w:r>
      <w:r w:rsidR="00B2694E">
        <w:rPr>
          <w:rFonts w:ascii="Times New Roman" w:hAnsi="Times New Roman"/>
          <w:i/>
          <w:sz w:val="24"/>
          <w:szCs w:val="24"/>
        </w:rPr>
        <w:t>g</w:t>
      </w:r>
      <w:r w:rsidR="00833DFA" w:rsidRPr="00833DFA">
        <w:rPr>
          <w:rFonts w:ascii="Times New Roman" w:hAnsi="Times New Roman"/>
          <w:i/>
          <w:sz w:val="24"/>
          <w:szCs w:val="24"/>
        </w:rPr>
        <w:t>ilvus</w:t>
      </w:r>
      <w:r w:rsidR="00275768" w:rsidRPr="0008486F">
        <w:rPr>
          <w:rFonts w:ascii="Times New Roman" w:hAnsi="Times New Roman"/>
          <w:sz w:val="24"/>
          <w:szCs w:val="24"/>
        </w:rPr>
        <w:t xml:space="preserve"> </w:t>
      </w:r>
      <w:r w:rsidR="00CF1913" w:rsidRPr="00CE6195">
        <w:rPr>
          <w:rFonts w:ascii="Times New Roman" w:hAnsi="Times New Roman"/>
          <w:sz w:val="24"/>
          <w:szCs w:val="24"/>
        </w:rPr>
        <w:t>Μ</w:t>
      </w:r>
      <w:r w:rsidR="00193D34">
        <w:rPr>
          <w:rStyle w:val="FootnoteReference"/>
          <w:rFonts w:ascii="Times New Roman" w:hAnsi="Times New Roman"/>
          <w:sz w:val="24"/>
          <w:szCs w:val="24"/>
        </w:rPr>
        <w:footnoteReference w:id="78"/>
      </w:r>
      <w:r w:rsidR="00CF1913" w:rsidRPr="00CE6195">
        <w:rPr>
          <w:rFonts w:ascii="Times New Roman" w:hAnsi="Times New Roman"/>
          <w:sz w:val="24"/>
          <w:szCs w:val="24"/>
        </w:rPr>
        <w:t>, Ν</w:t>
      </w:r>
      <w:r w:rsidR="00193D34">
        <w:rPr>
          <w:rStyle w:val="FootnoteReference"/>
          <w:rFonts w:ascii="Times New Roman" w:hAnsi="Times New Roman"/>
          <w:sz w:val="24"/>
          <w:szCs w:val="24"/>
        </w:rPr>
        <w:footnoteReference w:id="79"/>
      </w:r>
      <w:r w:rsidR="00CF1913" w:rsidRPr="00CE6195">
        <w:rPr>
          <w:rFonts w:ascii="Times New Roman" w:hAnsi="Times New Roman"/>
          <w:sz w:val="24"/>
          <w:szCs w:val="24"/>
        </w:rPr>
        <w:t xml:space="preserve"> y ΑΠ</w:t>
      </w:r>
      <w:r w:rsidR="00296322">
        <w:rPr>
          <w:rStyle w:val="FootnoteReference"/>
          <w:rFonts w:ascii="Times New Roman" w:hAnsi="Times New Roman"/>
          <w:sz w:val="24"/>
          <w:szCs w:val="24"/>
        </w:rPr>
        <w:footnoteReference w:id="80"/>
      </w:r>
      <w:r w:rsidR="00CF1913" w:rsidRPr="00CE6195">
        <w:rPr>
          <w:rFonts w:ascii="Times New Roman" w:hAnsi="Times New Roman"/>
          <w:sz w:val="24"/>
          <w:szCs w:val="24"/>
        </w:rPr>
        <w:t xml:space="preserve"> </w:t>
      </w:r>
      <w:r w:rsidR="00CE6195">
        <w:rPr>
          <w:rFonts w:ascii="Times New Roman" w:hAnsi="Times New Roman"/>
          <w:sz w:val="24"/>
          <w:szCs w:val="24"/>
        </w:rPr>
        <w:t>se repiten sobre ambas formas</w:t>
      </w:r>
      <w:r w:rsidR="00275768" w:rsidRPr="0008486F">
        <w:rPr>
          <w:rFonts w:ascii="Times New Roman" w:hAnsi="Times New Roman"/>
          <w:sz w:val="24"/>
          <w:szCs w:val="24"/>
        </w:rPr>
        <w:t>.</w:t>
      </w:r>
      <w:r w:rsidR="004334EC" w:rsidRPr="0008486F">
        <w:rPr>
          <w:rFonts w:ascii="Times New Roman" w:hAnsi="Times New Roman"/>
          <w:sz w:val="24"/>
          <w:szCs w:val="24"/>
        </w:rPr>
        <w:t xml:space="preserve"> Los </w:t>
      </w:r>
      <w:r w:rsidR="004334EC" w:rsidRPr="0008486F">
        <w:rPr>
          <w:rFonts w:ascii="Times New Roman" w:hAnsi="Times New Roman"/>
          <w:i/>
          <w:sz w:val="24"/>
          <w:szCs w:val="24"/>
        </w:rPr>
        <w:t>tituli</w:t>
      </w:r>
      <w:r w:rsidR="004334EC" w:rsidRPr="0008486F">
        <w:rPr>
          <w:rFonts w:ascii="Times New Roman" w:hAnsi="Times New Roman"/>
          <w:sz w:val="24"/>
          <w:szCs w:val="24"/>
        </w:rPr>
        <w:t xml:space="preserve"> en </w:t>
      </w:r>
      <w:r w:rsidR="00E435BE">
        <w:rPr>
          <w:rFonts w:ascii="Times New Roman" w:hAnsi="Times New Roman"/>
          <w:i/>
          <w:sz w:val="24"/>
          <w:szCs w:val="24"/>
        </w:rPr>
        <w:t>g</w:t>
      </w:r>
      <w:r w:rsidR="00833DFA" w:rsidRPr="00833DFA">
        <w:rPr>
          <w:rFonts w:ascii="Times New Roman" w:hAnsi="Times New Roman"/>
          <w:i/>
          <w:sz w:val="24"/>
          <w:szCs w:val="24"/>
        </w:rPr>
        <w:t>ilvus</w:t>
      </w:r>
      <w:r w:rsidR="004334EC" w:rsidRPr="0008486F">
        <w:rPr>
          <w:rFonts w:ascii="Times New Roman" w:hAnsi="Times New Roman"/>
          <w:sz w:val="24"/>
          <w:szCs w:val="24"/>
        </w:rPr>
        <w:t xml:space="preserve"> </w:t>
      </w:r>
      <w:r w:rsidR="004334EC" w:rsidRPr="00B2694E">
        <w:rPr>
          <w:rFonts w:ascii="Times New Roman" w:hAnsi="Times New Roman"/>
          <w:sz w:val="24"/>
          <w:szCs w:val="24"/>
        </w:rPr>
        <w:t>Α</w:t>
      </w:r>
      <w:r w:rsidR="00B2694E" w:rsidRPr="00B2694E">
        <w:rPr>
          <w:rFonts w:ascii="Times New Roman" w:hAnsi="Times New Roman"/>
          <w:sz w:val="24"/>
          <w:szCs w:val="24"/>
        </w:rPr>
        <w:t>ΡΧΕ</w:t>
      </w:r>
      <w:r w:rsidR="004334EC" w:rsidRPr="0008486F">
        <w:rPr>
          <w:rFonts w:ascii="Times New Roman" w:hAnsi="Times New Roman"/>
          <w:sz w:val="24"/>
          <w:szCs w:val="24"/>
        </w:rPr>
        <w:t xml:space="preserve">, </w:t>
      </w:r>
      <w:r w:rsidR="004334EC" w:rsidRPr="00B2694E">
        <w:rPr>
          <w:rFonts w:ascii="Times New Roman" w:hAnsi="Times New Roman"/>
          <w:sz w:val="24"/>
          <w:szCs w:val="24"/>
        </w:rPr>
        <w:t>Α</w:t>
      </w:r>
      <w:r w:rsidR="00B2694E" w:rsidRPr="00B2694E">
        <w:rPr>
          <w:rFonts w:ascii="Times New Roman" w:hAnsi="Times New Roman"/>
          <w:sz w:val="24"/>
          <w:szCs w:val="24"/>
        </w:rPr>
        <w:t>ΡΧΕΛΑ</w:t>
      </w:r>
      <w:r w:rsidR="004334EC" w:rsidRPr="0008486F">
        <w:rPr>
          <w:rFonts w:ascii="Times New Roman" w:hAnsi="Times New Roman"/>
          <w:sz w:val="24"/>
          <w:szCs w:val="24"/>
        </w:rPr>
        <w:t xml:space="preserve"> y </w:t>
      </w:r>
      <w:r w:rsidR="004334EC" w:rsidRPr="00B2694E">
        <w:rPr>
          <w:rFonts w:ascii="Times New Roman" w:hAnsi="Times New Roman"/>
          <w:sz w:val="24"/>
          <w:szCs w:val="24"/>
        </w:rPr>
        <w:t>MIVR</w:t>
      </w:r>
      <w:r w:rsidR="004334EC" w:rsidRPr="0008486F">
        <w:rPr>
          <w:rFonts w:ascii="Times New Roman" w:hAnsi="Times New Roman"/>
          <w:sz w:val="24"/>
          <w:szCs w:val="24"/>
        </w:rPr>
        <w:t xml:space="preserve"> tambi</w:t>
      </w:r>
      <w:r w:rsidR="009F538C" w:rsidRPr="0008486F">
        <w:rPr>
          <w:rFonts w:ascii="Times New Roman" w:hAnsi="Times New Roman"/>
          <w:sz w:val="24"/>
          <w:szCs w:val="24"/>
        </w:rPr>
        <w:t>én se hallan sobre est</w:t>
      </w:r>
      <w:r w:rsidR="004334EC" w:rsidRPr="0008486F">
        <w:rPr>
          <w:rFonts w:ascii="Times New Roman" w:hAnsi="Times New Roman"/>
          <w:sz w:val="24"/>
          <w:szCs w:val="24"/>
        </w:rPr>
        <w:t>as Dressel 2-4 egipcias</w:t>
      </w:r>
      <w:r w:rsidR="009F538C" w:rsidRPr="0008486F">
        <w:rPr>
          <w:rStyle w:val="FootnoteReference"/>
          <w:rFonts w:ascii="Times New Roman" w:hAnsi="Times New Roman"/>
          <w:sz w:val="24"/>
          <w:szCs w:val="24"/>
        </w:rPr>
        <w:footnoteReference w:id="81"/>
      </w:r>
      <w:r w:rsidR="004334EC" w:rsidRPr="0008486F">
        <w:rPr>
          <w:rFonts w:ascii="Times New Roman" w:hAnsi="Times New Roman"/>
          <w:sz w:val="24"/>
          <w:szCs w:val="24"/>
        </w:rPr>
        <w:t>.</w:t>
      </w:r>
    </w:p>
    <w:p w:rsidR="00F677AF" w:rsidRPr="0008486F" w:rsidRDefault="00087CBD" w:rsidP="00F34854">
      <w:pPr>
        <w:spacing w:after="0" w:line="360" w:lineRule="auto"/>
        <w:ind w:firstLine="709"/>
        <w:jc w:val="both"/>
        <w:rPr>
          <w:rFonts w:ascii="Times New Roman" w:hAnsi="Times New Roman"/>
          <w:sz w:val="24"/>
          <w:szCs w:val="24"/>
        </w:rPr>
      </w:pPr>
      <w:r w:rsidRPr="0008486F">
        <w:rPr>
          <w:rFonts w:ascii="Times New Roman" w:hAnsi="Times New Roman"/>
          <w:sz w:val="24"/>
          <w:szCs w:val="24"/>
        </w:rPr>
        <w:t xml:space="preserve">Otra evidencia del empleo de abreviaturas en los nombres personales viene dada por el caso </w:t>
      </w:r>
      <w:r w:rsidRPr="00EE03D8">
        <w:rPr>
          <w:rFonts w:ascii="Times New Roman" w:hAnsi="Times New Roman"/>
          <w:sz w:val="24"/>
          <w:szCs w:val="24"/>
        </w:rPr>
        <w:t xml:space="preserve">de </w:t>
      </w:r>
      <w:r w:rsidR="00EE03D8" w:rsidRPr="00EE03D8">
        <w:rPr>
          <w:rFonts w:ascii="Times New Roman" w:hAnsi="Times New Roman"/>
          <w:sz w:val="24"/>
          <w:szCs w:val="24"/>
        </w:rPr>
        <w:t>Ἀ</w:t>
      </w:r>
      <w:r w:rsidRPr="0008486F">
        <w:rPr>
          <w:rFonts w:ascii="Times New Roman" w:hAnsi="Times New Roman"/>
          <w:sz w:val="24"/>
          <w:szCs w:val="24"/>
        </w:rPr>
        <w:t>γαθ</w:t>
      </w:r>
      <w:r w:rsidR="00444284">
        <w:rPr>
          <w:rFonts w:ascii="Times New Roman" w:hAnsi="Times New Roman"/>
          <w:sz w:val="24"/>
          <w:szCs w:val="24"/>
        </w:rPr>
        <w:t>ῆ</w:t>
      </w:r>
      <w:r w:rsidR="00EB23F5">
        <w:rPr>
          <w:rFonts w:ascii="Times New Roman" w:hAnsi="Times New Roman"/>
          <w:sz w:val="24"/>
          <w:szCs w:val="24"/>
        </w:rPr>
        <w:t>ς</w:t>
      </w:r>
      <w:r w:rsidRPr="0008486F">
        <w:rPr>
          <w:rFonts w:ascii="Times New Roman" w:hAnsi="Times New Roman"/>
          <w:sz w:val="24"/>
          <w:szCs w:val="24"/>
        </w:rPr>
        <w:t>.</w:t>
      </w:r>
      <w:r w:rsidR="00647792" w:rsidRPr="0008486F">
        <w:rPr>
          <w:rFonts w:ascii="Times New Roman" w:hAnsi="Times New Roman"/>
          <w:sz w:val="24"/>
          <w:szCs w:val="24"/>
        </w:rPr>
        <w:t xml:space="preserve"> Aparece desarrollado en una segunda línea, tras Διοκλ</w:t>
      </w:r>
      <w:r w:rsidR="00444284">
        <w:rPr>
          <w:rFonts w:ascii="Times New Roman" w:hAnsi="Times New Roman"/>
          <w:sz w:val="24"/>
          <w:szCs w:val="24"/>
        </w:rPr>
        <w:t>ῆ</w:t>
      </w:r>
      <w:r w:rsidR="00647792" w:rsidRPr="0008486F">
        <w:rPr>
          <w:rFonts w:ascii="Times New Roman" w:hAnsi="Times New Roman"/>
          <w:sz w:val="24"/>
          <w:szCs w:val="24"/>
        </w:rPr>
        <w:t>ς</w:t>
      </w:r>
      <w:r w:rsidR="007F60F1" w:rsidRPr="0008486F">
        <w:rPr>
          <w:rStyle w:val="FootnoteReference"/>
          <w:rFonts w:ascii="Times New Roman" w:hAnsi="Times New Roman"/>
          <w:sz w:val="24"/>
          <w:szCs w:val="24"/>
        </w:rPr>
        <w:footnoteReference w:id="82"/>
      </w:r>
      <w:r w:rsidR="00647792" w:rsidRPr="0008486F">
        <w:rPr>
          <w:rFonts w:ascii="Times New Roman" w:hAnsi="Times New Roman"/>
          <w:sz w:val="24"/>
          <w:szCs w:val="24"/>
        </w:rPr>
        <w:t xml:space="preserve">. También aparece abreviado como </w:t>
      </w:r>
      <w:r w:rsidR="00EE03D8" w:rsidRPr="00EE03D8">
        <w:rPr>
          <w:rFonts w:ascii="Times New Roman" w:hAnsi="Times New Roman"/>
          <w:sz w:val="24"/>
          <w:szCs w:val="24"/>
        </w:rPr>
        <w:t>Ἀ</w:t>
      </w:r>
      <w:r w:rsidR="00775F0E">
        <w:rPr>
          <w:rFonts w:ascii="Times New Roman" w:hAnsi="Times New Roman"/>
          <w:sz w:val="24"/>
          <w:szCs w:val="24"/>
        </w:rPr>
        <w:t>γα</w:t>
      </w:r>
      <w:r w:rsidR="00647792" w:rsidRPr="0008486F">
        <w:rPr>
          <w:rFonts w:ascii="Times New Roman" w:hAnsi="Times New Roman"/>
          <w:sz w:val="24"/>
          <w:szCs w:val="24"/>
        </w:rPr>
        <w:t>(---) tras Δ(---)</w:t>
      </w:r>
      <w:r w:rsidR="005A3DC4" w:rsidRPr="0008486F">
        <w:rPr>
          <w:rStyle w:val="FootnoteReference"/>
          <w:rFonts w:ascii="Times New Roman" w:hAnsi="Times New Roman"/>
          <w:sz w:val="24"/>
          <w:szCs w:val="24"/>
        </w:rPr>
        <w:footnoteReference w:id="83"/>
      </w:r>
      <w:r w:rsidR="00647792" w:rsidRPr="0008486F">
        <w:rPr>
          <w:rFonts w:ascii="Times New Roman" w:hAnsi="Times New Roman"/>
          <w:sz w:val="24"/>
          <w:szCs w:val="24"/>
        </w:rPr>
        <w:t xml:space="preserve"> o como </w:t>
      </w:r>
      <w:r w:rsidR="00EE03D8" w:rsidRPr="00EE03D8">
        <w:rPr>
          <w:rFonts w:ascii="Times New Roman" w:hAnsi="Times New Roman"/>
          <w:sz w:val="24"/>
          <w:szCs w:val="24"/>
        </w:rPr>
        <w:t>Ἀ</w:t>
      </w:r>
      <w:r w:rsidR="00775F0E" w:rsidRPr="0008486F">
        <w:rPr>
          <w:rFonts w:ascii="Times New Roman" w:hAnsi="Times New Roman"/>
          <w:sz w:val="24"/>
          <w:szCs w:val="24"/>
        </w:rPr>
        <w:t>γαθ</w:t>
      </w:r>
      <w:r w:rsidR="00647792" w:rsidRPr="0008486F">
        <w:rPr>
          <w:rFonts w:ascii="Times New Roman" w:hAnsi="Times New Roman"/>
          <w:sz w:val="24"/>
          <w:szCs w:val="24"/>
        </w:rPr>
        <w:t>(---) sobre Ϲτη(---)</w:t>
      </w:r>
      <w:r w:rsidR="005A3DC4" w:rsidRPr="0008486F">
        <w:rPr>
          <w:rStyle w:val="FootnoteReference"/>
          <w:rFonts w:ascii="Times New Roman" w:hAnsi="Times New Roman"/>
          <w:sz w:val="24"/>
          <w:szCs w:val="24"/>
        </w:rPr>
        <w:footnoteReference w:id="84"/>
      </w:r>
      <w:r w:rsidR="00647792" w:rsidRPr="0008486F">
        <w:rPr>
          <w:rFonts w:ascii="Times New Roman" w:hAnsi="Times New Roman"/>
          <w:sz w:val="24"/>
          <w:szCs w:val="24"/>
        </w:rPr>
        <w:t>.</w:t>
      </w:r>
      <w:r w:rsidR="002D0A66" w:rsidRPr="0008486F">
        <w:rPr>
          <w:rFonts w:ascii="Times New Roman" w:hAnsi="Times New Roman"/>
          <w:sz w:val="24"/>
          <w:szCs w:val="24"/>
        </w:rPr>
        <w:t xml:space="preserve"> Las copias de estos </w:t>
      </w:r>
      <w:r w:rsidR="002D0A66" w:rsidRPr="0008486F">
        <w:rPr>
          <w:rFonts w:ascii="Times New Roman" w:hAnsi="Times New Roman"/>
          <w:i/>
          <w:sz w:val="24"/>
          <w:szCs w:val="24"/>
        </w:rPr>
        <w:t>tituli</w:t>
      </w:r>
      <w:r w:rsidR="002D0A66" w:rsidRPr="0008486F">
        <w:rPr>
          <w:rFonts w:ascii="Times New Roman" w:hAnsi="Times New Roman"/>
          <w:sz w:val="24"/>
          <w:szCs w:val="24"/>
        </w:rPr>
        <w:t xml:space="preserve"> dan la impresión de una escritura apresurada</w:t>
      </w:r>
      <w:r w:rsidR="005601D0" w:rsidRPr="0008486F">
        <w:rPr>
          <w:rStyle w:val="FootnoteReference"/>
          <w:rFonts w:ascii="Times New Roman" w:hAnsi="Times New Roman"/>
          <w:sz w:val="24"/>
          <w:szCs w:val="24"/>
        </w:rPr>
        <w:footnoteReference w:id="85"/>
      </w:r>
      <w:r w:rsidR="002D0A66" w:rsidRPr="0008486F">
        <w:rPr>
          <w:rFonts w:ascii="Times New Roman" w:hAnsi="Times New Roman"/>
          <w:sz w:val="24"/>
          <w:szCs w:val="24"/>
        </w:rPr>
        <w:t xml:space="preserve">, lo cual explicaría en parte la tendencia a la abreviatura. Estas se debieron dar en contextos muy limitados, donde los personajes implicados se reconocieran fácilmente. Por otro lado, la posición de estos </w:t>
      </w:r>
      <w:r w:rsidR="00061478" w:rsidRPr="0008486F">
        <w:rPr>
          <w:rFonts w:ascii="Times New Roman" w:hAnsi="Times New Roman"/>
          <w:sz w:val="24"/>
          <w:szCs w:val="24"/>
        </w:rPr>
        <w:t>individuos</w:t>
      </w:r>
      <w:r w:rsidR="002D0A66" w:rsidRPr="0008486F">
        <w:rPr>
          <w:rFonts w:ascii="Times New Roman" w:hAnsi="Times New Roman"/>
          <w:sz w:val="24"/>
          <w:szCs w:val="24"/>
        </w:rPr>
        <w:t xml:space="preserve"> varía </w:t>
      </w:r>
      <w:r w:rsidR="00061478" w:rsidRPr="0008486F">
        <w:rPr>
          <w:rFonts w:ascii="Times New Roman" w:hAnsi="Times New Roman"/>
          <w:sz w:val="24"/>
          <w:szCs w:val="24"/>
        </w:rPr>
        <w:t>dentro de las frecuentes secuencias de dos nombres. Esto ofrece dudas sobre</w:t>
      </w:r>
      <w:r w:rsidR="00C77DFA">
        <w:rPr>
          <w:rFonts w:ascii="Times New Roman" w:hAnsi="Times New Roman"/>
          <w:sz w:val="24"/>
          <w:szCs w:val="24"/>
        </w:rPr>
        <w:t xml:space="preserve"> el hecho de que la posición de un nombre y otro tenga alguna relación con el </w:t>
      </w:r>
      <w:r w:rsidR="005E40ED">
        <w:rPr>
          <w:rFonts w:ascii="Times New Roman" w:hAnsi="Times New Roman"/>
          <w:sz w:val="24"/>
          <w:szCs w:val="24"/>
        </w:rPr>
        <w:t xml:space="preserve">específico </w:t>
      </w:r>
      <w:r w:rsidR="00C77DFA">
        <w:rPr>
          <w:rFonts w:ascii="Times New Roman" w:hAnsi="Times New Roman"/>
          <w:sz w:val="24"/>
          <w:szCs w:val="24"/>
        </w:rPr>
        <w:t>rol comercial de tales sujetos</w:t>
      </w:r>
      <w:r w:rsidR="005601D0" w:rsidRPr="0008486F">
        <w:rPr>
          <w:rFonts w:ascii="Times New Roman" w:hAnsi="Times New Roman"/>
          <w:sz w:val="24"/>
          <w:szCs w:val="24"/>
        </w:rPr>
        <w:t>. M</w:t>
      </w:r>
      <w:r w:rsidR="00061478" w:rsidRPr="0008486F">
        <w:rPr>
          <w:rFonts w:ascii="Times New Roman" w:hAnsi="Times New Roman"/>
          <w:sz w:val="24"/>
          <w:szCs w:val="24"/>
        </w:rPr>
        <w:t>ás allá de los lotes de ánforas bien definidos, podría tratarse de diferentes</w:t>
      </w:r>
      <w:r w:rsidR="005601D0" w:rsidRPr="0008486F">
        <w:rPr>
          <w:rFonts w:ascii="Times New Roman" w:hAnsi="Times New Roman"/>
          <w:sz w:val="24"/>
          <w:szCs w:val="24"/>
        </w:rPr>
        <w:t xml:space="preserve"> individuos con el mismo nombre. No obstante,</w:t>
      </w:r>
      <w:r w:rsidR="00061478" w:rsidRPr="0008486F">
        <w:rPr>
          <w:rFonts w:ascii="Times New Roman" w:hAnsi="Times New Roman"/>
          <w:sz w:val="24"/>
          <w:szCs w:val="24"/>
        </w:rPr>
        <w:t xml:space="preserve"> la limitación formal y temporal del registro anfórico analizado invita a considerar que se trate en cada ca</w:t>
      </w:r>
      <w:r w:rsidR="00775F0E">
        <w:rPr>
          <w:rFonts w:ascii="Times New Roman" w:hAnsi="Times New Roman"/>
          <w:sz w:val="24"/>
          <w:szCs w:val="24"/>
        </w:rPr>
        <w:t>so de un personaje en exclusiva</w:t>
      </w:r>
      <w:r w:rsidR="00EB5061" w:rsidRPr="0008486F">
        <w:rPr>
          <w:rFonts w:ascii="Times New Roman" w:hAnsi="Times New Roman"/>
          <w:sz w:val="24"/>
          <w:szCs w:val="24"/>
        </w:rPr>
        <w:t>.</w:t>
      </w:r>
    </w:p>
    <w:p w:rsidR="008173F0" w:rsidRPr="0008486F" w:rsidRDefault="00B27020" w:rsidP="00F34854">
      <w:pPr>
        <w:spacing w:after="0" w:line="360" w:lineRule="auto"/>
        <w:ind w:firstLine="709"/>
        <w:jc w:val="both"/>
        <w:rPr>
          <w:rFonts w:ascii="Times New Roman" w:hAnsi="Times New Roman"/>
          <w:sz w:val="24"/>
          <w:szCs w:val="24"/>
        </w:rPr>
      </w:pPr>
      <w:r w:rsidRPr="0008486F">
        <w:rPr>
          <w:rFonts w:ascii="Times New Roman" w:hAnsi="Times New Roman"/>
          <w:sz w:val="24"/>
          <w:szCs w:val="24"/>
        </w:rPr>
        <w:t xml:space="preserve">En los casos </w:t>
      </w:r>
      <w:r w:rsidR="00775F0E">
        <w:rPr>
          <w:rFonts w:ascii="Times New Roman" w:hAnsi="Times New Roman"/>
          <w:sz w:val="24"/>
          <w:szCs w:val="24"/>
        </w:rPr>
        <w:t>21-22</w:t>
      </w:r>
      <w:r w:rsidRPr="0008486F">
        <w:rPr>
          <w:rFonts w:ascii="Times New Roman" w:hAnsi="Times New Roman"/>
          <w:sz w:val="24"/>
          <w:szCs w:val="24"/>
        </w:rPr>
        <w:t>, se interpreta la abreviatura de</w:t>
      </w:r>
      <w:r w:rsidR="006B68E2" w:rsidRPr="0008486F">
        <w:rPr>
          <w:rFonts w:ascii="Times New Roman" w:hAnsi="Times New Roman"/>
          <w:sz w:val="24"/>
          <w:szCs w:val="24"/>
        </w:rPr>
        <w:t xml:space="preserve"> Δ</w:t>
      </w:r>
      <w:r w:rsidR="00775F0E">
        <w:rPr>
          <w:rFonts w:ascii="Times New Roman" w:hAnsi="Times New Roman"/>
          <w:sz w:val="24"/>
          <w:szCs w:val="24"/>
        </w:rPr>
        <w:t>ί</w:t>
      </w:r>
      <w:r w:rsidR="006B68E2" w:rsidRPr="0008486F">
        <w:rPr>
          <w:rFonts w:ascii="Times New Roman" w:hAnsi="Times New Roman"/>
          <w:sz w:val="24"/>
          <w:szCs w:val="24"/>
        </w:rPr>
        <w:t>δυμος</w:t>
      </w:r>
      <w:r w:rsidR="006B68E2" w:rsidRPr="0008486F">
        <w:rPr>
          <w:rStyle w:val="FootnoteReference"/>
          <w:rFonts w:ascii="Times New Roman" w:hAnsi="Times New Roman"/>
          <w:sz w:val="24"/>
          <w:szCs w:val="24"/>
        </w:rPr>
        <w:footnoteReference w:id="86"/>
      </w:r>
      <w:r w:rsidR="006B68E2" w:rsidRPr="0008486F">
        <w:rPr>
          <w:rFonts w:ascii="Times New Roman" w:hAnsi="Times New Roman"/>
          <w:sz w:val="24"/>
          <w:szCs w:val="24"/>
        </w:rPr>
        <w:t xml:space="preserve"> en función de los paralelos disponibles.</w:t>
      </w:r>
      <w:r w:rsidRPr="0008486F">
        <w:rPr>
          <w:rFonts w:ascii="Times New Roman" w:hAnsi="Times New Roman"/>
          <w:sz w:val="24"/>
          <w:szCs w:val="24"/>
        </w:rPr>
        <w:t xml:space="preserve"> Este </w:t>
      </w:r>
      <w:r w:rsidR="006B68E2" w:rsidRPr="0008486F">
        <w:rPr>
          <w:rFonts w:ascii="Times New Roman" w:hAnsi="Times New Roman"/>
          <w:sz w:val="24"/>
          <w:szCs w:val="24"/>
        </w:rPr>
        <w:t xml:space="preserve">nombre </w:t>
      </w:r>
      <w:r w:rsidRPr="0008486F">
        <w:rPr>
          <w:rFonts w:ascii="Times New Roman" w:hAnsi="Times New Roman"/>
          <w:sz w:val="24"/>
          <w:szCs w:val="24"/>
        </w:rPr>
        <w:t>se presenta declinado en genitivo sobre 2 PO10</w:t>
      </w:r>
      <w:r w:rsidR="006B68E2" w:rsidRPr="0008486F">
        <w:rPr>
          <w:rStyle w:val="FootnoteReference"/>
          <w:rFonts w:ascii="Times New Roman" w:hAnsi="Times New Roman"/>
          <w:sz w:val="24"/>
          <w:szCs w:val="24"/>
        </w:rPr>
        <w:footnoteReference w:id="87"/>
      </w:r>
      <w:r w:rsidRPr="0008486F">
        <w:rPr>
          <w:rFonts w:ascii="Times New Roman" w:hAnsi="Times New Roman"/>
          <w:sz w:val="24"/>
          <w:szCs w:val="24"/>
        </w:rPr>
        <w:t xml:space="preserve">, una de ellas en el mismo contexto </w:t>
      </w:r>
      <w:r w:rsidR="006B68E2" w:rsidRPr="0008486F">
        <w:rPr>
          <w:rFonts w:ascii="Times New Roman" w:hAnsi="Times New Roman"/>
          <w:sz w:val="24"/>
          <w:szCs w:val="24"/>
        </w:rPr>
        <w:t xml:space="preserve">de hallazgo </w:t>
      </w:r>
      <w:r w:rsidRPr="0008486F">
        <w:rPr>
          <w:rFonts w:ascii="Times New Roman" w:hAnsi="Times New Roman"/>
          <w:sz w:val="24"/>
          <w:szCs w:val="24"/>
        </w:rPr>
        <w:t xml:space="preserve">que los casos </w:t>
      </w:r>
      <w:r w:rsidR="005B74E3">
        <w:rPr>
          <w:rFonts w:ascii="Times New Roman" w:hAnsi="Times New Roman"/>
          <w:sz w:val="24"/>
          <w:szCs w:val="24"/>
        </w:rPr>
        <w:t>21-22</w:t>
      </w:r>
      <w:r w:rsidRPr="0008486F">
        <w:rPr>
          <w:rFonts w:ascii="Times New Roman" w:hAnsi="Times New Roman"/>
          <w:sz w:val="24"/>
          <w:szCs w:val="24"/>
        </w:rPr>
        <w:t>. Otra PO10</w:t>
      </w:r>
      <w:r w:rsidR="00003311" w:rsidRPr="0008486F">
        <w:rPr>
          <w:rStyle w:val="FootnoteReference"/>
          <w:rFonts w:ascii="Times New Roman" w:hAnsi="Times New Roman"/>
          <w:sz w:val="24"/>
          <w:szCs w:val="24"/>
        </w:rPr>
        <w:footnoteReference w:id="88"/>
      </w:r>
      <w:r w:rsidRPr="0008486F">
        <w:rPr>
          <w:rFonts w:ascii="Times New Roman" w:hAnsi="Times New Roman"/>
          <w:sz w:val="24"/>
          <w:szCs w:val="24"/>
        </w:rPr>
        <w:t xml:space="preserve"> presentaría este nombre abreviado,</w:t>
      </w:r>
      <w:r w:rsidR="00003311" w:rsidRPr="0008486F">
        <w:rPr>
          <w:rFonts w:ascii="Times New Roman" w:hAnsi="Times New Roman"/>
          <w:sz w:val="24"/>
          <w:szCs w:val="24"/>
        </w:rPr>
        <w:t xml:space="preserve"> acompañado de la partícula KO</w:t>
      </w:r>
      <w:r w:rsidR="00B702CB" w:rsidRPr="0008486F">
        <w:rPr>
          <w:rStyle w:val="FootnoteReference"/>
          <w:rFonts w:ascii="Times New Roman" w:hAnsi="Times New Roman"/>
          <w:sz w:val="24"/>
          <w:szCs w:val="24"/>
        </w:rPr>
        <w:footnoteReference w:id="89"/>
      </w:r>
      <w:r w:rsidR="00003311" w:rsidRPr="0008486F">
        <w:rPr>
          <w:rFonts w:ascii="Times New Roman" w:hAnsi="Times New Roman"/>
          <w:sz w:val="24"/>
          <w:szCs w:val="24"/>
        </w:rPr>
        <w:t xml:space="preserve">. Estos caracteres </w:t>
      </w:r>
      <w:r w:rsidR="008173F0" w:rsidRPr="0008486F">
        <w:rPr>
          <w:rFonts w:ascii="Times New Roman" w:hAnsi="Times New Roman"/>
          <w:sz w:val="24"/>
          <w:szCs w:val="24"/>
        </w:rPr>
        <w:t xml:space="preserve">aparecen de forma menos clara en la copia de la inscripción </w:t>
      </w:r>
      <w:r w:rsidR="005B74E3">
        <w:rPr>
          <w:rFonts w:ascii="Times New Roman" w:hAnsi="Times New Roman"/>
          <w:sz w:val="24"/>
          <w:szCs w:val="24"/>
        </w:rPr>
        <w:t>21</w:t>
      </w:r>
      <w:r w:rsidR="008173F0" w:rsidRPr="0008486F">
        <w:rPr>
          <w:rFonts w:ascii="Times New Roman" w:hAnsi="Times New Roman"/>
          <w:sz w:val="24"/>
          <w:szCs w:val="24"/>
        </w:rPr>
        <w:t xml:space="preserve">. También fueron transcritos para la inscripción </w:t>
      </w:r>
      <w:r w:rsidR="005B74E3">
        <w:rPr>
          <w:rFonts w:ascii="Times New Roman" w:hAnsi="Times New Roman"/>
          <w:sz w:val="24"/>
          <w:szCs w:val="24"/>
        </w:rPr>
        <w:t>15</w:t>
      </w:r>
      <w:r w:rsidR="008173F0" w:rsidRPr="0008486F">
        <w:rPr>
          <w:rFonts w:ascii="Times New Roman" w:hAnsi="Times New Roman"/>
          <w:sz w:val="24"/>
          <w:szCs w:val="24"/>
        </w:rPr>
        <w:t xml:space="preserve">. En general, los casos </w:t>
      </w:r>
      <w:r w:rsidR="005B74E3">
        <w:rPr>
          <w:rFonts w:ascii="Times New Roman" w:hAnsi="Times New Roman"/>
          <w:sz w:val="24"/>
          <w:szCs w:val="24"/>
        </w:rPr>
        <w:t>21</w:t>
      </w:r>
      <w:r w:rsidR="008173F0" w:rsidRPr="0008486F">
        <w:rPr>
          <w:rFonts w:ascii="Times New Roman" w:hAnsi="Times New Roman"/>
          <w:sz w:val="24"/>
          <w:szCs w:val="24"/>
        </w:rPr>
        <w:t xml:space="preserve"> y </w:t>
      </w:r>
      <w:r w:rsidR="005B74E3">
        <w:rPr>
          <w:rFonts w:ascii="Times New Roman" w:hAnsi="Times New Roman"/>
          <w:sz w:val="24"/>
          <w:szCs w:val="24"/>
        </w:rPr>
        <w:t>22</w:t>
      </w:r>
      <w:r w:rsidR="008173F0" w:rsidRPr="0008486F">
        <w:rPr>
          <w:rFonts w:ascii="Times New Roman" w:hAnsi="Times New Roman"/>
          <w:sz w:val="24"/>
          <w:szCs w:val="24"/>
        </w:rPr>
        <w:t xml:space="preserve"> ofrecen dudas sobre su conservación y lectura. Para las inscripciones </w:t>
      </w:r>
      <w:r w:rsidR="005B74E3">
        <w:rPr>
          <w:rFonts w:ascii="Times New Roman" w:hAnsi="Times New Roman"/>
          <w:sz w:val="24"/>
          <w:szCs w:val="24"/>
        </w:rPr>
        <w:t>23-24</w:t>
      </w:r>
      <w:r w:rsidR="008173F0" w:rsidRPr="0008486F">
        <w:rPr>
          <w:rFonts w:ascii="Times New Roman" w:hAnsi="Times New Roman"/>
          <w:sz w:val="24"/>
          <w:szCs w:val="24"/>
        </w:rPr>
        <w:t>, ya se ha comentado la presencia del nombre Διοκλ</w:t>
      </w:r>
      <w:r w:rsidR="005B74E3">
        <w:rPr>
          <w:rFonts w:ascii="Times New Roman" w:hAnsi="Times New Roman"/>
          <w:sz w:val="24"/>
          <w:szCs w:val="24"/>
        </w:rPr>
        <w:t>ῆ</w:t>
      </w:r>
      <w:r w:rsidR="008173F0" w:rsidRPr="0008486F">
        <w:rPr>
          <w:rFonts w:ascii="Times New Roman" w:hAnsi="Times New Roman"/>
          <w:sz w:val="24"/>
          <w:szCs w:val="24"/>
        </w:rPr>
        <w:t xml:space="preserve">ς. La abreviatura terminada en Ε parece referir a la declinación genitiva </w:t>
      </w:r>
      <w:r w:rsidR="00844098" w:rsidRPr="00844098">
        <w:rPr>
          <w:rFonts w:ascii="Times New Roman" w:hAnsi="Times New Roman"/>
          <w:sz w:val="24"/>
          <w:szCs w:val="24"/>
        </w:rPr>
        <w:t>Διοκλέ</w:t>
      </w:r>
      <w:r w:rsidR="00F532A4" w:rsidRPr="00844098">
        <w:rPr>
          <w:rFonts w:ascii="Times New Roman" w:hAnsi="Times New Roman"/>
          <w:sz w:val="24"/>
          <w:szCs w:val="24"/>
        </w:rPr>
        <w:t>ους</w:t>
      </w:r>
      <w:r w:rsidR="00F532A4" w:rsidRPr="0008486F">
        <w:rPr>
          <w:rFonts w:ascii="Times New Roman" w:hAnsi="Times New Roman"/>
          <w:sz w:val="24"/>
          <w:szCs w:val="24"/>
        </w:rPr>
        <w:t xml:space="preserve">, presente en buena parte de los </w:t>
      </w:r>
      <w:r w:rsidR="00F532A4" w:rsidRPr="0008486F">
        <w:rPr>
          <w:rFonts w:ascii="Times New Roman" w:hAnsi="Times New Roman"/>
          <w:i/>
          <w:sz w:val="24"/>
          <w:szCs w:val="24"/>
        </w:rPr>
        <w:t>tituli</w:t>
      </w:r>
      <w:r w:rsidR="00F532A4" w:rsidRPr="0008486F">
        <w:rPr>
          <w:rFonts w:ascii="Times New Roman" w:hAnsi="Times New Roman"/>
          <w:sz w:val="24"/>
          <w:szCs w:val="24"/>
        </w:rPr>
        <w:t xml:space="preserve"> en los que se desarrolla este nombre</w:t>
      </w:r>
      <w:r w:rsidR="00F532A4" w:rsidRPr="0008486F">
        <w:rPr>
          <w:rStyle w:val="FootnoteReference"/>
          <w:rFonts w:ascii="Times New Roman" w:hAnsi="Times New Roman"/>
          <w:sz w:val="24"/>
          <w:szCs w:val="24"/>
        </w:rPr>
        <w:footnoteReference w:id="90"/>
      </w:r>
      <w:r w:rsidR="00F532A4" w:rsidRPr="0008486F">
        <w:rPr>
          <w:rFonts w:ascii="Times New Roman" w:hAnsi="Times New Roman"/>
          <w:sz w:val="24"/>
          <w:szCs w:val="24"/>
        </w:rPr>
        <w:t>.</w:t>
      </w:r>
      <w:r w:rsidR="00CA3FDB" w:rsidRPr="0008486F">
        <w:rPr>
          <w:rFonts w:ascii="Times New Roman" w:hAnsi="Times New Roman"/>
          <w:sz w:val="24"/>
          <w:szCs w:val="24"/>
        </w:rPr>
        <w:t xml:space="preserve"> En el caso 2</w:t>
      </w:r>
      <w:r w:rsidR="005B74E3">
        <w:rPr>
          <w:rFonts w:ascii="Times New Roman" w:hAnsi="Times New Roman"/>
          <w:sz w:val="24"/>
          <w:szCs w:val="24"/>
        </w:rPr>
        <w:t>5, Νικί</w:t>
      </w:r>
      <w:r w:rsidR="00CA3FDB" w:rsidRPr="0008486F">
        <w:rPr>
          <w:rFonts w:ascii="Times New Roman" w:hAnsi="Times New Roman"/>
          <w:sz w:val="24"/>
          <w:szCs w:val="24"/>
        </w:rPr>
        <w:t xml:space="preserve">ας podría estar declinado en vocativo o dativo, a falta de </w:t>
      </w:r>
      <w:r w:rsidR="00FE22EF" w:rsidRPr="0008486F">
        <w:rPr>
          <w:rFonts w:ascii="Times New Roman" w:hAnsi="Times New Roman"/>
          <w:sz w:val="24"/>
          <w:szCs w:val="24"/>
        </w:rPr>
        <w:t xml:space="preserve">la </w:t>
      </w:r>
      <w:r w:rsidR="005B74E3">
        <w:rPr>
          <w:rFonts w:ascii="Times New Roman" w:hAnsi="Times New Roman"/>
          <w:sz w:val="24"/>
          <w:szCs w:val="24"/>
        </w:rPr>
        <w:t>Σ final</w:t>
      </w:r>
      <w:r w:rsidR="00FE22EF" w:rsidRPr="0008486F">
        <w:rPr>
          <w:rFonts w:ascii="Times New Roman" w:hAnsi="Times New Roman"/>
          <w:sz w:val="24"/>
          <w:szCs w:val="24"/>
        </w:rPr>
        <w:t>, o ser una abreviatura de e</w:t>
      </w:r>
      <w:r w:rsidR="00CA3FDB" w:rsidRPr="0008486F">
        <w:rPr>
          <w:rFonts w:ascii="Times New Roman" w:hAnsi="Times New Roman"/>
          <w:sz w:val="24"/>
          <w:szCs w:val="24"/>
        </w:rPr>
        <w:t>ste u otro nombre</w:t>
      </w:r>
      <w:r w:rsidR="00CA3FDB" w:rsidRPr="0008486F">
        <w:rPr>
          <w:rStyle w:val="FootnoteReference"/>
          <w:rFonts w:ascii="Times New Roman" w:hAnsi="Times New Roman"/>
          <w:sz w:val="24"/>
          <w:szCs w:val="24"/>
        </w:rPr>
        <w:footnoteReference w:id="91"/>
      </w:r>
      <w:r w:rsidR="00CA3FDB" w:rsidRPr="0008486F">
        <w:rPr>
          <w:rFonts w:ascii="Times New Roman" w:hAnsi="Times New Roman"/>
          <w:sz w:val="24"/>
          <w:szCs w:val="24"/>
        </w:rPr>
        <w:t>. También aparece en genitivo sobre otra PO13</w:t>
      </w:r>
      <w:r w:rsidR="00CA3FDB" w:rsidRPr="0008486F">
        <w:rPr>
          <w:rStyle w:val="FootnoteReference"/>
          <w:rFonts w:ascii="Times New Roman" w:hAnsi="Times New Roman"/>
          <w:sz w:val="24"/>
          <w:szCs w:val="24"/>
        </w:rPr>
        <w:footnoteReference w:id="92"/>
      </w:r>
      <w:r w:rsidR="00CA3FDB" w:rsidRPr="0008486F">
        <w:rPr>
          <w:rFonts w:ascii="Times New Roman" w:hAnsi="Times New Roman"/>
          <w:sz w:val="24"/>
          <w:szCs w:val="24"/>
        </w:rPr>
        <w:t>.</w:t>
      </w:r>
    </w:p>
    <w:p w:rsidR="007A2E5F" w:rsidRPr="0008486F" w:rsidRDefault="00E17247" w:rsidP="00F34854">
      <w:pPr>
        <w:spacing w:after="0" w:line="360" w:lineRule="auto"/>
        <w:ind w:firstLine="709"/>
        <w:jc w:val="both"/>
        <w:rPr>
          <w:rFonts w:ascii="Times New Roman" w:hAnsi="Times New Roman"/>
          <w:sz w:val="24"/>
          <w:szCs w:val="24"/>
        </w:rPr>
      </w:pPr>
      <w:r>
        <w:rPr>
          <w:rFonts w:ascii="Times New Roman" w:hAnsi="Times New Roman"/>
          <w:sz w:val="24"/>
          <w:szCs w:val="24"/>
        </w:rPr>
        <w:t>En el subgrupo 5A</w:t>
      </w:r>
      <w:r w:rsidR="007A2E5F" w:rsidRPr="0008486F">
        <w:rPr>
          <w:rFonts w:ascii="Times New Roman" w:hAnsi="Times New Roman"/>
          <w:sz w:val="24"/>
          <w:szCs w:val="24"/>
        </w:rPr>
        <w:t xml:space="preserve">, los casos </w:t>
      </w:r>
      <w:r>
        <w:rPr>
          <w:rFonts w:ascii="Times New Roman" w:hAnsi="Times New Roman"/>
          <w:sz w:val="24"/>
          <w:szCs w:val="24"/>
        </w:rPr>
        <w:t>15-20</w:t>
      </w:r>
      <w:r w:rsidR="007A2E5F" w:rsidRPr="0008486F">
        <w:rPr>
          <w:rFonts w:ascii="Times New Roman" w:hAnsi="Times New Roman"/>
          <w:sz w:val="24"/>
          <w:szCs w:val="24"/>
        </w:rPr>
        <w:t xml:space="preserve"> presentan caracteres aislados seguidos de un nombre desarrollado y </w:t>
      </w:r>
      <w:r>
        <w:rPr>
          <w:rFonts w:ascii="Times New Roman" w:hAnsi="Times New Roman"/>
          <w:sz w:val="24"/>
          <w:szCs w:val="24"/>
        </w:rPr>
        <w:t xml:space="preserve">el </w:t>
      </w:r>
      <w:r w:rsidRPr="00E17247">
        <w:rPr>
          <w:rFonts w:ascii="Times New Roman" w:hAnsi="Times New Roman"/>
          <w:i/>
          <w:sz w:val="24"/>
          <w:szCs w:val="24"/>
        </w:rPr>
        <w:t>titulus</w:t>
      </w:r>
      <w:r>
        <w:rPr>
          <w:rFonts w:ascii="Times New Roman" w:hAnsi="Times New Roman"/>
          <w:sz w:val="24"/>
          <w:szCs w:val="24"/>
        </w:rPr>
        <w:t xml:space="preserve"> CAR</w:t>
      </w:r>
      <w:r w:rsidR="007A2E5F" w:rsidRPr="0008486F">
        <w:rPr>
          <w:rFonts w:ascii="Times New Roman" w:hAnsi="Times New Roman"/>
          <w:sz w:val="24"/>
          <w:szCs w:val="24"/>
        </w:rPr>
        <w:t>. Los casos presentados forman parte de un conjunto más amplio</w:t>
      </w:r>
      <w:r w:rsidR="0031692F" w:rsidRPr="0008486F">
        <w:rPr>
          <w:rFonts w:ascii="Times New Roman" w:hAnsi="Times New Roman"/>
          <w:sz w:val="24"/>
          <w:szCs w:val="24"/>
        </w:rPr>
        <w:t xml:space="preserve"> definido por la presencia del nombre Φ</w:t>
      </w:r>
      <w:r>
        <w:rPr>
          <w:rFonts w:ascii="Times New Roman" w:hAnsi="Times New Roman"/>
          <w:sz w:val="24"/>
          <w:szCs w:val="24"/>
        </w:rPr>
        <w:t>ῆ</w:t>
      </w:r>
      <w:r w:rsidR="0031692F" w:rsidRPr="0008486F">
        <w:rPr>
          <w:rFonts w:ascii="Times New Roman" w:hAnsi="Times New Roman"/>
          <w:sz w:val="24"/>
          <w:szCs w:val="24"/>
        </w:rPr>
        <w:t>λιξ</w:t>
      </w:r>
      <w:r w:rsidR="007B3DD1" w:rsidRPr="0008486F">
        <w:rPr>
          <w:rStyle w:val="FootnoteReference"/>
          <w:rFonts w:ascii="Times New Roman" w:hAnsi="Times New Roman"/>
          <w:sz w:val="24"/>
          <w:szCs w:val="24"/>
        </w:rPr>
        <w:footnoteReference w:id="93"/>
      </w:r>
      <w:r w:rsidR="0031692F" w:rsidRPr="0008486F">
        <w:rPr>
          <w:rFonts w:ascii="Times New Roman" w:hAnsi="Times New Roman"/>
          <w:sz w:val="24"/>
          <w:szCs w:val="24"/>
        </w:rPr>
        <w:t>, declinado en genitivo.</w:t>
      </w:r>
      <w:r w:rsidR="00AF7BD3" w:rsidRPr="0008486F">
        <w:rPr>
          <w:rFonts w:ascii="Times New Roman" w:hAnsi="Times New Roman"/>
          <w:sz w:val="24"/>
          <w:szCs w:val="24"/>
        </w:rPr>
        <w:t xml:space="preserve"> La variante ΦΗΝΥΚΟϹ</w:t>
      </w:r>
      <w:r w:rsidR="00F12EF2" w:rsidRPr="0008486F">
        <w:rPr>
          <w:rFonts w:ascii="Times New Roman" w:hAnsi="Times New Roman"/>
          <w:sz w:val="24"/>
          <w:szCs w:val="24"/>
        </w:rPr>
        <w:t xml:space="preserve"> </w:t>
      </w:r>
      <w:r w:rsidR="00BF18F1" w:rsidRPr="0008486F">
        <w:rPr>
          <w:rFonts w:ascii="Times New Roman" w:hAnsi="Times New Roman"/>
          <w:sz w:val="24"/>
          <w:szCs w:val="24"/>
        </w:rPr>
        <w:t>podría</w:t>
      </w:r>
      <w:r w:rsidR="00AF7BD3" w:rsidRPr="0008486F">
        <w:rPr>
          <w:rFonts w:ascii="Times New Roman" w:hAnsi="Times New Roman"/>
          <w:sz w:val="24"/>
          <w:szCs w:val="24"/>
        </w:rPr>
        <w:t xml:space="preserve"> responder a un error</w:t>
      </w:r>
      <w:r w:rsidR="00BF18F1" w:rsidRPr="0008486F">
        <w:rPr>
          <w:rStyle w:val="FootnoteReference"/>
          <w:rFonts w:ascii="Times New Roman" w:hAnsi="Times New Roman"/>
          <w:sz w:val="24"/>
          <w:szCs w:val="24"/>
        </w:rPr>
        <w:footnoteReference w:id="94"/>
      </w:r>
      <w:r w:rsidR="00BF18F1" w:rsidRPr="0008486F">
        <w:rPr>
          <w:rFonts w:ascii="Times New Roman" w:hAnsi="Times New Roman"/>
          <w:sz w:val="24"/>
          <w:szCs w:val="24"/>
        </w:rPr>
        <w:t>. Esto</w:t>
      </w:r>
      <w:r w:rsidR="00C25767" w:rsidRPr="0008486F">
        <w:rPr>
          <w:rFonts w:ascii="Times New Roman" w:hAnsi="Times New Roman"/>
          <w:sz w:val="24"/>
          <w:szCs w:val="24"/>
        </w:rPr>
        <w:t xml:space="preserve"> podría indicar que el autor de los</w:t>
      </w:r>
      <w:r w:rsidR="00BF18F1" w:rsidRPr="0008486F">
        <w:rPr>
          <w:rFonts w:ascii="Times New Roman" w:hAnsi="Times New Roman"/>
          <w:sz w:val="24"/>
          <w:szCs w:val="24"/>
        </w:rPr>
        <w:t xml:space="preserve"> </w:t>
      </w:r>
      <w:r w:rsidR="00BF18F1" w:rsidRPr="0008486F">
        <w:rPr>
          <w:rFonts w:ascii="Times New Roman" w:hAnsi="Times New Roman"/>
          <w:i/>
          <w:sz w:val="24"/>
          <w:szCs w:val="24"/>
        </w:rPr>
        <w:t>titul</w:t>
      </w:r>
      <w:r w:rsidR="00C25767" w:rsidRPr="0008486F">
        <w:rPr>
          <w:rFonts w:ascii="Times New Roman" w:hAnsi="Times New Roman"/>
          <w:i/>
          <w:sz w:val="24"/>
          <w:szCs w:val="24"/>
        </w:rPr>
        <w:t>i</w:t>
      </w:r>
      <w:r w:rsidR="00BF18F1" w:rsidRPr="0008486F">
        <w:rPr>
          <w:rFonts w:ascii="Times New Roman" w:hAnsi="Times New Roman"/>
          <w:sz w:val="24"/>
          <w:szCs w:val="24"/>
        </w:rPr>
        <w:t xml:space="preserve"> no </w:t>
      </w:r>
      <w:r w:rsidR="00566696" w:rsidRPr="0008486F">
        <w:rPr>
          <w:rFonts w:ascii="Times New Roman" w:hAnsi="Times New Roman"/>
          <w:sz w:val="24"/>
          <w:szCs w:val="24"/>
        </w:rPr>
        <w:t>fue</w:t>
      </w:r>
      <w:r w:rsidR="00BF18F1" w:rsidRPr="0008486F">
        <w:rPr>
          <w:rFonts w:ascii="Times New Roman" w:hAnsi="Times New Roman"/>
          <w:sz w:val="24"/>
          <w:szCs w:val="24"/>
        </w:rPr>
        <w:t xml:space="preserve"> el propio Φ</w:t>
      </w:r>
      <w:r>
        <w:rPr>
          <w:rFonts w:ascii="Times New Roman" w:hAnsi="Times New Roman"/>
          <w:sz w:val="24"/>
          <w:szCs w:val="24"/>
        </w:rPr>
        <w:t>ῆ</w:t>
      </w:r>
      <w:r w:rsidR="00BF18F1" w:rsidRPr="0008486F">
        <w:rPr>
          <w:rFonts w:ascii="Times New Roman" w:hAnsi="Times New Roman"/>
          <w:sz w:val="24"/>
          <w:szCs w:val="24"/>
        </w:rPr>
        <w:t>λιξ, equivocándose al escribir un nombre ajeno</w:t>
      </w:r>
      <w:r>
        <w:rPr>
          <w:rStyle w:val="FootnoteReference"/>
          <w:rFonts w:ascii="Times New Roman" w:hAnsi="Times New Roman"/>
          <w:sz w:val="24"/>
          <w:szCs w:val="24"/>
        </w:rPr>
        <w:footnoteReference w:id="95"/>
      </w:r>
      <w:r w:rsidR="00566696" w:rsidRPr="0008486F">
        <w:rPr>
          <w:rFonts w:ascii="Times New Roman" w:hAnsi="Times New Roman"/>
          <w:sz w:val="24"/>
          <w:szCs w:val="24"/>
        </w:rPr>
        <w:t>.</w:t>
      </w:r>
      <w:r w:rsidR="00F12EF2" w:rsidRPr="0008486F">
        <w:rPr>
          <w:rFonts w:ascii="Times New Roman" w:hAnsi="Times New Roman"/>
          <w:sz w:val="24"/>
          <w:szCs w:val="24"/>
        </w:rPr>
        <w:t xml:space="preserve"> En un caso aparece en forma de vestigios, sobreviviendo </w:t>
      </w:r>
      <w:r w:rsidR="003D161F" w:rsidRPr="0008486F">
        <w:rPr>
          <w:rFonts w:ascii="Times New Roman" w:hAnsi="Times New Roman"/>
          <w:sz w:val="24"/>
          <w:szCs w:val="24"/>
        </w:rPr>
        <w:t xml:space="preserve">solamente </w:t>
      </w:r>
      <w:r w:rsidR="005E40ED">
        <w:rPr>
          <w:rFonts w:ascii="Times New Roman" w:hAnsi="Times New Roman"/>
          <w:sz w:val="24"/>
          <w:szCs w:val="24"/>
        </w:rPr>
        <w:t xml:space="preserve">el texto </w:t>
      </w:r>
      <w:r w:rsidR="00F12EF2" w:rsidRPr="00E17247">
        <w:rPr>
          <w:rFonts w:ascii="Times New Roman" w:hAnsi="Times New Roman"/>
          <w:sz w:val="24"/>
          <w:szCs w:val="24"/>
        </w:rPr>
        <w:t>Φ</w:t>
      </w:r>
      <w:r w:rsidR="001F5E87" w:rsidRPr="00E17247">
        <w:rPr>
          <w:rFonts w:ascii="Times New Roman" w:hAnsi="Times New Roman"/>
          <w:sz w:val="24"/>
          <w:szCs w:val="24"/>
        </w:rPr>
        <w:t>ΗΛΙ</w:t>
      </w:r>
      <w:r w:rsidR="005E40ED">
        <w:rPr>
          <w:rFonts w:ascii="Times New Roman" w:hAnsi="Times New Roman"/>
          <w:sz w:val="24"/>
          <w:szCs w:val="24"/>
        </w:rPr>
        <w:t>[---]</w:t>
      </w:r>
      <w:r w:rsidR="00C25767" w:rsidRPr="0008486F">
        <w:rPr>
          <w:rFonts w:ascii="Times New Roman" w:hAnsi="Times New Roman"/>
          <w:sz w:val="24"/>
          <w:szCs w:val="24"/>
        </w:rPr>
        <w:t>, anterior a la escritura del</w:t>
      </w:r>
      <w:r w:rsidR="00B16489" w:rsidRPr="0008486F">
        <w:rPr>
          <w:rFonts w:ascii="Times New Roman" w:hAnsi="Times New Roman"/>
          <w:sz w:val="24"/>
          <w:szCs w:val="24"/>
        </w:rPr>
        <w:t xml:space="preserve"> nombre de </w:t>
      </w:r>
      <w:r w:rsidR="00B16489" w:rsidRPr="005426CF">
        <w:rPr>
          <w:rFonts w:ascii="Times New Roman" w:hAnsi="Times New Roman"/>
          <w:i/>
          <w:sz w:val="24"/>
          <w:szCs w:val="24"/>
        </w:rPr>
        <w:t>Q. Brittius Balbus</w:t>
      </w:r>
      <w:r w:rsidR="001F5E87" w:rsidRPr="0008486F">
        <w:rPr>
          <w:rStyle w:val="FootnoteReference"/>
          <w:rFonts w:ascii="Times New Roman" w:hAnsi="Times New Roman"/>
          <w:sz w:val="24"/>
          <w:szCs w:val="24"/>
        </w:rPr>
        <w:footnoteReference w:id="96"/>
      </w:r>
      <w:r w:rsidR="001F5E87" w:rsidRPr="0008486F">
        <w:rPr>
          <w:rFonts w:ascii="Times New Roman" w:hAnsi="Times New Roman"/>
          <w:sz w:val="24"/>
          <w:szCs w:val="24"/>
        </w:rPr>
        <w:t>.</w:t>
      </w:r>
      <w:r w:rsidR="00CC5321" w:rsidRPr="0008486F">
        <w:rPr>
          <w:rFonts w:ascii="Times New Roman" w:hAnsi="Times New Roman"/>
          <w:sz w:val="24"/>
          <w:szCs w:val="24"/>
        </w:rPr>
        <w:t xml:space="preserve"> Por otro lado, el cognomen latino </w:t>
      </w:r>
      <w:r w:rsidR="00CC5321" w:rsidRPr="005426CF">
        <w:rPr>
          <w:rFonts w:ascii="Times New Roman" w:hAnsi="Times New Roman"/>
          <w:i/>
          <w:sz w:val="24"/>
          <w:szCs w:val="24"/>
        </w:rPr>
        <w:t>Felix</w:t>
      </w:r>
      <w:r w:rsidR="00CC5321" w:rsidRPr="0008486F">
        <w:rPr>
          <w:rFonts w:ascii="Times New Roman" w:hAnsi="Times New Roman"/>
          <w:sz w:val="24"/>
          <w:szCs w:val="24"/>
        </w:rPr>
        <w:t xml:space="preserve"> está presente en otras ánforas</w:t>
      </w:r>
      <w:r w:rsidR="00AB2099" w:rsidRPr="0008486F">
        <w:rPr>
          <w:rStyle w:val="FootnoteReference"/>
          <w:rFonts w:ascii="Times New Roman" w:hAnsi="Times New Roman"/>
          <w:sz w:val="24"/>
          <w:szCs w:val="24"/>
        </w:rPr>
        <w:footnoteReference w:id="97"/>
      </w:r>
      <w:r w:rsidR="00CC5321" w:rsidRPr="0008486F">
        <w:rPr>
          <w:rFonts w:ascii="Times New Roman" w:hAnsi="Times New Roman"/>
          <w:sz w:val="24"/>
          <w:szCs w:val="24"/>
        </w:rPr>
        <w:t xml:space="preserve">, a veces formando parte de un </w:t>
      </w:r>
      <w:r w:rsidR="00CC5321" w:rsidRPr="0008486F">
        <w:rPr>
          <w:rFonts w:ascii="Times New Roman" w:hAnsi="Times New Roman"/>
          <w:i/>
          <w:sz w:val="24"/>
          <w:szCs w:val="24"/>
        </w:rPr>
        <w:t>tria nomina</w:t>
      </w:r>
      <w:r w:rsidR="00AB2099" w:rsidRPr="0008486F">
        <w:rPr>
          <w:rStyle w:val="FootnoteReference"/>
          <w:rFonts w:ascii="Times New Roman" w:hAnsi="Times New Roman"/>
          <w:sz w:val="24"/>
          <w:szCs w:val="24"/>
        </w:rPr>
        <w:footnoteReference w:id="98"/>
      </w:r>
      <w:r w:rsidR="00CC5321" w:rsidRPr="0008486F">
        <w:rPr>
          <w:rFonts w:ascii="Times New Roman" w:hAnsi="Times New Roman"/>
          <w:sz w:val="24"/>
          <w:szCs w:val="24"/>
        </w:rPr>
        <w:t>.</w:t>
      </w:r>
    </w:p>
    <w:p w:rsidR="004A1268" w:rsidRPr="0008486F" w:rsidRDefault="003D161F" w:rsidP="00F34854">
      <w:pPr>
        <w:spacing w:after="0" w:line="360" w:lineRule="auto"/>
        <w:ind w:firstLine="709"/>
        <w:jc w:val="both"/>
        <w:rPr>
          <w:rFonts w:ascii="Times New Roman" w:hAnsi="Times New Roman"/>
          <w:sz w:val="24"/>
          <w:szCs w:val="24"/>
        </w:rPr>
      </w:pPr>
      <w:r w:rsidRPr="0008486F">
        <w:rPr>
          <w:rFonts w:ascii="Times New Roman" w:hAnsi="Times New Roman"/>
          <w:sz w:val="24"/>
          <w:szCs w:val="24"/>
        </w:rPr>
        <w:t>El nombre Φ</w:t>
      </w:r>
      <w:r w:rsidR="00E17247">
        <w:rPr>
          <w:rFonts w:ascii="Times New Roman" w:hAnsi="Times New Roman"/>
          <w:sz w:val="24"/>
          <w:szCs w:val="24"/>
        </w:rPr>
        <w:t>ῆ</w:t>
      </w:r>
      <w:r w:rsidRPr="0008486F">
        <w:rPr>
          <w:rFonts w:ascii="Times New Roman" w:hAnsi="Times New Roman"/>
          <w:sz w:val="24"/>
          <w:szCs w:val="24"/>
        </w:rPr>
        <w:t>λιξ va precedido de distintos caracteres en una línea superior: ΑΛ, ΚΟ, Μ, ΜΥ, ΜϹΥ o ΝΥ. En cuatro casos podría corresponder a un numeral: ΑΛ {31}, Μ {40}, ΜΥ {440} y ΝΥ {450}.</w:t>
      </w:r>
      <w:r w:rsidR="00E14075" w:rsidRPr="0008486F">
        <w:rPr>
          <w:rFonts w:ascii="Times New Roman" w:hAnsi="Times New Roman"/>
          <w:sz w:val="24"/>
          <w:szCs w:val="24"/>
        </w:rPr>
        <w:t xml:space="preserve"> El amplio rango de cifras dificulta la lectura bajo un mismo concepto. La opción más coherente, descartando errores en la transcripción, es la identificación con </w:t>
      </w:r>
      <w:r w:rsidR="008B71BA">
        <w:rPr>
          <w:rFonts w:ascii="Times New Roman" w:hAnsi="Times New Roman"/>
          <w:sz w:val="24"/>
          <w:szCs w:val="24"/>
        </w:rPr>
        <w:t xml:space="preserve">siglas o </w:t>
      </w:r>
      <w:r w:rsidR="00E14075" w:rsidRPr="0008486F">
        <w:rPr>
          <w:rFonts w:ascii="Times New Roman" w:hAnsi="Times New Roman"/>
          <w:sz w:val="24"/>
          <w:szCs w:val="24"/>
        </w:rPr>
        <w:t xml:space="preserve">abreviaturas de nombres personales. </w:t>
      </w:r>
    </w:p>
    <w:p w:rsidR="003D161F" w:rsidRPr="0008486F" w:rsidRDefault="00E14075" w:rsidP="00F34854">
      <w:pPr>
        <w:spacing w:after="0" w:line="360" w:lineRule="auto"/>
        <w:ind w:firstLine="709"/>
        <w:jc w:val="both"/>
        <w:rPr>
          <w:rFonts w:ascii="Times New Roman" w:hAnsi="Times New Roman"/>
          <w:sz w:val="24"/>
          <w:szCs w:val="24"/>
        </w:rPr>
      </w:pPr>
      <w:r w:rsidRPr="0008486F">
        <w:rPr>
          <w:rFonts w:ascii="Times New Roman" w:hAnsi="Times New Roman"/>
          <w:sz w:val="24"/>
          <w:szCs w:val="24"/>
        </w:rPr>
        <w:t>Entre los casos que contienen la partícula ΑΛ</w:t>
      </w:r>
      <w:r w:rsidR="00407F57" w:rsidRPr="0008486F">
        <w:rPr>
          <w:rStyle w:val="FootnoteReference"/>
          <w:rFonts w:ascii="Times New Roman" w:hAnsi="Times New Roman"/>
          <w:sz w:val="24"/>
          <w:szCs w:val="24"/>
        </w:rPr>
        <w:footnoteReference w:id="99"/>
      </w:r>
      <w:r w:rsidRPr="0008486F">
        <w:rPr>
          <w:rFonts w:ascii="Times New Roman" w:hAnsi="Times New Roman"/>
          <w:sz w:val="24"/>
          <w:szCs w:val="24"/>
        </w:rPr>
        <w:t xml:space="preserve"> destaca </w:t>
      </w:r>
      <w:r w:rsidR="008F7136" w:rsidRPr="0008486F">
        <w:rPr>
          <w:rFonts w:ascii="Times New Roman" w:hAnsi="Times New Roman"/>
          <w:sz w:val="24"/>
          <w:szCs w:val="24"/>
        </w:rPr>
        <w:t>una PO08</w:t>
      </w:r>
      <w:r w:rsidR="0091177E" w:rsidRPr="0008486F">
        <w:rPr>
          <w:rStyle w:val="FootnoteReference"/>
          <w:rFonts w:ascii="Times New Roman" w:hAnsi="Times New Roman"/>
          <w:sz w:val="24"/>
          <w:szCs w:val="24"/>
        </w:rPr>
        <w:footnoteReference w:id="100"/>
      </w:r>
      <w:r w:rsidR="008F7136" w:rsidRPr="0008486F">
        <w:rPr>
          <w:rFonts w:ascii="Times New Roman" w:hAnsi="Times New Roman"/>
          <w:sz w:val="24"/>
          <w:szCs w:val="24"/>
        </w:rPr>
        <w:t xml:space="preserve"> que procede del mismo contexto de hallazgo que los casos </w:t>
      </w:r>
      <w:r w:rsidR="000F485F">
        <w:rPr>
          <w:rFonts w:ascii="Times New Roman" w:hAnsi="Times New Roman"/>
          <w:sz w:val="24"/>
          <w:szCs w:val="24"/>
        </w:rPr>
        <w:t>7-8</w:t>
      </w:r>
      <w:r w:rsidR="008F7136" w:rsidRPr="0008486F">
        <w:rPr>
          <w:rFonts w:ascii="Times New Roman" w:hAnsi="Times New Roman"/>
          <w:sz w:val="24"/>
          <w:szCs w:val="24"/>
        </w:rPr>
        <w:t xml:space="preserve"> y </w:t>
      </w:r>
      <w:r w:rsidR="000F485F">
        <w:rPr>
          <w:rFonts w:ascii="Times New Roman" w:hAnsi="Times New Roman"/>
          <w:sz w:val="24"/>
          <w:szCs w:val="24"/>
        </w:rPr>
        <w:t>21-25</w:t>
      </w:r>
      <w:r w:rsidR="008F7136" w:rsidRPr="0008486F">
        <w:rPr>
          <w:rFonts w:ascii="Times New Roman" w:hAnsi="Times New Roman"/>
          <w:sz w:val="24"/>
          <w:szCs w:val="24"/>
        </w:rPr>
        <w:t xml:space="preserve">. </w:t>
      </w:r>
      <w:r w:rsidR="00AC7A8D" w:rsidRPr="0008486F">
        <w:rPr>
          <w:rFonts w:ascii="Times New Roman" w:hAnsi="Times New Roman"/>
          <w:sz w:val="24"/>
          <w:szCs w:val="24"/>
        </w:rPr>
        <w:t xml:space="preserve">El dibujo de este </w:t>
      </w:r>
      <w:r w:rsidR="00AC7A8D" w:rsidRPr="0008486F">
        <w:rPr>
          <w:rFonts w:ascii="Times New Roman" w:hAnsi="Times New Roman"/>
          <w:i/>
          <w:sz w:val="24"/>
          <w:szCs w:val="24"/>
        </w:rPr>
        <w:t>titulus</w:t>
      </w:r>
      <w:r w:rsidR="0091177E" w:rsidRPr="0008486F">
        <w:rPr>
          <w:rStyle w:val="FootnoteReference"/>
          <w:rFonts w:ascii="Times New Roman" w:hAnsi="Times New Roman"/>
          <w:sz w:val="24"/>
          <w:szCs w:val="24"/>
        </w:rPr>
        <w:footnoteReference w:id="101"/>
      </w:r>
      <w:r w:rsidR="00AC7A8D" w:rsidRPr="0008486F">
        <w:rPr>
          <w:rFonts w:ascii="Times New Roman" w:hAnsi="Times New Roman"/>
          <w:sz w:val="24"/>
          <w:szCs w:val="24"/>
        </w:rPr>
        <w:t xml:space="preserve"> incide en la lectura ΑΛ, frente a las dudas presentadas en el </w:t>
      </w:r>
      <w:r w:rsidR="00AC7A8D" w:rsidRPr="0008486F">
        <w:rPr>
          <w:rFonts w:ascii="Times New Roman" w:hAnsi="Times New Roman"/>
          <w:i/>
          <w:sz w:val="24"/>
          <w:szCs w:val="24"/>
        </w:rPr>
        <w:t>CIL</w:t>
      </w:r>
      <w:r w:rsidR="00AC7A8D" w:rsidRPr="0008486F">
        <w:rPr>
          <w:rFonts w:ascii="Times New Roman" w:hAnsi="Times New Roman"/>
          <w:sz w:val="24"/>
          <w:szCs w:val="24"/>
        </w:rPr>
        <w:t xml:space="preserve"> sobre las copias de 10476, considerando la transcripción </w:t>
      </w:r>
      <w:r w:rsidR="00AC7A8D" w:rsidRPr="008B71BA">
        <w:rPr>
          <w:rFonts w:ascii="Times New Roman" w:hAnsi="Times New Roman"/>
          <w:sz w:val="24"/>
          <w:szCs w:val="24"/>
        </w:rPr>
        <w:t>Α^Μ</w:t>
      </w:r>
      <w:r w:rsidR="00AC7A8D" w:rsidRPr="0008486F">
        <w:rPr>
          <w:rFonts w:ascii="Times New Roman" w:hAnsi="Times New Roman"/>
          <w:sz w:val="24"/>
          <w:szCs w:val="24"/>
        </w:rPr>
        <w:t>. Por otro lado,</w:t>
      </w:r>
      <w:r w:rsidR="002015B0">
        <w:rPr>
          <w:rFonts w:ascii="Times New Roman" w:hAnsi="Times New Roman"/>
          <w:sz w:val="24"/>
          <w:szCs w:val="24"/>
        </w:rPr>
        <w:t xml:space="preserve"> las</w:t>
      </w:r>
      <w:r w:rsidR="00AC7A8D" w:rsidRPr="0008486F">
        <w:rPr>
          <w:rFonts w:ascii="Times New Roman" w:hAnsi="Times New Roman"/>
          <w:sz w:val="24"/>
          <w:szCs w:val="24"/>
        </w:rPr>
        <w:t xml:space="preserve"> </w:t>
      </w:r>
      <w:r w:rsidR="002C63A6" w:rsidRPr="0008486F">
        <w:rPr>
          <w:rFonts w:ascii="Times New Roman" w:hAnsi="Times New Roman"/>
          <w:sz w:val="24"/>
          <w:szCs w:val="24"/>
        </w:rPr>
        <w:t>6</w:t>
      </w:r>
      <w:r w:rsidR="002015B0">
        <w:rPr>
          <w:rFonts w:ascii="Times New Roman" w:hAnsi="Times New Roman"/>
          <w:sz w:val="24"/>
          <w:szCs w:val="24"/>
        </w:rPr>
        <w:t xml:space="preserve"> ánforas cilicias</w:t>
      </w:r>
      <w:r w:rsidR="002C63A6" w:rsidRPr="0008486F">
        <w:rPr>
          <w:rFonts w:ascii="Times New Roman" w:hAnsi="Times New Roman"/>
          <w:sz w:val="24"/>
          <w:szCs w:val="24"/>
        </w:rPr>
        <w:t xml:space="preserve"> PO27</w:t>
      </w:r>
      <w:r w:rsidR="002015B0" w:rsidRPr="0008486F">
        <w:rPr>
          <w:rStyle w:val="FootnoteReference"/>
          <w:rFonts w:ascii="Times New Roman" w:hAnsi="Times New Roman"/>
          <w:sz w:val="24"/>
          <w:szCs w:val="24"/>
        </w:rPr>
        <w:footnoteReference w:id="102"/>
      </w:r>
      <w:r w:rsidR="002C63A6" w:rsidRPr="0008486F">
        <w:rPr>
          <w:rFonts w:ascii="Times New Roman" w:hAnsi="Times New Roman"/>
          <w:sz w:val="24"/>
          <w:szCs w:val="24"/>
        </w:rPr>
        <w:t xml:space="preserve"> </w:t>
      </w:r>
      <w:r w:rsidR="002015B0">
        <w:rPr>
          <w:rFonts w:ascii="Times New Roman" w:hAnsi="Times New Roman"/>
          <w:sz w:val="24"/>
          <w:szCs w:val="24"/>
        </w:rPr>
        <w:t xml:space="preserve">de este grupo </w:t>
      </w:r>
      <w:r w:rsidR="00AC7A8D" w:rsidRPr="0008486F">
        <w:rPr>
          <w:rFonts w:ascii="Times New Roman" w:hAnsi="Times New Roman"/>
          <w:sz w:val="24"/>
          <w:szCs w:val="24"/>
        </w:rPr>
        <w:t xml:space="preserve">llevan </w:t>
      </w:r>
      <w:r w:rsidR="002015B0">
        <w:rPr>
          <w:rFonts w:ascii="Times New Roman" w:hAnsi="Times New Roman"/>
          <w:sz w:val="24"/>
          <w:szCs w:val="24"/>
        </w:rPr>
        <w:t>la</w:t>
      </w:r>
      <w:r w:rsidR="00AC7A8D" w:rsidRPr="0008486F">
        <w:rPr>
          <w:rFonts w:ascii="Times New Roman" w:hAnsi="Times New Roman"/>
          <w:sz w:val="24"/>
          <w:szCs w:val="24"/>
        </w:rPr>
        <w:t xml:space="preserve"> partícula</w:t>
      </w:r>
      <w:r w:rsidR="002015B0">
        <w:rPr>
          <w:rFonts w:ascii="Times New Roman" w:hAnsi="Times New Roman"/>
          <w:sz w:val="24"/>
          <w:szCs w:val="24"/>
        </w:rPr>
        <w:t xml:space="preserve"> </w:t>
      </w:r>
      <w:r w:rsidR="002015B0" w:rsidRPr="0008486F">
        <w:rPr>
          <w:rFonts w:ascii="Times New Roman" w:hAnsi="Times New Roman"/>
          <w:sz w:val="24"/>
          <w:szCs w:val="24"/>
        </w:rPr>
        <w:t>ΑΛ</w:t>
      </w:r>
      <w:r w:rsidR="002015B0">
        <w:rPr>
          <w:rFonts w:ascii="Times New Roman" w:hAnsi="Times New Roman"/>
          <w:sz w:val="24"/>
          <w:szCs w:val="24"/>
        </w:rPr>
        <w:t xml:space="preserve"> en </w:t>
      </w:r>
      <w:r w:rsidR="002015B0" w:rsidRPr="002015B0">
        <w:rPr>
          <w:rFonts w:ascii="Times New Roman" w:hAnsi="Times New Roman"/>
          <w:i/>
          <w:sz w:val="24"/>
          <w:szCs w:val="24"/>
        </w:rPr>
        <w:t>rubrum</w:t>
      </w:r>
      <w:r w:rsidR="002015B0">
        <w:rPr>
          <w:rFonts w:ascii="Times New Roman" w:hAnsi="Times New Roman"/>
          <w:sz w:val="24"/>
          <w:szCs w:val="24"/>
        </w:rPr>
        <w:t>.</w:t>
      </w:r>
      <w:r w:rsidR="00AC7A8D" w:rsidRPr="0008486F">
        <w:rPr>
          <w:rFonts w:ascii="Times New Roman" w:hAnsi="Times New Roman"/>
          <w:sz w:val="24"/>
          <w:szCs w:val="24"/>
        </w:rPr>
        <w:t xml:space="preserve"> </w:t>
      </w:r>
      <w:r w:rsidR="003359EC" w:rsidRPr="0008486F">
        <w:rPr>
          <w:rFonts w:ascii="Times New Roman" w:hAnsi="Times New Roman"/>
          <w:sz w:val="24"/>
          <w:szCs w:val="24"/>
        </w:rPr>
        <w:t>Algunas de ellas portan el genitivo de Καλλ</w:t>
      </w:r>
      <w:r w:rsidR="002015B0">
        <w:rPr>
          <w:rFonts w:ascii="Times New Roman" w:hAnsi="Times New Roman"/>
          <w:sz w:val="24"/>
          <w:szCs w:val="24"/>
        </w:rPr>
        <w:t>ί</w:t>
      </w:r>
      <w:r w:rsidR="003359EC" w:rsidRPr="0008486F">
        <w:rPr>
          <w:rFonts w:ascii="Times New Roman" w:hAnsi="Times New Roman"/>
          <w:sz w:val="24"/>
          <w:szCs w:val="24"/>
        </w:rPr>
        <w:t>καρπος</w:t>
      </w:r>
      <w:r w:rsidR="0091177E" w:rsidRPr="0008486F">
        <w:rPr>
          <w:rStyle w:val="FootnoteReference"/>
          <w:rFonts w:ascii="Times New Roman" w:hAnsi="Times New Roman"/>
          <w:sz w:val="24"/>
          <w:szCs w:val="24"/>
        </w:rPr>
        <w:footnoteReference w:id="103"/>
      </w:r>
      <w:r w:rsidR="003359EC" w:rsidRPr="0008486F">
        <w:rPr>
          <w:rFonts w:ascii="Times New Roman" w:hAnsi="Times New Roman"/>
          <w:sz w:val="24"/>
          <w:szCs w:val="24"/>
        </w:rPr>
        <w:t>, al igual que una PO10</w:t>
      </w:r>
      <w:r w:rsidR="00675A25" w:rsidRPr="0008486F">
        <w:rPr>
          <w:rStyle w:val="FootnoteReference"/>
          <w:rFonts w:ascii="Times New Roman" w:hAnsi="Times New Roman"/>
          <w:sz w:val="24"/>
          <w:szCs w:val="24"/>
        </w:rPr>
        <w:footnoteReference w:id="104"/>
      </w:r>
      <w:r w:rsidR="003359EC" w:rsidRPr="0008486F">
        <w:rPr>
          <w:rFonts w:ascii="Times New Roman" w:hAnsi="Times New Roman"/>
          <w:sz w:val="24"/>
          <w:szCs w:val="24"/>
        </w:rPr>
        <w:t xml:space="preserve"> que también contiene la partícula ΑΛ. A su vez, esta ánfora comparte contexto con 2 PO08</w:t>
      </w:r>
      <w:r w:rsidR="00675A25" w:rsidRPr="0008486F">
        <w:rPr>
          <w:rStyle w:val="FootnoteReference"/>
          <w:rFonts w:ascii="Times New Roman" w:hAnsi="Times New Roman"/>
          <w:sz w:val="24"/>
          <w:szCs w:val="24"/>
        </w:rPr>
        <w:footnoteReference w:id="105"/>
      </w:r>
      <w:r w:rsidR="003359EC" w:rsidRPr="0008486F">
        <w:rPr>
          <w:rFonts w:ascii="Times New Roman" w:hAnsi="Times New Roman"/>
          <w:sz w:val="24"/>
          <w:szCs w:val="24"/>
        </w:rPr>
        <w:t xml:space="preserve"> con la misma partícula y el nombre Φ</w:t>
      </w:r>
      <w:r w:rsidR="000F485F">
        <w:rPr>
          <w:rFonts w:ascii="Times New Roman" w:hAnsi="Times New Roman"/>
          <w:sz w:val="24"/>
          <w:szCs w:val="24"/>
        </w:rPr>
        <w:t>ῆ</w:t>
      </w:r>
      <w:r w:rsidR="003359EC" w:rsidRPr="0008486F">
        <w:rPr>
          <w:rFonts w:ascii="Times New Roman" w:hAnsi="Times New Roman"/>
          <w:sz w:val="24"/>
          <w:szCs w:val="24"/>
        </w:rPr>
        <w:t xml:space="preserve">λιξ. </w:t>
      </w:r>
      <w:r w:rsidR="00AC7A8D" w:rsidRPr="0008486F">
        <w:rPr>
          <w:rFonts w:ascii="Times New Roman" w:hAnsi="Times New Roman"/>
          <w:sz w:val="24"/>
          <w:szCs w:val="24"/>
        </w:rPr>
        <w:t xml:space="preserve">Estas coincidencias apuntan hacia </w:t>
      </w:r>
      <w:r w:rsidR="000274C4" w:rsidRPr="0008486F">
        <w:rPr>
          <w:rFonts w:ascii="Times New Roman" w:hAnsi="Times New Roman"/>
          <w:sz w:val="24"/>
          <w:szCs w:val="24"/>
        </w:rPr>
        <w:t xml:space="preserve">un ámbito comercial donde intervendrían los mismos personajes sobre productos cilicios y cretenses. </w:t>
      </w:r>
      <w:r w:rsidR="00933CC3" w:rsidRPr="0008486F">
        <w:rPr>
          <w:rFonts w:ascii="Times New Roman" w:hAnsi="Times New Roman"/>
          <w:sz w:val="24"/>
          <w:szCs w:val="24"/>
        </w:rPr>
        <w:t>De tal forma</w:t>
      </w:r>
      <w:r w:rsidR="000274C4" w:rsidRPr="0008486F">
        <w:rPr>
          <w:rFonts w:ascii="Times New Roman" w:hAnsi="Times New Roman"/>
          <w:sz w:val="24"/>
          <w:szCs w:val="24"/>
        </w:rPr>
        <w:t xml:space="preserve">, la abreviatura ΑΛ </w:t>
      </w:r>
      <w:r w:rsidR="00933CC3" w:rsidRPr="0008486F">
        <w:rPr>
          <w:rFonts w:ascii="Times New Roman" w:hAnsi="Times New Roman"/>
          <w:sz w:val="24"/>
          <w:szCs w:val="24"/>
        </w:rPr>
        <w:t>remite</w:t>
      </w:r>
      <w:r w:rsidR="000274C4" w:rsidRPr="0008486F">
        <w:rPr>
          <w:rFonts w:ascii="Times New Roman" w:hAnsi="Times New Roman"/>
          <w:sz w:val="24"/>
          <w:szCs w:val="24"/>
        </w:rPr>
        <w:t xml:space="preserve"> a </w:t>
      </w:r>
      <w:r w:rsidR="00933CC3" w:rsidRPr="0008486F">
        <w:rPr>
          <w:rFonts w:ascii="Times New Roman" w:hAnsi="Times New Roman"/>
          <w:sz w:val="24"/>
          <w:szCs w:val="24"/>
        </w:rPr>
        <w:t xml:space="preserve">los nombres </w:t>
      </w:r>
      <w:r w:rsidR="007B77F3">
        <w:rPr>
          <w:rFonts w:ascii="Times New Roman" w:hAnsi="Times New Roman"/>
          <w:sz w:val="24"/>
          <w:szCs w:val="24"/>
        </w:rPr>
        <w:t>Ἀ</w:t>
      </w:r>
      <w:r w:rsidR="000274C4" w:rsidRPr="0008486F">
        <w:rPr>
          <w:rFonts w:ascii="Times New Roman" w:hAnsi="Times New Roman"/>
          <w:sz w:val="24"/>
          <w:szCs w:val="24"/>
        </w:rPr>
        <w:t>λ</w:t>
      </w:r>
      <w:r w:rsidR="007B77F3">
        <w:rPr>
          <w:rFonts w:ascii="Times New Roman" w:hAnsi="Times New Roman"/>
          <w:sz w:val="24"/>
          <w:szCs w:val="24"/>
        </w:rPr>
        <w:t>έ</w:t>
      </w:r>
      <w:r w:rsidR="000274C4" w:rsidRPr="0008486F">
        <w:rPr>
          <w:rFonts w:ascii="Times New Roman" w:hAnsi="Times New Roman"/>
          <w:sz w:val="24"/>
          <w:szCs w:val="24"/>
        </w:rPr>
        <w:t>ξανδρος</w:t>
      </w:r>
      <w:r w:rsidR="00675A25" w:rsidRPr="0008486F">
        <w:rPr>
          <w:rStyle w:val="FootnoteReference"/>
          <w:rFonts w:ascii="Times New Roman" w:hAnsi="Times New Roman"/>
          <w:sz w:val="24"/>
          <w:szCs w:val="24"/>
        </w:rPr>
        <w:footnoteReference w:id="106"/>
      </w:r>
      <w:r w:rsidR="00933CC3" w:rsidRPr="0008486F">
        <w:rPr>
          <w:rFonts w:ascii="Times New Roman" w:hAnsi="Times New Roman"/>
          <w:sz w:val="24"/>
          <w:szCs w:val="24"/>
        </w:rPr>
        <w:t xml:space="preserve"> y</w:t>
      </w:r>
      <w:r w:rsidR="00941473" w:rsidRPr="0008486F">
        <w:rPr>
          <w:rFonts w:ascii="Times New Roman" w:hAnsi="Times New Roman"/>
          <w:sz w:val="24"/>
          <w:szCs w:val="24"/>
        </w:rPr>
        <w:t xml:space="preserve"> Σ</w:t>
      </w:r>
      <w:r w:rsidR="007B77F3">
        <w:rPr>
          <w:rFonts w:ascii="Times New Roman" w:hAnsi="Times New Roman"/>
          <w:sz w:val="24"/>
          <w:szCs w:val="24"/>
        </w:rPr>
        <w:t>έ</w:t>
      </w:r>
      <w:r w:rsidR="00941473" w:rsidRPr="0008486F">
        <w:rPr>
          <w:rFonts w:ascii="Times New Roman" w:hAnsi="Times New Roman"/>
          <w:sz w:val="24"/>
          <w:szCs w:val="24"/>
        </w:rPr>
        <w:t xml:space="preserve">ρ. </w:t>
      </w:r>
      <w:r w:rsidR="007B77F3">
        <w:rPr>
          <w:rFonts w:ascii="Times New Roman" w:hAnsi="Times New Roman"/>
          <w:sz w:val="24"/>
          <w:szCs w:val="24"/>
        </w:rPr>
        <w:t>Ἰ</w:t>
      </w:r>
      <w:r w:rsidR="00941473" w:rsidRPr="0008486F">
        <w:rPr>
          <w:rFonts w:ascii="Times New Roman" w:hAnsi="Times New Roman"/>
          <w:sz w:val="24"/>
          <w:szCs w:val="24"/>
        </w:rPr>
        <w:t>ο</w:t>
      </w:r>
      <w:r w:rsidR="007B77F3">
        <w:rPr>
          <w:rFonts w:ascii="Times New Roman" w:hAnsi="Times New Roman"/>
          <w:sz w:val="24"/>
          <w:szCs w:val="24"/>
        </w:rPr>
        <w:t>ύ</w:t>
      </w:r>
      <w:r w:rsidR="00941473" w:rsidRPr="0008486F">
        <w:rPr>
          <w:rFonts w:ascii="Times New Roman" w:hAnsi="Times New Roman"/>
          <w:sz w:val="24"/>
          <w:szCs w:val="24"/>
        </w:rPr>
        <w:t xml:space="preserve">λιος </w:t>
      </w:r>
      <w:r w:rsidR="007B77F3">
        <w:rPr>
          <w:rFonts w:ascii="Times New Roman" w:hAnsi="Times New Roman"/>
          <w:sz w:val="24"/>
          <w:szCs w:val="24"/>
        </w:rPr>
        <w:t>Ἄ</w:t>
      </w:r>
      <w:r w:rsidR="000274C4" w:rsidRPr="0008486F">
        <w:rPr>
          <w:rFonts w:ascii="Times New Roman" w:hAnsi="Times New Roman"/>
          <w:sz w:val="24"/>
          <w:szCs w:val="24"/>
        </w:rPr>
        <w:t>λιος</w:t>
      </w:r>
      <w:r w:rsidR="00675A25" w:rsidRPr="0008486F">
        <w:rPr>
          <w:rStyle w:val="FootnoteReference"/>
          <w:rFonts w:ascii="Times New Roman" w:hAnsi="Times New Roman"/>
          <w:sz w:val="24"/>
          <w:szCs w:val="24"/>
        </w:rPr>
        <w:footnoteReference w:id="107"/>
      </w:r>
      <w:r w:rsidR="000274C4" w:rsidRPr="0008486F">
        <w:rPr>
          <w:rFonts w:ascii="Times New Roman" w:hAnsi="Times New Roman"/>
          <w:sz w:val="24"/>
          <w:szCs w:val="24"/>
        </w:rPr>
        <w:t>, según los casos.</w:t>
      </w:r>
    </w:p>
    <w:p w:rsidR="00933CC3" w:rsidRPr="0008486F" w:rsidRDefault="00933CC3" w:rsidP="00F34854">
      <w:pPr>
        <w:spacing w:after="0" w:line="360" w:lineRule="auto"/>
        <w:ind w:firstLine="709"/>
        <w:jc w:val="both"/>
        <w:rPr>
          <w:rFonts w:ascii="Times New Roman" w:hAnsi="Times New Roman"/>
          <w:sz w:val="24"/>
          <w:szCs w:val="24"/>
        </w:rPr>
      </w:pPr>
      <w:r w:rsidRPr="0008486F">
        <w:rPr>
          <w:rFonts w:ascii="Times New Roman" w:hAnsi="Times New Roman"/>
          <w:sz w:val="24"/>
          <w:szCs w:val="24"/>
        </w:rPr>
        <w:t>La partícula ΚΟ</w:t>
      </w:r>
      <w:r w:rsidR="008130DF" w:rsidRPr="0008486F">
        <w:rPr>
          <w:rStyle w:val="FootnoteReference"/>
          <w:rFonts w:ascii="Times New Roman" w:hAnsi="Times New Roman"/>
          <w:sz w:val="24"/>
          <w:szCs w:val="24"/>
        </w:rPr>
        <w:footnoteReference w:id="108"/>
      </w:r>
      <w:r w:rsidR="00827597" w:rsidRPr="0008486F">
        <w:rPr>
          <w:rFonts w:ascii="Times New Roman" w:hAnsi="Times New Roman"/>
          <w:sz w:val="24"/>
          <w:szCs w:val="24"/>
        </w:rPr>
        <w:t xml:space="preserve"> </w:t>
      </w:r>
      <w:r w:rsidR="007B77F3">
        <w:rPr>
          <w:rFonts w:ascii="Times New Roman" w:hAnsi="Times New Roman"/>
          <w:sz w:val="24"/>
          <w:szCs w:val="24"/>
        </w:rPr>
        <w:t>-15-</w:t>
      </w:r>
      <w:r w:rsidRPr="0008486F">
        <w:rPr>
          <w:rFonts w:ascii="Times New Roman" w:hAnsi="Times New Roman"/>
          <w:sz w:val="24"/>
          <w:szCs w:val="24"/>
        </w:rPr>
        <w:t xml:space="preserve"> se ha comentado para el caso </w:t>
      </w:r>
      <w:r w:rsidR="007B77F3">
        <w:rPr>
          <w:rFonts w:ascii="Times New Roman" w:hAnsi="Times New Roman"/>
          <w:sz w:val="24"/>
          <w:szCs w:val="24"/>
        </w:rPr>
        <w:t>21</w:t>
      </w:r>
      <w:r w:rsidRPr="0008486F">
        <w:rPr>
          <w:rFonts w:ascii="Times New Roman" w:hAnsi="Times New Roman"/>
          <w:sz w:val="24"/>
          <w:szCs w:val="24"/>
        </w:rPr>
        <w:t xml:space="preserve">. </w:t>
      </w:r>
      <w:r w:rsidR="00AD2BF6" w:rsidRPr="0008486F">
        <w:rPr>
          <w:rFonts w:ascii="Times New Roman" w:hAnsi="Times New Roman"/>
          <w:sz w:val="24"/>
          <w:szCs w:val="24"/>
        </w:rPr>
        <w:t>Si se atiende a sus posibles desarrollos sobre otras PO08</w:t>
      </w:r>
      <w:r w:rsidR="008130DF" w:rsidRPr="0008486F">
        <w:rPr>
          <w:rStyle w:val="FootnoteReference"/>
          <w:rFonts w:ascii="Times New Roman" w:hAnsi="Times New Roman"/>
          <w:sz w:val="24"/>
          <w:szCs w:val="24"/>
        </w:rPr>
        <w:footnoteReference w:id="109"/>
      </w:r>
      <w:r w:rsidR="00AD2BF6" w:rsidRPr="0008486F">
        <w:rPr>
          <w:rFonts w:ascii="Times New Roman" w:hAnsi="Times New Roman"/>
          <w:sz w:val="24"/>
          <w:szCs w:val="24"/>
        </w:rPr>
        <w:t>, la abreviatura Κορ(---) remite a una serie de paralelos sobre 4 PO10</w:t>
      </w:r>
      <w:r w:rsidR="008130DF" w:rsidRPr="0008486F">
        <w:rPr>
          <w:rStyle w:val="FootnoteReference"/>
          <w:rFonts w:ascii="Times New Roman" w:hAnsi="Times New Roman"/>
          <w:sz w:val="24"/>
          <w:szCs w:val="24"/>
        </w:rPr>
        <w:footnoteReference w:id="110"/>
      </w:r>
      <w:r w:rsidR="00AD2BF6" w:rsidRPr="0008486F">
        <w:rPr>
          <w:rFonts w:ascii="Times New Roman" w:hAnsi="Times New Roman"/>
          <w:sz w:val="24"/>
          <w:szCs w:val="24"/>
        </w:rPr>
        <w:t xml:space="preserve">. Así, este conjunto de posible procedencia cretense permite proponer la </w:t>
      </w:r>
      <w:r w:rsidR="007B77F3">
        <w:rPr>
          <w:rFonts w:ascii="Times New Roman" w:hAnsi="Times New Roman"/>
          <w:sz w:val="24"/>
          <w:szCs w:val="24"/>
        </w:rPr>
        <w:t>abreviatura</w:t>
      </w:r>
      <w:r w:rsidR="00AD2BF6" w:rsidRPr="0008486F">
        <w:rPr>
          <w:rFonts w:ascii="Times New Roman" w:hAnsi="Times New Roman"/>
          <w:sz w:val="24"/>
          <w:szCs w:val="24"/>
        </w:rPr>
        <w:t xml:space="preserve"> Κοριν(---)</w:t>
      </w:r>
      <w:r w:rsidR="007B77F3">
        <w:rPr>
          <w:rFonts w:ascii="Times New Roman" w:hAnsi="Times New Roman"/>
          <w:sz w:val="24"/>
          <w:szCs w:val="24"/>
        </w:rPr>
        <w:t xml:space="preserve"> como desarrollo parcial de ΚΟ</w:t>
      </w:r>
      <w:r w:rsidR="00AD2BF6" w:rsidRPr="0008486F">
        <w:rPr>
          <w:rFonts w:ascii="Times New Roman" w:hAnsi="Times New Roman"/>
          <w:sz w:val="24"/>
          <w:szCs w:val="24"/>
        </w:rPr>
        <w:t xml:space="preserve">. Una de estas ánforas pertenece al mismo contexto de hallazgo que los casos </w:t>
      </w:r>
      <w:r w:rsidR="007B77F3">
        <w:rPr>
          <w:rFonts w:ascii="Times New Roman" w:hAnsi="Times New Roman"/>
          <w:sz w:val="24"/>
          <w:szCs w:val="24"/>
        </w:rPr>
        <w:t>7-8</w:t>
      </w:r>
      <w:r w:rsidR="00AD2BF6" w:rsidRPr="0008486F">
        <w:rPr>
          <w:rFonts w:ascii="Times New Roman" w:hAnsi="Times New Roman"/>
          <w:sz w:val="24"/>
          <w:szCs w:val="24"/>
        </w:rPr>
        <w:t xml:space="preserve"> y </w:t>
      </w:r>
      <w:r w:rsidR="007B77F3">
        <w:rPr>
          <w:rFonts w:ascii="Times New Roman" w:hAnsi="Times New Roman"/>
          <w:sz w:val="24"/>
          <w:szCs w:val="24"/>
        </w:rPr>
        <w:t>21-25</w:t>
      </w:r>
      <w:r w:rsidR="00DE2C7D" w:rsidRPr="0008486F">
        <w:rPr>
          <w:rStyle w:val="FootnoteReference"/>
          <w:rFonts w:ascii="Times New Roman" w:hAnsi="Times New Roman"/>
          <w:sz w:val="24"/>
          <w:szCs w:val="24"/>
        </w:rPr>
        <w:footnoteReference w:id="111"/>
      </w:r>
      <w:r w:rsidR="00AD2BF6" w:rsidRPr="0008486F">
        <w:rPr>
          <w:rFonts w:ascii="Times New Roman" w:hAnsi="Times New Roman"/>
          <w:sz w:val="24"/>
          <w:szCs w:val="24"/>
        </w:rPr>
        <w:t>.</w:t>
      </w:r>
    </w:p>
    <w:p w:rsidR="00B16849" w:rsidRDefault="00B16849" w:rsidP="00F34854">
      <w:pPr>
        <w:spacing w:after="0" w:line="360" w:lineRule="auto"/>
        <w:ind w:firstLine="709"/>
        <w:jc w:val="both"/>
        <w:rPr>
          <w:rFonts w:ascii="Times New Roman" w:hAnsi="Times New Roman"/>
          <w:sz w:val="24"/>
          <w:szCs w:val="24"/>
        </w:rPr>
      </w:pPr>
      <w:r w:rsidRPr="0008486F">
        <w:rPr>
          <w:rFonts w:ascii="Times New Roman" w:hAnsi="Times New Roman"/>
          <w:sz w:val="24"/>
          <w:szCs w:val="24"/>
        </w:rPr>
        <w:t xml:space="preserve">La letra Μ </w:t>
      </w:r>
      <w:r w:rsidR="007B77F3">
        <w:rPr>
          <w:rFonts w:ascii="Times New Roman" w:hAnsi="Times New Roman"/>
          <w:sz w:val="24"/>
          <w:szCs w:val="24"/>
        </w:rPr>
        <w:t xml:space="preserve">-16-18- </w:t>
      </w:r>
      <w:r w:rsidRPr="0008486F">
        <w:rPr>
          <w:rFonts w:ascii="Times New Roman" w:hAnsi="Times New Roman"/>
          <w:sz w:val="24"/>
          <w:szCs w:val="24"/>
        </w:rPr>
        <w:t>puede relacionarse con la partícula ΜΥ</w:t>
      </w:r>
      <w:r w:rsidR="00827597" w:rsidRPr="0008486F">
        <w:rPr>
          <w:rStyle w:val="FootnoteReference"/>
          <w:rFonts w:ascii="Times New Roman" w:hAnsi="Times New Roman"/>
          <w:sz w:val="24"/>
          <w:szCs w:val="24"/>
        </w:rPr>
        <w:footnoteReference w:id="112"/>
      </w:r>
      <w:r w:rsidR="00827597" w:rsidRPr="0008486F">
        <w:rPr>
          <w:rFonts w:ascii="Times New Roman" w:hAnsi="Times New Roman"/>
          <w:sz w:val="24"/>
          <w:szCs w:val="24"/>
        </w:rPr>
        <w:t xml:space="preserve"> </w:t>
      </w:r>
      <w:r w:rsidRPr="0008486F">
        <w:rPr>
          <w:rFonts w:ascii="Times New Roman" w:hAnsi="Times New Roman"/>
          <w:sz w:val="24"/>
          <w:szCs w:val="24"/>
        </w:rPr>
        <w:t xml:space="preserve">o la posible sigla </w:t>
      </w:r>
      <w:r w:rsidRPr="005E40ED">
        <w:rPr>
          <w:rFonts w:ascii="Times New Roman" w:hAnsi="Times New Roman"/>
          <w:i/>
          <w:sz w:val="24"/>
          <w:szCs w:val="24"/>
        </w:rPr>
        <w:t>Μ. Ϲ. Υ.</w:t>
      </w:r>
      <w:r w:rsidR="00ED0F2C" w:rsidRPr="0008486F">
        <w:rPr>
          <w:rStyle w:val="FootnoteReference"/>
          <w:rFonts w:ascii="Times New Roman" w:hAnsi="Times New Roman"/>
          <w:sz w:val="24"/>
          <w:szCs w:val="24"/>
        </w:rPr>
        <w:footnoteReference w:id="113"/>
      </w:r>
      <w:r w:rsidR="00ED0F2C" w:rsidRPr="0008486F">
        <w:rPr>
          <w:rFonts w:ascii="Times New Roman" w:hAnsi="Times New Roman"/>
          <w:sz w:val="24"/>
          <w:szCs w:val="24"/>
        </w:rPr>
        <w:t xml:space="preserve"> </w:t>
      </w:r>
      <w:r w:rsidR="007B77F3">
        <w:rPr>
          <w:rFonts w:ascii="Times New Roman" w:hAnsi="Times New Roman"/>
          <w:sz w:val="24"/>
          <w:szCs w:val="24"/>
        </w:rPr>
        <w:t>-19-20-</w:t>
      </w:r>
      <w:r w:rsidR="00DB35A9" w:rsidRPr="0008486F">
        <w:rPr>
          <w:rFonts w:ascii="Times New Roman" w:hAnsi="Times New Roman"/>
          <w:sz w:val="24"/>
          <w:szCs w:val="24"/>
        </w:rPr>
        <w:t>, pero amb</w:t>
      </w:r>
      <w:r w:rsidR="007B77F3">
        <w:rPr>
          <w:rFonts w:ascii="Times New Roman" w:hAnsi="Times New Roman"/>
          <w:sz w:val="24"/>
          <w:szCs w:val="24"/>
        </w:rPr>
        <w:t>a</w:t>
      </w:r>
      <w:r w:rsidR="00DB35A9" w:rsidRPr="0008486F">
        <w:rPr>
          <w:rFonts w:ascii="Times New Roman" w:hAnsi="Times New Roman"/>
          <w:sz w:val="24"/>
          <w:szCs w:val="24"/>
        </w:rPr>
        <w:t xml:space="preserve">s ofrecen </w:t>
      </w:r>
      <w:r w:rsidR="007B77F3">
        <w:rPr>
          <w:rFonts w:ascii="Times New Roman" w:hAnsi="Times New Roman"/>
          <w:sz w:val="24"/>
          <w:szCs w:val="24"/>
        </w:rPr>
        <w:t>un escaso paralelismo</w:t>
      </w:r>
      <w:r w:rsidRPr="0008486F">
        <w:rPr>
          <w:rFonts w:ascii="Times New Roman" w:hAnsi="Times New Roman"/>
          <w:sz w:val="24"/>
          <w:szCs w:val="24"/>
        </w:rPr>
        <w:t xml:space="preserve">. </w:t>
      </w:r>
      <w:r w:rsidR="00407F57" w:rsidRPr="0008486F">
        <w:rPr>
          <w:rFonts w:ascii="Times New Roman" w:hAnsi="Times New Roman"/>
          <w:sz w:val="24"/>
          <w:szCs w:val="24"/>
        </w:rPr>
        <w:t>La partícula ΝΥ</w:t>
      </w:r>
      <w:r w:rsidR="00DB35A9" w:rsidRPr="0008486F">
        <w:rPr>
          <w:rStyle w:val="FootnoteReference"/>
          <w:rFonts w:ascii="Times New Roman" w:hAnsi="Times New Roman"/>
          <w:sz w:val="24"/>
          <w:szCs w:val="24"/>
        </w:rPr>
        <w:footnoteReference w:id="114"/>
      </w:r>
      <w:r w:rsidR="00407F57" w:rsidRPr="0008486F">
        <w:rPr>
          <w:rFonts w:ascii="Times New Roman" w:hAnsi="Times New Roman"/>
          <w:sz w:val="24"/>
          <w:szCs w:val="24"/>
        </w:rPr>
        <w:t xml:space="preserve"> tampoco ofrece comentarios destacables. </w:t>
      </w:r>
      <w:r w:rsidRPr="0008486F">
        <w:rPr>
          <w:rFonts w:ascii="Times New Roman" w:hAnsi="Times New Roman"/>
          <w:sz w:val="24"/>
          <w:szCs w:val="24"/>
        </w:rPr>
        <w:t>La letra Μ aparece de forma</w:t>
      </w:r>
      <w:r w:rsidR="004333EE" w:rsidRPr="0008486F">
        <w:rPr>
          <w:rFonts w:ascii="Times New Roman" w:hAnsi="Times New Roman"/>
          <w:sz w:val="24"/>
          <w:szCs w:val="24"/>
        </w:rPr>
        <w:t xml:space="preserve"> aislable</w:t>
      </w:r>
      <w:r w:rsidRPr="0008486F">
        <w:rPr>
          <w:rFonts w:ascii="Times New Roman" w:hAnsi="Times New Roman"/>
          <w:sz w:val="24"/>
          <w:szCs w:val="24"/>
        </w:rPr>
        <w:t xml:space="preserve"> en múltiples ocasiones</w:t>
      </w:r>
      <w:r w:rsidR="00245AAD" w:rsidRPr="0008486F">
        <w:rPr>
          <w:rFonts w:ascii="Times New Roman" w:hAnsi="Times New Roman"/>
          <w:sz w:val="24"/>
          <w:szCs w:val="24"/>
        </w:rPr>
        <w:t>. En el caso de las PO08</w:t>
      </w:r>
      <w:r w:rsidR="00DB35A9" w:rsidRPr="0008486F">
        <w:rPr>
          <w:rStyle w:val="FootnoteReference"/>
          <w:rFonts w:ascii="Times New Roman" w:hAnsi="Times New Roman"/>
          <w:sz w:val="24"/>
          <w:szCs w:val="24"/>
        </w:rPr>
        <w:footnoteReference w:id="115"/>
      </w:r>
      <w:r w:rsidR="004943ED" w:rsidRPr="0008486F">
        <w:rPr>
          <w:rFonts w:ascii="Times New Roman" w:hAnsi="Times New Roman"/>
          <w:sz w:val="24"/>
          <w:szCs w:val="24"/>
        </w:rPr>
        <w:t>,</w:t>
      </w:r>
      <w:r w:rsidR="00245AAD" w:rsidRPr="0008486F">
        <w:rPr>
          <w:rFonts w:ascii="Times New Roman" w:hAnsi="Times New Roman"/>
          <w:sz w:val="24"/>
          <w:szCs w:val="24"/>
        </w:rPr>
        <w:t xml:space="preserve"> no se han observado ningún patrón en las correspondientes titulaturas.</w:t>
      </w:r>
      <w:r w:rsidR="004943ED" w:rsidRPr="0008486F">
        <w:rPr>
          <w:rFonts w:ascii="Times New Roman" w:hAnsi="Times New Roman"/>
          <w:sz w:val="24"/>
          <w:szCs w:val="24"/>
        </w:rPr>
        <w:t xml:space="preserve"> Esta letra también ha aparecido en </w:t>
      </w:r>
      <w:r w:rsidR="00080C48">
        <w:rPr>
          <w:rFonts w:ascii="Times New Roman" w:hAnsi="Times New Roman"/>
          <w:i/>
          <w:sz w:val="24"/>
          <w:szCs w:val="24"/>
        </w:rPr>
        <w:t>g</w:t>
      </w:r>
      <w:r w:rsidR="00833DFA" w:rsidRPr="00833DFA">
        <w:rPr>
          <w:rFonts w:ascii="Times New Roman" w:hAnsi="Times New Roman"/>
          <w:i/>
          <w:sz w:val="24"/>
          <w:szCs w:val="24"/>
        </w:rPr>
        <w:t>ilvus</w:t>
      </w:r>
      <w:r w:rsidR="004943ED" w:rsidRPr="0008486F">
        <w:rPr>
          <w:rFonts w:ascii="Times New Roman" w:hAnsi="Times New Roman"/>
          <w:sz w:val="24"/>
          <w:szCs w:val="24"/>
        </w:rPr>
        <w:t xml:space="preserve">, así como en </w:t>
      </w:r>
      <w:r w:rsidR="00080C48" w:rsidRPr="00080C48">
        <w:rPr>
          <w:rFonts w:ascii="Times New Roman" w:hAnsi="Times New Roman"/>
          <w:i/>
          <w:sz w:val="24"/>
          <w:szCs w:val="24"/>
        </w:rPr>
        <w:t>r</w:t>
      </w:r>
      <w:r w:rsidR="00DB6D83" w:rsidRPr="00080C48">
        <w:rPr>
          <w:rFonts w:ascii="Times New Roman" w:hAnsi="Times New Roman"/>
          <w:i/>
          <w:sz w:val="24"/>
          <w:szCs w:val="24"/>
        </w:rPr>
        <w:t>ubr</w:t>
      </w:r>
      <w:r w:rsidR="00080C48" w:rsidRPr="00080C48">
        <w:rPr>
          <w:rFonts w:ascii="Times New Roman" w:hAnsi="Times New Roman"/>
          <w:i/>
          <w:sz w:val="24"/>
          <w:szCs w:val="24"/>
        </w:rPr>
        <w:t>um</w:t>
      </w:r>
      <w:r w:rsidR="00080C48">
        <w:rPr>
          <w:rFonts w:ascii="Times New Roman" w:hAnsi="Times New Roman"/>
          <w:sz w:val="24"/>
          <w:szCs w:val="24"/>
        </w:rPr>
        <w:t xml:space="preserve"> y </w:t>
      </w:r>
      <w:r w:rsidR="00080C48" w:rsidRPr="00080C48">
        <w:rPr>
          <w:rFonts w:ascii="Times New Roman" w:hAnsi="Times New Roman"/>
          <w:i/>
          <w:sz w:val="24"/>
          <w:szCs w:val="24"/>
        </w:rPr>
        <w:t>n</w:t>
      </w:r>
      <w:r w:rsidR="00407F57" w:rsidRPr="00080C48">
        <w:rPr>
          <w:rFonts w:ascii="Times New Roman" w:hAnsi="Times New Roman"/>
          <w:i/>
          <w:sz w:val="24"/>
          <w:szCs w:val="24"/>
        </w:rPr>
        <w:t>igrum</w:t>
      </w:r>
      <w:r w:rsidR="00407F57" w:rsidRPr="0008486F">
        <w:rPr>
          <w:rFonts w:ascii="Times New Roman" w:hAnsi="Times New Roman"/>
          <w:sz w:val="24"/>
          <w:szCs w:val="24"/>
        </w:rPr>
        <w:t xml:space="preserve"> sobre PO08</w:t>
      </w:r>
      <w:r w:rsidR="00DB6D83" w:rsidRPr="0008486F">
        <w:rPr>
          <w:rStyle w:val="FootnoteReference"/>
          <w:rFonts w:ascii="Times New Roman" w:hAnsi="Times New Roman"/>
          <w:sz w:val="24"/>
          <w:szCs w:val="24"/>
        </w:rPr>
        <w:footnoteReference w:id="116"/>
      </w:r>
      <w:r w:rsidR="00407F57" w:rsidRPr="0008486F">
        <w:rPr>
          <w:rFonts w:ascii="Times New Roman" w:hAnsi="Times New Roman"/>
          <w:sz w:val="24"/>
          <w:szCs w:val="24"/>
        </w:rPr>
        <w:t>.</w:t>
      </w:r>
      <w:r w:rsidR="00D2169D" w:rsidRPr="0008486F">
        <w:rPr>
          <w:rFonts w:ascii="Times New Roman" w:hAnsi="Times New Roman"/>
          <w:sz w:val="24"/>
          <w:szCs w:val="24"/>
        </w:rPr>
        <w:t xml:space="preserve"> Si se atiende a sus posibles desarrollos sobre otras PO08, remite a la posible abreviatura Μανα(---)</w:t>
      </w:r>
      <w:r w:rsidR="00D2169D" w:rsidRPr="0008486F">
        <w:rPr>
          <w:rStyle w:val="FootnoteReference"/>
          <w:rFonts w:ascii="Times New Roman" w:hAnsi="Times New Roman"/>
          <w:sz w:val="24"/>
          <w:szCs w:val="24"/>
        </w:rPr>
        <w:footnoteReference w:id="117"/>
      </w:r>
      <w:r w:rsidR="00D2169D" w:rsidRPr="0008486F">
        <w:rPr>
          <w:rFonts w:ascii="Times New Roman" w:hAnsi="Times New Roman"/>
          <w:sz w:val="24"/>
          <w:szCs w:val="24"/>
        </w:rPr>
        <w:t xml:space="preserve"> y a</w:t>
      </w:r>
      <w:r w:rsidR="005E40ED">
        <w:rPr>
          <w:rFonts w:ascii="Times New Roman" w:hAnsi="Times New Roman"/>
          <w:sz w:val="24"/>
          <w:szCs w:val="24"/>
        </w:rPr>
        <w:t>l</w:t>
      </w:r>
      <w:r w:rsidR="00D2169D" w:rsidRPr="0008486F">
        <w:rPr>
          <w:rFonts w:ascii="Times New Roman" w:hAnsi="Times New Roman"/>
          <w:sz w:val="24"/>
          <w:szCs w:val="24"/>
        </w:rPr>
        <w:t xml:space="preserve"> nombre Μ</w:t>
      </w:r>
      <w:r w:rsidR="00092D36">
        <w:rPr>
          <w:rFonts w:ascii="Times New Roman" w:hAnsi="Times New Roman"/>
          <w:sz w:val="24"/>
          <w:szCs w:val="24"/>
        </w:rPr>
        <w:t>ᾶ</w:t>
      </w:r>
      <w:r w:rsidR="00D2169D" w:rsidRPr="0008486F">
        <w:rPr>
          <w:rFonts w:ascii="Times New Roman" w:hAnsi="Times New Roman"/>
          <w:sz w:val="24"/>
          <w:szCs w:val="24"/>
        </w:rPr>
        <w:t>ρκος en genitivo</w:t>
      </w:r>
      <w:r w:rsidR="00FE6D76" w:rsidRPr="0008486F">
        <w:rPr>
          <w:rStyle w:val="FootnoteReference"/>
          <w:rFonts w:ascii="Times New Roman" w:hAnsi="Times New Roman"/>
          <w:sz w:val="24"/>
          <w:szCs w:val="24"/>
        </w:rPr>
        <w:footnoteReference w:id="118"/>
      </w:r>
      <w:r w:rsidR="00D2169D" w:rsidRPr="0008486F">
        <w:rPr>
          <w:rFonts w:ascii="Times New Roman" w:hAnsi="Times New Roman"/>
          <w:sz w:val="24"/>
          <w:szCs w:val="24"/>
        </w:rPr>
        <w:t>.</w:t>
      </w:r>
    </w:p>
    <w:p w:rsidR="0098629D" w:rsidRDefault="00866620" w:rsidP="0098629D">
      <w:pPr>
        <w:spacing w:after="0" w:line="360" w:lineRule="auto"/>
        <w:ind w:firstLine="709"/>
        <w:jc w:val="both"/>
        <w:rPr>
          <w:rFonts w:ascii="Times New Roman" w:hAnsi="Times New Roman"/>
          <w:sz w:val="24"/>
          <w:szCs w:val="24"/>
        </w:rPr>
      </w:pPr>
      <w:r>
        <w:rPr>
          <w:rFonts w:ascii="Times New Roman" w:hAnsi="Times New Roman"/>
          <w:sz w:val="24"/>
          <w:szCs w:val="24"/>
        </w:rPr>
        <w:t xml:space="preserve">En </w:t>
      </w:r>
      <w:r w:rsidR="0098629D">
        <w:rPr>
          <w:rFonts w:ascii="Times New Roman" w:hAnsi="Times New Roman"/>
          <w:sz w:val="24"/>
          <w:szCs w:val="24"/>
        </w:rPr>
        <w:t>s</w:t>
      </w:r>
      <w:r w:rsidR="0017062A">
        <w:rPr>
          <w:rFonts w:ascii="Times New Roman" w:hAnsi="Times New Roman"/>
          <w:sz w:val="24"/>
          <w:szCs w:val="24"/>
        </w:rPr>
        <w:t>íntesis,</w:t>
      </w:r>
      <w:r>
        <w:rPr>
          <w:rFonts w:ascii="Times New Roman" w:hAnsi="Times New Roman"/>
          <w:sz w:val="24"/>
          <w:szCs w:val="24"/>
        </w:rPr>
        <w:t xml:space="preserve"> las letras aisladas o secuencias breves de letras </w:t>
      </w:r>
      <w:r w:rsidR="0017062A">
        <w:rPr>
          <w:rFonts w:ascii="Times New Roman" w:hAnsi="Times New Roman"/>
          <w:sz w:val="24"/>
          <w:szCs w:val="24"/>
        </w:rPr>
        <w:t xml:space="preserve">propias del grupo 5 </w:t>
      </w:r>
      <w:r>
        <w:rPr>
          <w:rFonts w:ascii="Times New Roman" w:hAnsi="Times New Roman"/>
          <w:sz w:val="24"/>
          <w:szCs w:val="24"/>
        </w:rPr>
        <w:t xml:space="preserve">se han considerado </w:t>
      </w:r>
      <w:r w:rsidR="0017062A">
        <w:rPr>
          <w:rFonts w:ascii="Times New Roman" w:hAnsi="Times New Roman"/>
          <w:sz w:val="24"/>
          <w:szCs w:val="24"/>
        </w:rPr>
        <w:t xml:space="preserve">probables </w:t>
      </w:r>
      <w:r>
        <w:rPr>
          <w:rFonts w:ascii="Times New Roman" w:hAnsi="Times New Roman"/>
          <w:sz w:val="24"/>
          <w:szCs w:val="24"/>
        </w:rPr>
        <w:t>nombres personales</w:t>
      </w:r>
      <w:r w:rsidR="0017062A">
        <w:rPr>
          <w:rFonts w:ascii="Times New Roman" w:hAnsi="Times New Roman"/>
          <w:sz w:val="24"/>
          <w:szCs w:val="24"/>
        </w:rPr>
        <w:t xml:space="preserve"> griegos</w:t>
      </w:r>
      <w:r>
        <w:rPr>
          <w:rFonts w:ascii="Times New Roman" w:hAnsi="Times New Roman"/>
          <w:sz w:val="24"/>
          <w:szCs w:val="24"/>
        </w:rPr>
        <w:t xml:space="preserve">. </w:t>
      </w:r>
      <w:r w:rsidR="0017062A">
        <w:rPr>
          <w:rFonts w:ascii="Times New Roman" w:hAnsi="Times New Roman"/>
          <w:sz w:val="24"/>
          <w:szCs w:val="24"/>
        </w:rPr>
        <w:t>Cuando no aparecen caracteres exclusivamente griegos, se considera la diferencia de tintas con CAR y TICO, así como la similitud en este aspecto con los nombres griegos acompañantes. Además, se asume que todas est</w:t>
      </w:r>
      <w:r>
        <w:rPr>
          <w:rFonts w:ascii="Times New Roman" w:hAnsi="Times New Roman"/>
          <w:sz w:val="24"/>
          <w:szCs w:val="24"/>
        </w:rPr>
        <w:t>as</w:t>
      </w:r>
      <w:r w:rsidR="0017062A">
        <w:rPr>
          <w:rFonts w:ascii="Times New Roman" w:hAnsi="Times New Roman"/>
          <w:sz w:val="24"/>
          <w:szCs w:val="24"/>
        </w:rPr>
        <w:t xml:space="preserve"> letras o</w:t>
      </w:r>
      <w:r>
        <w:rPr>
          <w:rFonts w:ascii="Times New Roman" w:hAnsi="Times New Roman"/>
          <w:sz w:val="24"/>
          <w:szCs w:val="24"/>
        </w:rPr>
        <w:t xml:space="preserve"> secuencias cumplen la misma función y </w:t>
      </w:r>
      <w:r w:rsidR="0017062A">
        <w:rPr>
          <w:rFonts w:ascii="Times New Roman" w:hAnsi="Times New Roman"/>
          <w:sz w:val="24"/>
          <w:szCs w:val="24"/>
        </w:rPr>
        <w:t>se eliminan</w:t>
      </w:r>
      <w:r w:rsidR="0098629D">
        <w:rPr>
          <w:rFonts w:ascii="Times New Roman" w:hAnsi="Times New Roman"/>
          <w:sz w:val="24"/>
          <w:szCs w:val="24"/>
        </w:rPr>
        <w:t xml:space="preserve"> aquellas soluciones que no se adaptan a la variedad de la muestra analizada. Se descartaron la preposición </w:t>
      </w:r>
      <w:r w:rsidR="003F33CB" w:rsidRPr="00B06F7B">
        <w:rPr>
          <w:rFonts w:ascii="Times New Roman" w:hAnsi="Times New Roman"/>
          <w:sz w:val="24"/>
          <w:szCs w:val="24"/>
        </w:rPr>
        <w:t>δι</w:t>
      </w:r>
      <w:r w:rsidR="003F33CB" w:rsidRPr="0008486F">
        <w:rPr>
          <w:rFonts w:ascii="Times New Roman" w:hAnsi="Times New Roman"/>
          <w:sz w:val="24"/>
          <w:szCs w:val="24"/>
        </w:rPr>
        <w:t>(</w:t>
      </w:r>
      <w:r w:rsidR="003F33CB">
        <w:rPr>
          <w:rFonts w:ascii="Times New Roman" w:hAnsi="Times New Roman"/>
          <w:sz w:val="24"/>
          <w:szCs w:val="24"/>
        </w:rPr>
        <w:t>ά</w:t>
      </w:r>
      <w:r w:rsidR="003F33CB" w:rsidRPr="0008486F">
        <w:rPr>
          <w:rFonts w:ascii="Times New Roman" w:hAnsi="Times New Roman"/>
          <w:sz w:val="24"/>
          <w:szCs w:val="24"/>
        </w:rPr>
        <w:t>)</w:t>
      </w:r>
      <w:r w:rsidR="0098629D">
        <w:rPr>
          <w:rFonts w:ascii="Times New Roman" w:hAnsi="Times New Roman"/>
          <w:sz w:val="24"/>
          <w:szCs w:val="24"/>
        </w:rPr>
        <w:t xml:space="preserve"> y las lecturas como cifras. La interpretación como </w:t>
      </w:r>
      <w:r w:rsidR="0098629D" w:rsidRPr="0098629D">
        <w:rPr>
          <w:rFonts w:ascii="Times New Roman" w:hAnsi="Times New Roman"/>
          <w:i/>
          <w:sz w:val="24"/>
          <w:szCs w:val="24"/>
        </w:rPr>
        <w:t>productus</w:t>
      </w:r>
      <w:r w:rsidR="0098629D">
        <w:rPr>
          <w:rFonts w:ascii="Times New Roman" w:hAnsi="Times New Roman"/>
          <w:sz w:val="24"/>
          <w:szCs w:val="24"/>
        </w:rPr>
        <w:t xml:space="preserve"> supondría una notable variedad de contenidos, lo cual es poco probable</w:t>
      </w:r>
      <w:r w:rsidR="003F33CB">
        <w:rPr>
          <w:rFonts w:ascii="Times New Roman" w:hAnsi="Times New Roman"/>
          <w:sz w:val="24"/>
          <w:szCs w:val="24"/>
        </w:rPr>
        <w:t>,</w:t>
      </w:r>
      <w:r w:rsidR="0098629D">
        <w:rPr>
          <w:rFonts w:ascii="Times New Roman" w:hAnsi="Times New Roman"/>
          <w:sz w:val="24"/>
          <w:szCs w:val="24"/>
        </w:rPr>
        <w:t xml:space="preserve"> si bien no se puede descartar. La opción más probable es la abreviatura de </w:t>
      </w:r>
      <w:r w:rsidR="0098629D" w:rsidRPr="0098629D">
        <w:rPr>
          <w:rFonts w:ascii="Times New Roman" w:hAnsi="Times New Roman"/>
          <w:i/>
          <w:sz w:val="24"/>
          <w:szCs w:val="24"/>
        </w:rPr>
        <w:t>nomina</w:t>
      </w:r>
      <w:r w:rsidR="0098629D">
        <w:rPr>
          <w:rFonts w:ascii="Times New Roman" w:hAnsi="Times New Roman"/>
          <w:sz w:val="24"/>
          <w:szCs w:val="24"/>
        </w:rPr>
        <w:t xml:space="preserve">, siendo frecuente la aparición por parejas de tales </w:t>
      </w:r>
      <w:r w:rsidR="0098629D" w:rsidRPr="0098629D">
        <w:rPr>
          <w:rFonts w:ascii="Times New Roman" w:hAnsi="Times New Roman"/>
          <w:i/>
          <w:sz w:val="24"/>
          <w:szCs w:val="24"/>
        </w:rPr>
        <w:t>concepta</w:t>
      </w:r>
      <w:r w:rsidR="0098629D">
        <w:rPr>
          <w:rFonts w:ascii="Times New Roman" w:hAnsi="Times New Roman"/>
          <w:sz w:val="24"/>
          <w:szCs w:val="24"/>
        </w:rPr>
        <w:t>. Por tanto, las codificaciones resultantes para los grupos 5A y B son n</w:t>
      </w:r>
      <w:r w:rsidR="003F33CB">
        <w:rPr>
          <w:rFonts w:ascii="Times New Roman" w:hAnsi="Times New Roman"/>
          <w:sz w:val="24"/>
          <w:szCs w:val="24"/>
        </w:rPr>
        <w:t>?</w:t>
      </w:r>
      <w:r w:rsidR="0098629D">
        <w:rPr>
          <w:rFonts w:ascii="Times New Roman" w:hAnsi="Times New Roman"/>
          <w:sz w:val="24"/>
          <w:szCs w:val="24"/>
        </w:rPr>
        <w:t>/n//</w:t>
      </w:r>
      <w:r w:rsidR="005E40ED">
        <w:rPr>
          <w:rFonts w:ascii="Times New Roman" w:hAnsi="Times New Roman"/>
          <w:sz w:val="24"/>
          <w:szCs w:val="24"/>
        </w:rPr>
        <w:t xml:space="preserve">\N?, n?/n?/\N?, n?/n/\N </w:t>
      </w:r>
      <w:r w:rsidR="0098629D">
        <w:rPr>
          <w:rFonts w:ascii="Times New Roman" w:hAnsi="Times New Roman"/>
          <w:sz w:val="24"/>
          <w:szCs w:val="24"/>
        </w:rPr>
        <w:t>y n</w:t>
      </w:r>
      <w:r w:rsidR="003F33CB">
        <w:rPr>
          <w:rFonts w:ascii="Times New Roman" w:hAnsi="Times New Roman"/>
          <w:sz w:val="24"/>
          <w:szCs w:val="24"/>
        </w:rPr>
        <w:t>?</w:t>
      </w:r>
      <w:r w:rsidR="0098629D">
        <w:rPr>
          <w:rFonts w:ascii="Times New Roman" w:hAnsi="Times New Roman"/>
          <w:sz w:val="24"/>
          <w:szCs w:val="24"/>
        </w:rPr>
        <w:t>/n/</w:t>
      </w:r>
      <w:r w:rsidR="005E40ED">
        <w:rPr>
          <w:rFonts w:ascii="Times New Roman" w:hAnsi="Times New Roman"/>
          <w:sz w:val="24"/>
          <w:szCs w:val="24"/>
        </w:rPr>
        <w:t>/\N</w:t>
      </w:r>
      <w:r w:rsidR="0098629D">
        <w:rPr>
          <w:rFonts w:ascii="Times New Roman" w:hAnsi="Times New Roman"/>
          <w:sz w:val="24"/>
          <w:szCs w:val="24"/>
        </w:rPr>
        <w:t>.</w:t>
      </w:r>
    </w:p>
    <w:p w:rsidR="003F33CB" w:rsidRPr="0055717A" w:rsidRDefault="003F33CB" w:rsidP="0098629D">
      <w:pPr>
        <w:spacing w:after="0" w:line="360" w:lineRule="auto"/>
        <w:ind w:firstLine="709"/>
        <w:jc w:val="both"/>
        <w:rPr>
          <w:rFonts w:ascii="Times New Roman" w:hAnsi="Times New Roman"/>
          <w:i/>
          <w:sz w:val="24"/>
          <w:szCs w:val="24"/>
        </w:rPr>
      </w:pPr>
      <w:r w:rsidRPr="0055717A">
        <w:rPr>
          <w:rFonts w:ascii="Times New Roman" w:hAnsi="Times New Roman"/>
          <w:i/>
          <w:sz w:val="24"/>
          <w:szCs w:val="24"/>
        </w:rPr>
        <w:t>4.6. Grupo 6</w:t>
      </w:r>
    </w:p>
    <w:p w:rsidR="00CF7BE4" w:rsidRPr="0008486F" w:rsidRDefault="00607948" w:rsidP="00F34854">
      <w:pPr>
        <w:spacing w:after="0" w:line="360" w:lineRule="auto"/>
        <w:ind w:firstLine="709"/>
        <w:jc w:val="both"/>
        <w:rPr>
          <w:rFonts w:ascii="Times New Roman" w:hAnsi="Times New Roman"/>
          <w:sz w:val="24"/>
          <w:szCs w:val="24"/>
        </w:rPr>
      </w:pPr>
      <w:r w:rsidRPr="0008486F">
        <w:rPr>
          <w:rFonts w:ascii="Times New Roman" w:hAnsi="Times New Roman"/>
          <w:sz w:val="24"/>
          <w:szCs w:val="24"/>
        </w:rPr>
        <w:t xml:space="preserve">El sexto grupo </w:t>
      </w:r>
      <w:r w:rsidR="00B0123A">
        <w:rPr>
          <w:rFonts w:ascii="Times New Roman" w:hAnsi="Times New Roman"/>
          <w:sz w:val="24"/>
          <w:szCs w:val="24"/>
        </w:rPr>
        <w:t>-26-30-</w:t>
      </w:r>
      <w:r w:rsidRPr="0008486F">
        <w:rPr>
          <w:rFonts w:ascii="Times New Roman" w:hAnsi="Times New Roman"/>
          <w:sz w:val="24"/>
          <w:szCs w:val="24"/>
        </w:rPr>
        <w:t xml:space="preserve"> está configurado por un lote</w:t>
      </w:r>
      <w:r w:rsidR="00D22F98" w:rsidRPr="0008486F">
        <w:rPr>
          <w:rFonts w:ascii="Times New Roman" w:hAnsi="Times New Roman"/>
          <w:sz w:val="24"/>
          <w:szCs w:val="24"/>
        </w:rPr>
        <w:t xml:space="preserve"> de</w:t>
      </w:r>
      <w:r w:rsidRPr="0008486F">
        <w:rPr>
          <w:rFonts w:ascii="Times New Roman" w:hAnsi="Times New Roman"/>
          <w:sz w:val="24"/>
          <w:szCs w:val="24"/>
        </w:rPr>
        <w:t xml:space="preserve"> posibles ánforas PO36, que equival</w:t>
      </w:r>
      <w:r w:rsidR="00CE4E11" w:rsidRPr="0008486F">
        <w:rPr>
          <w:rFonts w:ascii="Times New Roman" w:hAnsi="Times New Roman"/>
          <w:sz w:val="24"/>
          <w:szCs w:val="24"/>
        </w:rPr>
        <w:t>e</w:t>
      </w:r>
      <w:r w:rsidRPr="0008486F">
        <w:rPr>
          <w:rFonts w:ascii="Times New Roman" w:hAnsi="Times New Roman"/>
          <w:sz w:val="24"/>
          <w:szCs w:val="24"/>
        </w:rPr>
        <w:t xml:space="preserve">n a la forma </w:t>
      </w:r>
      <w:r w:rsidR="00F90ABC" w:rsidRPr="0008486F">
        <w:rPr>
          <w:rFonts w:ascii="Times New Roman" w:hAnsi="Times New Roman"/>
          <w:sz w:val="24"/>
          <w:szCs w:val="24"/>
        </w:rPr>
        <w:t xml:space="preserve">Dressel 43 o </w:t>
      </w:r>
      <w:r w:rsidRPr="0008486F">
        <w:rPr>
          <w:rFonts w:ascii="Times New Roman" w:hAnsi="Times New Roman"/>
          <w:sz w:val="24"/>
          <w:szCs w:val="24"/>
        </w:rPr>
        <w:t>AC4</w:t>
      </w:r>
      <w:r w:rsidR="00F90ABC" w:rsidRPr="0008486F">
        <w:rPr>
          <w:rStyle w:val="FootnoteReference"/>
          <w:rFonts w:ascii="Times New Roman" w:hAnsi="Times New Roman"/>
          <w:sz w:val="24"/>
          <w:szCs w:val="24"/>
        </w:rPr>
        <w:footnoteReference w:id="119"/>
      </w:r>
      <w:r w:rsidRPr="0008486F">
        <w:rPr>
          <w:rFonts w:ascii="Times New Roman" w:hAnsi="Times New Roman"/>
          <w:sz w:val="24"/>
          <w:szCs w:val="24"/>
        </w:rPr>
        <w:t xml:space="preserve">. La presencia de numerales latinos </w:t>
      </w:r>
      <w:r w:rsidR="00FF4D44" w:rsidRPr="0008486F">
        <w:rPr>
          <w:rFonts w:ascii="Times New Roman" w:hAnsi="Times New Roman"/>
          <w:sz w:val="24"/>
          <w:szCs w:val="24"/>
        </w:rPr>
        <w:t>bajos</w:t>
      </w:r>
      <w:r w:rsidR="0023102F" w:rsidRPr="0008486F">
        <w:rPr>
          <w:rFonts w:ascii="Times New Roman" w:hAnsi="Times New Roman"/>
          <w:sz w:val="24"/>
          <w:szCs w:val="24"/>
        </w:rPr>
        <w:t xml:space="preserve"> </w:t>
      </w:r>
      <w:r w:rsidR="00FF4D44" w:rsidRPr="0008486F">
        <w:rPr>
          <w:rFonts w:ascii="Times New Roman" w:hAnsi="Times New Roman"/>
          <w:sz w:val="24"/>
          <w:szCs w:val="24"/>
        </w:rPr>
        <w:t xml:space="preserve">cuenta con paralelos </w:t>
      </w:r>
      <w:r w:rsidRPr="0008486F">
        <w:rPr>
          <w:rFonts w:ascii="Times New Roman" w:hAnsi="Times New Roman"/>
          <w:sz w:val="24"/>
          <w:szCs w:val="24"/>
        </w:rPr>
        <w:t>en esta forma</w:t>
      </w:r>
      <w:r w:rsidR="00CE4E11" w:rsidRPr="0008486F">
        <w:rPr>
          <w:rFonts w:ascii="Times New Roman" w:hAnsi="Times New Roman"/>
          <w:sz w:val="24"/>
          <w:szCs w:val="24"/>
        </w:rPr>
        <w:t xml:space="preserve"> y otras asimilables</w:t>
      </w:r>
      <w:r w:rsidR="0023102F" w:rsidRPr="0008486F">
        <w:rPr>
          <w:rStyle w:val="FootnoteReference"/>
          <w:rFonts w:ascii="Times New Roman" w:hAnsi="Times New Roman"/>
          <w:sz w:val="24"/>
          <w:szCs w:val="24"/>
        </w:rPr>
        <w:footnoteReference w:id="120"/>
      </w:r>
      <w:r w:rsidRPr="0008486F">
        <w:rPr>
          <w:rFonts w:ascii="Times New Roman" w:hAnsi="Times New Roman"/>
          <w:sz w:val="24"/>
          <w:szCs w:val="24"/>
        </w:rPr>
        <w:t>.</w:t>
      </w:r>
      <w:r w:rsidR="00B91464" w:rsidRPr="0008486F">
        <w:rPr>
          <w:rFonts w:ascii="Times New Roman" w:hAnsi="Times New Roman"/>
          <w:sz w:val="24"/>
          <w:szCs w:val="24"/>
        </w:rPr>
        <w:t xml:space="preserve"> Podría tratarse de los años de envejecimiento del vino, pues la fórmula latina </w:t>
      </w:r>
      <w:r w:rsidR="00B91464" w:rsidRPr="00B0123A">
        <w:rPr>
          <w:rFonts w:ascii="Times New Roman" w:hAnsi="Times New Roman"/>
          <w:i/>
          <w:sz w:val="24"/>
          <w:szCs w:val="24"/>
        </w:rPr>
        <w:t>vet</w:t>
      </w:r>
      <w:r w:rsidR="00B91464" w:rsidRPr="0008486F">
        <w:rPr>
          <w:rFonts w:ascii="Times New Roman" w:hAnsi="Times New Roman"/>
          <w:sz w:val="24"/>
          <w:szCs w:val="24"/>
        </w:rPr>
        <w:t xml:space="preserve">(us) aparece también en estas ánforas, acompañando la indicación de origen </w:t>
      </w:r>
      <w:r w:rsidR="00337402" w:rsidRPr="00B0123A">
        <w:rPr>
          <w:rFonts w:ascii="Times New Roman" w:hAnsi="Times New Roman"/>
          <w:i/>
          <w:sz w:val="24"/>
          <w:szCs w:val="24"/>
        </w:rPr>
        <w:t>C</w:t>
      </w:r>
      <w:r w:rsidR="00B91464" w:rsidRPr="00B0123A">
        <w:rPr>
          <w:rFonts w:ascii="Times New Roman" w:hAnsi="Times New Roman"/>
          <w:i/>
          <w:sz w:val="24"/>
          <w:szCs w:val="24"/>
        </w:rPr>
        <w:t>ret</w:t>
      </w:r>
      <w:r w:rsidR="00B91464" w:rsidRPr="0008486F">
        <w:rPr>
          <w:rFonts w:ascii="Times New Roman" w:hAnsi="Times New Roman"/>
          <w:sz w:val="24"/>
          <w:szCs w:val="24"/>
        </w:rPr>
        <w:t>(icum vinum)</w:t>
      </w:r>
      <w:r w:rsidR="00F90ABC" w:rsidRPr="0008486F">
        <w:rPr>
          <w:rStyle w:val="FootnoteReference"/>
          <w:rFonts w:ascii="Times New Roman" w:hAnsi="Times New Roman"/>
          <w:sz w:val="24"/>
          <w:szCs w:val="24"/>
        </w:rPr>
        <w:footnoteReference w:id="121"/>
      </w:r>
      <w:r w:rsidR="00B91464" w:rsidRPr="0008486F">
        <w:rPr>
          <w:rFonts w:ascii="Times New Roman" w:hAnsi="Times New Roman"/>
          <w:sz w:val="24"/>
          <w:szCs w:val="24"/>
        </w:rPr>
        <w:t>.</w:t>
      </w:r>
      <w:r w:rsidR="00B90095" w:rsidRPr="0008486F">
        <w:rPr>
          <w:rFonts w:ascii="Times New Roman" w:hAnsi="Times New Roman"/>
          <w:sz w:val="24"/>
          <w:szCs w:val="24"/>
        </w:rPr>
        <w:t xml:space="preserve"> Este numeral no se conservó en un caso </w:t>
      </w:r>
      <w:r w:rsidR="00950133">
        <w:rPr>
          <w:rFonts w:ascii="Times New Roman" w:hAnsi="Times New Roman"/>
          <w:sz w:val="24"/>
          <w:szCs w:val="24"/>
        </w:rPr>
        <w:t>-29-</w:t>
      </w:r>
      <w:r w:rsidR="00B90095" w:rsidRPr="0008486F">
        <w:rPr>
          <w:rFonts w:ascii="Times New Roman" w:hAnsi="Times New Roman"/>
          <w:sz w:val="24"/>
          <w:szCs w:val="24"/>
        </w:rPr>
        <w:t xml:space="preserve"> y quizás también se tratara de un III en el último de ellos </w:t>
      </w:r>
      <w:r w:rsidR="00950133">
        <w:rPr>
          <w:rFonts w:ascii="Times New Roman" w:hAnsi="Times New Roman"/>
          <w:sz w:val="24"/>
          <w:szCs w:val="24"/>
        </w:rPr>
        <w:t>-30-</w:t>
      </w:r>
      <w:r w:rsidR="00B90095" w:rsidRPr="0008486F">
        <w:rPr>
          <w:rFonts w:ascii="Times New Roman" w:hAnsi="Times New Roman"/>
          <w:sz w:val="24"/>
          <w:szCs w:val="24"/>
        </w:rPr>
        <w:t xml:space="preserve"> según Mau, que reencontró parte de estas inscripciones, publicadas previamente por Brizio</w:t>
      </w:r>
      <w:r w:rsidR="00875914" w:rsidRPr="0008486F">
        <w:rPr>
          <w:rStyle w:val="FootnoteReference"/>
          <w:rFonts w:ascii="Times New Roman" w:hAnsi="Times New Roman"/>
          <w:sz w:val="24"/>
          <w:szCs w:val="24"/>
        </w:rPr>
        <w:footnoteReference w:id="122"/>
      </w:r>
      <w:r w:rsidR="00B90095" w:rsidRPr="0008486F">
        <w:rPr>
          <w:rFonts w:ascii="Times New Roman" w:hAnsi="Times New Roman"/>
          <w:sz w:val="24"/>
          <w:szCs w:val="24"/>
        </w:rPr>
        <w:t xml:space="preserve">. </w:t>
      </w:r>
    </w:p>
    <w:p w:rsidR="00607948" w:rsidRPr="0008486F" w:rsidRDefault="00997100" w:rsidP="00F34854">
      <w:pPr>
        <w:spacing w:after="0" w:line="360" w:lineRule="auto"/>
        <w:ind w:firstLine="709"/>
        <w:jc w:val="both"/>
        <w:rPr>
          <w:rFonts w:ascii="Times New Roman" w:hAnsi="Times New Roman"/>
          <w:sz w:val="24"/>
          <w:szCs w:val="24"/>
        </w:rPr>
      </w:pPr>
      <w:r w:rsidRPr="0008486F">
        <w:rPr>
          <w:rFonts w:ascii="Times New Roman" w:hAnsi="Times New Roman"/>
          <w:sz w:val="24"/>
          <w:szCs w:val="24"/>
        </w:rPr>
        <w:t>Mau copió a mano alzada la titulatura de un fragmento anfórico de la misma forma que las anteriores</w:t>
      </w:r>
      <w:r w:rsidR="00875914" w:rsidRPr="0008486F">
        <w:rPr>
          <w:rStyle w:val="FootnoteReference"/>
          <w:rFonts w:ascii="Times New Roman" w:hAnsi="Times New Roman"/>
          <w:sz w:val="24"/>
          <w:szCs w:val="24"/>
        </w:rPr>
        <w:footnoteReference w:id="123"/>
      </w:r>
      <w:r w:rsidRPr="0008486F">
        <w:rPr>
          <w:rFonts w:ascii="Times New Roman" w:hAnsi="Times New Roman"/>
          <w:sz w:val="24"/>
          <w:szCs w:val="24"/>
        </w:rPr>
        <w:t>. Sus elementos son similares a las inscripciones analizadas</w:t>
      </w:r>
      <w:r w:rsidR="00CF7BE4" w:rsidRPr="0008486F">
        <w:rPr>
          <w:rFonts w:ascii="Times New Roman" w:hAnsi="Times New Roman"/>
          <w:sz w:val="24"/>
          <w:szCs w:val="24"/>
        </w:rPr>
        <w:t>,</w:t>
      </w:r>
      <w:r w:rsidRPr="0008486F">
        <w:rPr>
          <w:rFonts w:ascii="Times New Roman" w:hAnsi="Times New Roman"/>
          <w:sz w:val="24"/>
          <w:szCs w:val="24"/>
        </w:rPr>
        <w:t xml:space="preserve"> pero con diferencias sustanciales para la </w:t>
      </w:r>
      <w:r w:rsidR="00CF7BE4" w:rsidRPr="0008486F">
        <w:rPr>
          <w:rFonts w:ascii="Times New Roman" w:hAnsi="Times New Roman"/>
          <w:sz w:val="24"/>
          <w:szCs w:val="24"/>
        </w:rPr>
        <w:t>lectura</w:t>
      </w:r>
      <w:r w:rsidRPr="0008486F">
        <w:rPr>
          <w:rFonts w:ascii="Times New Roman" w:hAnsi="Times New Roman"/>
          <w:sz w:val="24"/>
          <w:szCs w:val="24"/>
        </w:rPr>
        <w:t xml:space="preserve">. </w:t>
      </w:r>
      <w:r w:rsidR="00CF7BE4" w:rsidRPr="0008486F">
        <w:rPr>
          <w:rFonts w:ascii="Times New Roman" w:hAnsi="Times New Roman"/>
          <w:sz w:val="24"/>
          <w:szCs w:val="24"/>
        </w:rPr>
        <w:t xml:space="preserve">En una primera línea puede leerse </w:t>
      </w:r>
      <w:r w:rsidR="00875914" w:rsidRPr="0008486F">
        <w:rPr>
          <w:rFonts w:ascii="Times New Roman" w:hAnsi="Times New Roman"/>
          <w:sz w:val="24"/>
          <w:szCs w:val="24"/>
        </w:rPr>
        <w:t>la letra griega</w:t>
      </w:r>
      <w:r w:rsidR="00CF7BE4" w:rsidRPr="0008486F">
        <w:rPr>
          <w:rFonts w:ascii="Times New Roman" w:hAnsi="Times New Roman"/>
          <w:sz w:val="24"/>
          <w:szCs w:val="24"/>
        </w:rPr>
        <w:t xml:space="preserve"> Η. </w:t>
      </w:r>
      <w:r w:rsidRPr="0008486F">
        <w:rPr>
          <w:rFonts w:ascii="Times New Roman" w:hAnsi="Times New Roman"/>
          <w:sz w:val="24"/>
          <w:szCs w:val="24"/>
        </w:rPr>
        <w:t>A</w:t>
      </w:r>
      <w:r w:rsidR="00CF7BE4" w:rsidRPr="0008486F">
        <w:rPr>
          <w:rFonts w:ascii="Times New Roman" w:hAnsi="Times New Roman"/>
          <w:sz w:val="24"/>
          <w:szCs w:val="24"/>
        </w:rPr>
        <w:t xml:space="preserve"> continuación se halla </w:t>
      </w:r>
      <w:r w:rsidR="002055FC" w:rsidRPr="0008486F">
        <w:rPr>
          <w:rFonts w:ascii="Times New Roman" w:hAnsi="Times New Roman"/>
          <w:sz w:val="24"/>
          <w:szCs w:val="24"/>
        </w:rPr>
        <w:t xml:space="preserve">el numeral </w:t>
      </w:r>
      <w:r w:rsidR="00CF7BE4" w:rsidRPr="0008486F">
        <w:rPr>
          <w:rFonts w:ascii="Times New Roman" w:hAnsi="Times New Roman"/>
          <w:sz w:val="24"/>
          <w:szCs w:val="24"/>
        </w:rPr>
        <w:t xml:space="preserve">latino </w:t>
      </w:r>
      <w:r w:rsidR="002055FC" w:rsidRPr="0008486F">
        <w:rPr>
          <w:rFonts w:ascii="Times New Roman" w:hAnsi="Times New Roman"/>
          <w:sz w:val="24"/>
          <w:szCs w:val="24"/>
        </w:rPr>
        <w:t>III</w:t>
      </w:r>
      <w:r w:rsidR="00CF7BE4" w:rsidRPr="0008486F">
        <w:rPr>
          <w:rFonts w:ascii="Times New Roman" w:hAnsi="Times New Roman"/>
          <w:sz w:val="24"/>
          <w:szCs w:val="24"/>
        </w:rPr>
        <w:t>,</w:t>
      </w:r>
      <w:r w:rsidR="002055FC" w:rsidRPr="0008486F">
        <w:rPr>
          <w:rFonts w:ascii="Times New Roman" w:hAnsi="Times New Roman"/>
          <w:sz w:val="24"/>
          <w:szCs w:val="24"/>
        </w:rPr>
        <w:t xml:space="preserve"> seguido de un posible nombre, desarrollado</w:t>
      </w:r>
      <w:r w:rsidR="00CF7BE4" w:rsidRPr="0008486F">
        <w:rPr>
          <w:rFonts w:ascii="Times New Roman" w:hAnsi="Times New Roman"/>
          <w:sz w:val="24"/>
          <w:szCs w:val="24"/>
        </w:rPr>
        <w:t xml:space="preserve"> como</w:t>
      </w:r>
      <w:r w:rsidR="002055FC" w:rsidRPr="0008486F">
        <w:rPr>
          <w:rFonts w:ascii="Times New Roman" w:hAnsi="Times New Roman"/>
          <w:sz w:val="24"/>
          <w:szCs w:val="24"/>
        </w:rPr>
        <w:t xml:space="preserve"> </w:t>
      </w:r>
      <w:r w:rsidR="00206E9F">
        <w:rPr>
          <w:rFonts w:ascii="Times New Roman" w:hAnsi="Times New Roman"/>
          <w:sz w:val="24"/>
          <w:szCs w:val="24"/>
        </w:rPr>
        <w:t>Ἥ</w:t>
      </w:r>
      <w:r w:rsidR="002055FC" w:rsidRPr="0008486F">
        <w:rPr>
          <w:rFonts w:ascii="Times New Roman" w:hAnsi="Times New Roman"/>
          <w:sz w:val="24"/>
          <w:szCs w:val="24"/>
        </w:rPr>
        <w:t>ρος</w:t>
      </w:r>
      <w:r w:rsidR="00367FA9" w:rsidRPr="0008486F">
        <w:rPr>
          <w:rStyle w:val="FootnoteReference"/>
          <w:rFonts w:ascii="Times New Roman" w:hAnsi="Times New Roman"/>
          <w:sz w:val="24"/>
          <w:szCs w:val="24"/>
        </w:rPr>
        <w:footnoteReference w:id="124"/>
      </w:r>
      <w:r w:rsidR="002055FC" w:rsidRPr="0008486F">
        <w:rPr>
          <w:rFonts w:ascii="Times New Roman" w:hAnsi="Times New Roman"/>
          <w:sz w:val="24"/>
          <w:szCs w:val="24"/>
        </w:rPr>
        <w:t xml:space="preserve"> o abreviado como </w:t>
      </w:r>
      <w:r w:rsidR="00206E9F">
        <w:rPr>
          <w:rFonts w:ascii="Times New Roman" w:hAnsi="Times New Roman"/>
          <w:sz w:val="24"/>
          <w:szCs w:val="24"/>
        </w:rPr>
        <w:t>Ἡ</w:t>
      </w:r>
      <w:r w:rsidR="002055FC" w:rsidRPr="0008486F">
        <w:rPr>
          <w:rFonts w:ascii="Times New Roman" w:hAnsi="Times New Roman"/>
          <w:sz w:val="24"/>
          <w:szCs w:val="24"/>
        </w:rPr>
        <w:t>ροσ(---) ο Προσ(---)</w:t>
      </w:r>
      <w:r w:rsidR="00310C9E" w:rsidRPr="0008486F">
        <w:rPr>
          <w:rStyle w:val="FootnoteReference"/>
          <w:rFonts w:ascii="Times New Roman" w:hAnsi="Times New Roman"/>
          <w:sz w:val="24"/>
          <w:szCs w:val="24"/>
        </w:rPr>
        <w:footnoteReference w:id="125"/>
      </w:r>
      <w:r w:rsidR="002055FC" w:rsidRPr="0008486F">
        <w:rPr>
          <w:rFonts w:ascii="Times New Roman" w:hAnsi="Times New Roman"/>
          <w:sz w:val="24"/>
          <w:szCs w:val="24"/>
        </w:rPr>
        <w:t>. Sin embargo, las transcripciones de TICO por Brizio muestran el solapamiento T^I y la prolongación de I hacia abajo, rasgos que parecen repetirse en la Π reproducida por Mau. La C tampoco parece distinguirse, transcrita como una línea vertical unida a las anteriores letras por una barra horizontal superior.</w:t>
      </w:r>
      <w:r w:rsidR="008A6FBF" w:rsidRPr="0008486F">
        <w:rPr>
          <w:rFonts w:ascii="Times New Roman" w:hAnsi="Times New Roman"/>
          <w:sz w:val="24"/>
          <w:szCs w:val="24"/>
        </w:rPr>
        <w:t xml:space="preserve"> De tal forma, la letra griega Ρ</w:t>
      </w:r>
      <w:r w:rsidR="00575082">
        <w:rPr>
          <w:rFonts w:ascii="Times New Roman" w:hAnsi="Times New Roman"/>
          <w:sz w:val="24"/>
          <w:szCs w:val="24"/>
        </w:rPr>
        <w:t xml:space="preserve"> de la copia de Mau</w:t>
      </w:r>
      <w:r w:rsidR="008A6FBF" w:rsidRPr="0008486F">
        <w:rPr>
          <w:rFonts w:ascii="Times New Roman" w:hAnsi="Times New Roman"/>
          <w:sz w:val="24"/>
          <w:szCs w:val="24"/>
        </w:rPr>
        <w:t xml:space="preserve"> podría corresponder a </w:t>
      </w:r>
      <w:r w:rsidR="00310C9E" w:rsidRPr="0008486F">
        <w:rPr>
          <w:rFonts w:ascii="Times New Roman" w:hAnsi="Times New Roman"/>
          <w:sz w:val="24"/>
          <w:szCs w:val="24"/>
        </w:rPr>
        <w:t xml:space="preserve">la </w:t>
      </w:r>
      <w:r w:rsidR="008A6FBF" w:rsidRPr="0008486F">
        <w:rPr>
          <w:rFonts w:ascii="Times New Roman" w:hAnsi="Times New Roman"/>
          <w:sz w:val="24"/>
          <w:szCs w:val="24"/>
        </w:rPr>
        <w:t>C</w:t>
      </w:r>
      <w:r w:rsidR="00310C9E" w:rsidRPr="0008486F">
        <w:rPr>
          <w:rFonts w:ascii="Times New Roman" w:hAnsi="Times New Roman"/>
          <w:sz w:val="24"/>
          <w:szCs w:val="24"/>
        </w:rPr>
        <w:t xml:space="preserve"> latina</w:t>
      </w:r>
      <w:r w:rsidR="008A6FBF" w:rsidRPr="0008486F">
        <w:rPr>
          <w:rFonts w:ascii="Times New Roman" w:hAnsi="Times New Roman"/>
          <w:sz w:val="24"/>
          <w:szCs w:val="24"/>
        </w:rPr>
        <w:t xml:space="preserve">. Omicron y O no se diferencian. Por último, la sigma epigráfica Ϲ se prolonga en su brazo inferior. Esta forma recuerda a la </w:t>
      </w:r>
      <w:r w:rsidR="00CF7BE4" w:rsidRPr="0008486F">
        <w:rPr>
          <w:rFonts w:ascii="Times New Roman" w:hAnsi="Times New Roman"/>
          <w:sz w:val="24"/>
          <w:szCs w:val="24"/>
        </w:rPr>
        <w:t>particularidad del</w:t>
      </w:r>
      <w:r w:rsidR="008A6FBF" w:rsidRPr="0008486F">
        <w:rPr>
          <w:rFonts w:ascii="Times New Roman" w:hAnsi="Times New Roman"/>
          <w:sz w:val="24"/>
          <w:szCs w:val="24"/>
        </w:rPr>
        <w:t xml:space="preserve"> carácter transcrito </w:t>
      </w:r>
      <w:r w:rsidR="007C4FF9" w:rsidRPr="0008486F">
        <w:rPr>
          <w:rFonts w:ascii="Times New Roman" w:hAnsi="Times New Roman"/>
          <w:sz w:val="24"/>
          <w:szCs w:val="24"/>
        </w:rPr>
        <w:t xml:space="preserve">dado por Brizio y retomado en el </w:t>
      </w:r>
      <w:r w:rsidR="007C4FF9" w:rsidRPr="0008486F">
        <w:rPr>
          <w:rFonts w:ascii="Times New Roman" w:hAnsi="Times New Roman"/>
          <w:i/>
          <w:sz w:val="24"/>
          <w:szCs w:val="24"/>
        </w:rPr>
        <w:t>CIL</w:t>
      </w:r>
      <w:r w:rsidR="008A6FBF" w:rsidRPr="0008486F">
        <w:rPr>
          <w:rFonts w:ascii="Times New Roman" w:hAnsi="Times New Roman"/>
          <w:sz w:val="24"/>
          <w:szCs w:val="24"/>
        </w:rPr>
        <w:t>, aquí interpretado como Θ. La prolongación de los trazos finales se observa más cl</w:t>
      </w:r>
      <w:r w:rsidR="007C4FF9" w:rsidRPr="0008486F">
        <w:rPr>
          <w:rFonts w:ascii="Times New Roman" w:hAnsi="Times New Roman"/>
          <w:sz w:val="24"/>
          <w:szCs w:val="24"/>
        </w:rPr>
        <w:t>aramente en la segunda y cuarta</w:t>
      </w:r>
      <w:r w:rsidR="008A6FBF" w:rsidRPr="0008486F">
        <w:rPr>
          <w:rFonts w:ascii="Times New Roman" w:hAnsi="Times New Roman"/>
          <w:sz w:val="24"/>
          <w:szCs w:val="24"/>
        </w:rPr>
        <w:t xml:space="preserve"> línea, </w:t>
      </w:r>
      <w:r w:rsidR="00CF7BE4" w:rsidRPr="0008486F">
        <w:rPr>
          <w:rFonts w:ascii="Times New Roman" w:hAnsi="Times New Roman"/>
          <w:sz w:val="24"/>
          <w:szCs w:val="24"/>
        </w:rPr>
        <w:t xml:space="preserve">en el numeral III y en el </w:t>
      </w:r>
      <w:r w:rsidR="00CF7BE4" w:rsidRPr="0008486F">
        <w:rPr>
          <w:rFonts w:ascii="Times New Roman" w:hAnsi="Times New Roman"/>
          <w:i/>
          <w:sz w:val="24"/>
          <w:szCs w:val="24"/>
        </w:rPr>
        <w:t>titulus</w:t>
      </w:r>
      <w:r w:rsidR="00CF7BE4" w:rsidRPr="0008486F">
        <w:rPr>
          <w:rFonts w:ascii="Times New Roman" w:hAnsi="Times New Roman"/>
          <w:sz w:val="24"/>
          <w:szCs w:val="24"/>
        </w:rPr>
        <w:t xml:space="preserve"> MAL</w:t>
      </w:r>
      <w:r w:rsidR="005B4CDD" w:rsidRPr="0008486F">
        <w:rPr>
          <w:rStyle w:val="FootnoteReference"/>
          <w:rFonts w:ascii="Times New Roman" w:hAnsi="Times New Roman"/>
          <w:sz w:val="24"/>
          <w:szCs w:val="24"/>
        </w:rPr>
        <w:footnoteReference w:id="126"/>
      </w:r>
      <w:r w:rsidR="00CF7BE4" w:rsidRPr="0008486F">
        <w:rPr>
          <w:rFonts w:ascii="Times New Roman" w:hAnsi="Times New Roman"/>
          <w:sz w:val="24"/>
          <w:szCs w:val="24"/>
        </w:rPr>
        <w:t>. Este último podría</w:t>
      </w:r>
      <w:r w:rsidR="00C10DAF">
        <w:rPr>
          <w:rFonts w:ascii="Times New Roman" w:hAnsi="Times New Roman"/>
          <w:sz w:val="24"/>
          <w:szCs w:val="24"/>
        </w:rPr>
        <w:t xml:space="preserve"> ser</w:t>
      </w:r>
      <w:r w:rsidR="00CF7BE4" w:rsidRPr="0008486F">
        <w:rPr>
          <w:rFonts w:ascii="Times New Roman" w:hAnsi="Times New Roman"/>
          <w:sz w:val="24"/>
          <w:szCs w:val="24"/>
        </w:rPr>
        <w:t xml:space="preserve"> </w:t>
      </w:r>
      <w:r w:rsidR="007C4FF9" w:rsidRPr="0008486F">
        <w:rPr>
          <w:rFonts w:ascii="Times New Roman" w:hAnsi="Times New Roman"/>
          <w:sz w:val="24"/>
          <w:szCs w:val="24"/>
        </w:rPr>
        <w:t xml:space="preserve">una distorsión de la sigla </w:t>
      </w:r>
      <w:r w:rsidR="007C4FF9" w:rsidRPr="002110A6">
        <w:rPr>
          <w:rFonts w:ascii="Times New Roman" w:hAnsi="Times New Roman"/>
          <w:i/>
          <w:sz w:val="24"/>
          <w:szCs w:val="24"/>
        </w:rPr>
        <w:t>M. A. F.</w:t>
      </w:r>
      <w:r w:rsidR="007C4FF9" w:rsidRPr="0008486F">
        <w:rPr>
          <w:rFonts w:ascii="Times New Roman" w:hAnsi="Times New Roman"/>
          <w:sz w:val="24"/>
          <w:szCs w:val="24"/>
        </w:rPr>
        <w:t xml:space="preserve">, sobre la que Brizio también ofrece transcripciones alternativas. </w:t>
      </w:r>
      <w:r w:rsidR="00663DD8" w:rsidRPr="0008486F">
        <w:rPr>
          <w:rFonts w:ascii="Times New Roman" w:hAnsi="Times New Roman"/>
          <w:sz w:val="24"/>
          <w:szCs w:val="24"/>
        </w:rPr>
        <w:t>L</w:t>
      </w:r>
      <w:r w:rsidR="007C4FF9" w:rsidRPr="0008486F">
        <w:rPr>
          <w:rFonts w:ascii="Times New Roman" w:hAnsi="Times New Roman"/>
          <w:sz w:val="24"/>
          <w:szCs w:val="24"/>
        </w:rPr>
        <w:t xml:space="preserve">a sigla </w:t>
      </w:r>
      <w:r w:rsidR="00663DD8" w:rsidRPr="0008486F">
        <w:rPr>
          <w:rFonts w:ascii="Times New Roman" w:hAnsi="Times New Roman"/>
          <w:sz w:val="24"/>
          <w:szCs w:val="24"/>
        </w:rPr>
        <w:t xml:space="preserve">se halló </w:t>
      </w:r>
      <w:r w:rsidR="007C4FF9" w:rsidRPr="0008486F">
        <w:rPr>
          <w:rFonts w:ascii="Times New Roman" w:hAnsi="Times New Roman"/>
          <w:sz w:val="24"/>
          <w:szCs w:val="24"/>
        </w:rPr>
        <w:t xml:space="preserve">sobre diversas </w:t>
      </w:r>
      <w:r w:rsidR="00663DD8" w:rsidRPr="0008486F">
        <w:rPr>
          <w:rFonts w:ascii="Times New Roman" w:hAnsi="Times New Roman"/>
          <w:sz w:val="24"/>
          <w:szCs w:val="24"/>
        </w:rPr>
        <w:t>ánforas</w:t>
      </w:r>
      <w:r w:rsidR="00FC0FE7" w:rsidRPr="0008486F">
        <w:rPr>
          <w:rFonts w:ascii="Times New Roman" w:hAnsi="Times New Roman"/>
          <w:sz w:val="24"/>
          <w:szCs w:val="24"/>
        </w:rPr>
        <w:t>, reiterá</w:t>
      </w:r>
      <w:r w:rsidR="00663DD8" w:rsidRPr="0008486F">
        <w:rPr>
          <w:rFonts w:ascii="Times New Roman" w:hAnsi="Times New Roman"/>
          <w:sz w:val="24"/>
          <w:szCs w:val="24"/>
        </w:rPr>
        <w:t>ndo</w:t>
      </w:r>
      <w:r w:rsidR="00FC0FE7" w:rsidRPr="0008486F">
        <w:rPr>
          <w:rFonts w:ascii="Times New Roman" w:hAnsi="Times New Roman"/>
          <w:sz w:val="24"/>
          <w:szCs w:val="24"/>
        </w:rPr>
        <w:t>se</w:t>
      </w:r>
      <w:r w:rsidR="00663DD8" w:rsidRPr="0008486F">
        <w:rPr>
          <w:rFonts w:ascii="Times New Roman" w:hAnsi="Times New Roman"/>
          <w:sz w:val="24"/>
          <w:szCs w:val="24"/>
        </w:rPr>
        <w:t xml:space="preserve"> la prolongación final de la última letra</w:t>
      </w:r>
      <w:r w:rsidR="00FC0FE7" w:rsidRPr="0008486F">
        <w:rPr>
          <w:rFonts w:ascii="Times New Roman" w:hAnsi="Times New Roman"/>
          <w:sz w:val="24"/>
          <w:szCs w:val="24"/>
        </w:rPr>
        <w:t xml:space="preserve"> en sus transcripciones</w:t>
      </w:r>
      <w:r w:rsidR="00663DD8" w:rsidRPr="0008486F">
        <w:rPr>
          <w:rFonts w:ascii="Times New Roman" w:hAnsi="Times New Roman"/>
          <w:sz w:val="24"/>
          <w:szCs w:val="24"/>
        </w:rPr>
        <w:t>.</w:t>
      </w:r>
    </w:p>
    <w:p w:rsidR="00310C9E" w:rsidRPr="0008486F" w:rsidRDefault="00310C9E" w:rsidP="00F34854">
      <w:pPr>
        <w:spacing w:after="0" w:line="360" w:lineRule="auto"/>
        <w:ind w:firstLine="709"/>
        <w:jc w:val="both"/>
        <w:rPr>
          <w:rFonts w:ascii="Times New Roman" w:hAnsi="Times New Roman"/>
          <w:sz w:val="24"/>
          <w:szCs w:val="24"/>
        </w:rPr>
      </w:pPr>
      <w:r w:rsidRPr="0008486F">
        <w:rPr>
          <w:rFonts w:ascii="Times New Roman" w:hAnsi="Times New Roman"/>
          <w:sz w:val="24"/>
          <w:szCs w:val="24"/>
        </w:rPr>
        <w:t>Las letras aisladas pueden corresponder a los numerales griegos Η {8}</w:t>
      </w:r>
      <w:r w:rsidR="00C73B56" w:rsidRPr="0008486F">
        <w:rPr>
          <w:rStyle w:val="FootnoteReference"/>
          <w:rFonts w:ascii="Times New Roman" w:hAnsi="Times New Roman"/>
          <w:sz w:val="24"/>
          <w:szCs w:val="24"/>
        </w:rPr>
        <w:footnoteReference w:id="127"/>
      </w:r>
      <w:r w:rsidRPr="0008486F">
        <w:rPr>
          <w:rFonts w:ascii="Times New Roman" w:hAnsi="Times New Roman"/>
          <w:sz w:val="24"/>
          <w:szCs w:val="24"/>
        </w:rPr>
        <w:t xml:space="preserve"> y Θ {9}</w:t>
      </w:r>
      <w:r w:rsidR="00EE1AC0" w:rsidRPr="0008486F">
        <w:rPr>
          <w:rStyle w:val="FootnoteReference"/>
          <w:rFonts w:ascii="Times New Roman" w:hAnsi="Times New Roman"/>
          <w:sz w:val="24"/>
          <w:szCs w:val="24"/>
        </w:rPr>
        <w:footnoteReference w:id="128"/>
      </w:r>
      <w:r w:rsidR="00F86021" w:rsidRPr="0008486F">
        <w:rPr>
          <w:rFonts w:ascii="Times New Roman" w:hAnsi="Times New Roman"/>
          <w:sz w:val="24"/>
          <w:szCs w:val="24"/>
        </w:rPr>
        <w:t>.</w:t>
      </w:r>
      <w:r w:rsidR="00BA4228" w:rsidRPr="0008486F">
        <w:rPr>
          <w:rFonts w:ascii="Times New Roman" w:hAnsi="Times New Roman"/>
          <w:sz w:val="24"/>
          <w:szCs w:val="24"/>
        </w:rPr>
        <w:t xml:space="preserve"> Como posible abreviatura, la primera no encuentra referentes entre las PO36-AC4 o las PO08-AC2, salvo para el mencionado </w:t>
      </w:r>
      <w:r w:rsidR="00575082">
        <w:rPr>
          <w:rFonts w:ascii="Times New Roman" w:hAnsi="Times New Roman"/>
          <w:sz w:val="24"/>
          <w:szCs w:val="24"/>
        </w:rPr>
        <w:t>Ἥ</w:t>
      </w:r>
      <w:r w:rsidR="00575082" w:rsidRPr="0008486F">
        <w:rPr>
          <w:rFonts w:ascii="Times New Roman" w:hAnsi="Times New Roman"/>
          <w:sz w:val="24"/>
          <w:szCs w:val="24"/>
        </w:rPr>
        <w:t>ρος</w:t>
      </w:r>
      <w:r w:rsidR="00BA4228" w:rsidRPr="0008486F">
        <w:rPr>
          <w:rFonts w:ascii="Times New Roman" w:hAnsi="Times New Roman"/>
          <w:sz w:val="24"/>
          <w:szCs w:val="24"/>
        </w:rPr>
        <w:t xml:space="preserve">. La segunda </w:t>
      </w:r>
      <w:r w:rsidR="00994ECE" w:rsidRPr="0008486F">
        <w:rPr>
          <w:rFonts w:ascii="Times New Roman" w:hAnsi="Times New Roman"/>
          <w:sz w:val="24"/>
          <w:szCs w:val="24"/>
        </w:rPr>
        <w:t xml:space="preserve">letra </w:t>
      </w:r>
      <w:r w:rsidR="00BA4228" w:rsidRPr="0008486F">
        <w:rPr>
          <w:rFonts w:ascii="Times New Roman" w:hAnsi="Times New Roman"/>
          <w:sz w:val="24"/>
          <w:szCs w:val="24"/>
        </w:rPr>
        <w:t xml:space="preserve">remite a los nombres </w:t>
      </w:r>
      <w:r w:rsidR="00BA4228" w:rsidRPr="00B06F7B">
        <w:rPr>
          <w:rFonts w:ascii="Times New Roman" w:hAnsi="Times New Roman"/>
          <w:i/>
          <w:sz w:val="24"/>
          <w:szCs w:val="24"/>
        </w:rPr>
        <w:t>C. Theodorus</w:t>
      </w:r>
      <w:r w:rsidR="00994ECE" w:rsidRPr="0008486F">
        <w:rPr>
          <w:rStyle w:val="FootnoteReference"/>
          <w:rFonts w:ascii="Times New Roman" w:hAnsi="Times New Roman"/>
          <w:sz w:val="24"/>
          <w:szCs w:val="24"/>
        </w:rPr>
        <w:footnoteReference w:id="129"/>
      </w:r>
      <w:r w:rsidR="00BA4228" w:rsidRPr="0008486F">
        <w:rPr>
          <w:rFonts w:ascii="Times New Roman" w:hAnsi="Times New Roman"/>
          <w:sz w:val="24"/>
          <w:szCs w:val="24"/>
        </w:rPr>
        <w:t>, Θ</w:t>
      </w:r>
      <w:r w:rsidR="005C48D1">
        <w:rPr>
          <w:rFonts w:ascii="Times New Roman" w:hAnsi="Times New Roman"/>
          <w:sz w:val="24"/>
          <w:szCs w:val="24"/>
        </w:rPr>
        <w:t>έ</w:t>
      </w:r>
      <w:r w:rsidR="00BA4228" w:rsidRPr="0008486F">
        <w:rPr>
          <w:rFonts w:ascii="Times New Roman" w:hAnsi="Times New Roman"/>
          <w:sz w:val="24"/>
          <w:szCs w:val="24"/>
        </w:rPr>
        <w:t>ων</w:t>
      </w:r>
      <w:r w:rsidR="0006008A" w:rsidRPr="0008486F">
        <w:rPr>
          <w:rStyle w:val="FootnoteReference"/>
          <w:rFonts w:ascii="Times New Roman" w:hAnsi="Times New Roman"/>
          <w:sz w:val="24"/>
          <w:szCs w:val="24"/>
        </w:rPr>
        <w:footnoteReference w:id="130"/>
      </w:r>
      <w:r w:rsidR="00BA4228" w:rsidRPr="0008486F">
        <w:rPr>
          <w:rFonts w:ascii="Times New Roman" w:hAnsi="Times New Roman"/>
          <w:sz w:val="24"/>
          <w:szCs w:val="24"/>
        </w:rPr>
        <w:t xml:space="preserve"> y</w:t>
      </w:r>
      <w:r w:rsidR="00994ECE" w:rsidRPr="0008486F">
        <w:rPr>
          <w:rFonts w:ascii="Times New Roman" w:hAnsi="Times New Roman"/>
          <w:sz w:val="24"/>
          <w:szCs w:val="24"/>
        </w:rPr>
        <w:t xml:space="preserve"> Θρ</w:t>
      </w:r>
      <w:r w:rsidR="005C48D1">
        <w:rPr>
          <w:rFonts w:ascii="Times New Roman" w:hAnsi="Times New Roman"/>
          <w:sz w:val="24"/>
          <w:szCs w:val="24"/>
        </w:rPr>
        <w:t>έ</w:t>
      </w:r>
      <w:r w:rsidR="00994ECE" w:rsidRPr="0008486F">
        <w:rPr>
          <w:rFonts w:ascii="Times New Roman" w:hAnsi="Times New Roman"/>
          <w:sz w:val="24"/>
          <w:szCs w:val="24"/>
        </w:rPr>
        <w:t>πτος</w:t>
      </w:r>
      <w:r w:rsidR="008937CF" w:rsidRPr="0008486F">
        <w:rPr>
          <w:rStyle w:val="FootnoteReference"/>
          <w:rFonts w:ascii="Times New Roman" w:hAnsi="Times New Roman"/>
          <w:sz w:val="24"/>
          <w:szCs w:val="24"/>
        </w:rPr>
        <w:footnoteReference w:id="131"/>
      </w:r>
      <w:r w:rsidR="00994ECE" w:rsidRPr="0008486F">
        <w:rPr>
          <w:rFonts w:ascii="Times New Roman" w:hAnsi="Times New Roman"/>
          <w:sz w:val="24"/>
          <w:szCs w:val="24"/>
        </w:rPr>
        <w:t>, en AC4 de la ensenada de Saint-Gervais (Fos)</w:t>
      </w:r>
      <w:r w:rsidR="00AE396C" w:rsidRPr="0008486F">
        <w:rPr>
          <w:rStyle w:val="FootnoteReference"/>
          <w:rFonts w:ascii="Times New Roman" w:hAnsi="Times New Roman"/>
          <w:sz w:val="24"/>
          <w:szCs w:val="24"/>
        </w:rPr>
        <w:footnoteReference w:id="132"/>
      </w:r>
      <w:r w:rsidR="00994ECE" w:rsidRPr="0008486F">
        <w:rPr>
          <w:rFonts w:ascii="Times New Roman" w:hAnsi="Times New Roman"/>
          <w:sz w:val="24"/>
          <w:szCs w:val="24"/>
        </w:rPr>
        <w:t>.</w:t>
      </w:r>
    </w:p>
    <w:p w:rsidR="0007179C" w:rsidRDefault="00F37D3C" w:rsidP="00F34854">
      <w:pPr>
        <w:spacing w:after="0" w:line="360" w:lineRule="auto"/>
        <w:ind w:firstLine="709"/>
        <w:jc w:val="both"/>
        <w:rPr>
          <w:rFonts w:ascii="Times New Roman" w:hAnsi="Times New Roman"/>
          <w:sz w:val="24"/>
          <w:szCs w:val="24"/>
        </w:rPr>
      </w:pPr>
      <w:r w:rsidRPr="0008486F">
        <w:rPr>
          <w:rFonts w:ascii="Times New Roman" w:hAnsi="Times New Roman"/>
          <w:sz w:val="24"/>
          <w:szCs w:val="24"/>
        </w:rPr>
        <w:t>La lectura del</w:t>
      </w:r>
      <w:r w:rsidR="007C4FF9" w:rsidRPr="0008486F">
        <w:rPr>
          <w:rFonts w:ascii="Times New Roman" w:hAnsi="Times New Roman"/>
          <w:sz w:val="24"/>
          <w:szCs w:val="24"/>
        </w:rPr>
        <w:t xml:space="preserve"> </w:t>
      </w:r>
      <w:r w:rsidR="007C4FF9" w:rsidRPr="0008486F">
        <w:rPr>
          <w:rFonts w:ascii="Times New Roman" w:hAnsi="Times New Roman"/>
          <w:i/>
          <w:sz w:val="24"/>
          <w:szCs w:val="24"/>
        </w:rPr>
        <w:t>tria nomina</w:t>
      </w:r>
      <w:r w:rsidRPr="0008486F">
        <w:rPr>
          <w:rFonts w:ascii="Times New Roman" w:hAnsi="Times New Roman"/>
          <w:sz w:val="24"/>
          <w:szCs w:val="24"/>
        </w:rPr>
        <w:t xml:space="preserve"> </w:t>
      </w:r>
      <w:r w:rsidRPr="002110A6">
        <w:rPr>
          <w:rFonts w:ascii="Times New Roman" w:hAnsi="Times New Roman"/>
          <w:i/>
          <w:sz w:val="24"/>
          <w:szCs w:val="24"/>
        </w:rPr>
        <w:t>M. A. F.</w:t>
      </w:r>
      <w:r w:rsidRPr="0008486F">
        <w:rPr>
          <w:rFonts w:ascii="Times New Roman" w:hAnsi="Times New Roman"/>
          <w:sz w:val="24"/>
          <w:szCs w:val="24"/>
        </w:rPr>
        <w:t xml:space="preserve"> viene asegurada por la presencia de interpunciones</w:t>
      </w:r>
      <w:r w:rsidRPr="0008486F">
        <w:rPr>
          <w:rStyle w:val="FootnoteReference"/>
          <w:rFonts w:ascii="Times New Roman" w:hAnsi="Times New Roman"/>
          <w:sz w:val="24"/>
          <w:szCs w:val="24"/>
        </w:rPr>
        <w:footnoteReference w:id="133"/>
      </w:r>
      <w:r w:rsidR="00853F0D" w:rsidRPr="0008486F">
        <w:rPr>
          <w:rFonts w:ascii="Times New Roman" w:hAnsi="Times New Roman"/>
          <w:sz w:val="24"/>
          <w:szCs w:val="24"/>
        </w:rPr>
        <w:t>. Aparece sobre otras formas cretenses</w:t>
      </w:r>
      <w:r w:rsidR="002E379C">
        <w:rPr>
          <w:rFonts w:ascii="Times New Roman" w:hAnsi="Times New Roman"/>
          <w:sz w:val="24"/>
          <w:szCs w:val="24"/>
        </w:rPr>
        <w:t xml:space="preserve"> en distintos puntos de la ciudad</w:t>
      </w:r>
      <w:r w:rsidR="00853F0D" w:rsidRPr="0008486F">
        <w:rPr>
          <w:rFonts w:ascii="Times New Roman" w:hAnsi="Times New Roman"/>
          <w:sz w:val="24"/>
          <w:szCs w:val="24"/>
        </w:rPr>
        <w:t xml:space="preserve">, acompañado de otras posibles siglas de </w:t>
      </w:r>
      <w:r w:rsidR="00853F0D" w:rsidRPr="0008486F">
        <w:rPr>
          <w:rFonts w:ascii="Times New Roman" w:hAnsi="Times New Roman"/>
          <w:i/>
          <w:sz w:val="24"/>
          <w:szCs w:val="24"/>
        </w:rPr>
        <w:t>tria nomina</w:t>
      </w:r>
      <w:r w:rsidR="00853F0D" w:rsidRPr="0008486F">
        <w:rPr>
          <w:rStyle w:val="FootnoteReference"/>
          <w:rFonts w:ascii="Times New Roman" w:hAnsi="Times New Roman"/>
          <w:sz w:val="24"/>
          <w:szCs w:val="24"/>
        </w:rPr>
        <w:footnoteReference w:id="134"/>
      </w:r>
      <w:r w:rsidR="00692BDE" w:rsidRPr="0008486F">
        <w:rPr>
          <w:rFonts w:ascii="Times New Roman" w:hAnsi="Times New Roman"/>
          <w:sz w:val="24"/>
          <w:szCs w:val="24"/>
        </w:rPr>
        <w:t xml:space="preserve">. </w:t>
      </w:r>
      <w:r w:rsidR="00AE6AA8" w:rsidRPr="0008486F">
        <w:rPr>
          <w:rFonts w:ascii="Times New Roman" w:hAnsi="Times New Roman"/>
          <w:sz w:val="24"/>
          <w:szCs w:val="24"/>
        </w:rPr>
        <w:t xml:space="preserve">Se han localizado tres individuos pompeyanos cuyos nombres coinciden con tal sigla: </w:t>
      </w:r>
      <w:r w:rsidR="00C321F4" w:rsidRPr="00B06F7B">
        <w:rPr>
          <w:rFonts w:ascii="Times New Roman" w:hAnsi="Times New Roman"/>
          <w:i/>
          <w:sz w:val="24"/>
          <w:szCs w:val="24"/>
        </w:rPr>
        <w:t>M. Antistius Faustus</w:t>
      </w:r>
      <w:r w:rsidR="00C321F4" w:rsidRPr="0008486F">
        <w:rPr>
          <w:rFonts w:ascii="Times New Roman" w:hAnsi="Times New Roman"/>
          <w:sz w:val="24"/>
          <w:szCs w:val="24"/>
        </w:rPr>
        <w:t xml:space="preserve">, </w:t>
      </w:r>
      <w:r w:rsidR="00C321F4" w:rsidRPr="00B06F7B">
        <w:rPr>
          <w:rFonts w:ascii="Times New Roman" w:hAnsi="Times New Roman"/>
          <w:i/>
          <w:sz w:val="24"/>
          <w:szCs w:val="24"/>
        </w:rPr>
        <w:t>M. Atilius Firmus</w:t>
      </w:r>
      <w:r w:rsidR="00C321F4" w:rsidRPr="0008486F">
        <w:rPr>
          <w:rFonts w:ascii="Times New Roman" w:hAnsi="Times New Roman"/>
          <w:sz w:val="24"/>
          <w:szCs w:val="24"/>
        </w:rPr>
        <w:t xml:space="preserve"> y </w:t>
      </w:r>
      <w:r w:rsidR="00C321F4" w:rsidRPr="00B06F7B">
        <w:rPr>
          <w:rFonts w:ascii="Times New Roman" w:hAnsi="Times New Roman"/>
          <w:i/>
          <w:sz w:val="24"/>
          <w:szCs w:val="24"/>
        </w:rPr>
        <w:t>M. Aurelius Felicio</w:t>
      </w:r>
      <w:r w:rsidR="00841BCB" w:rsidRPr="0008486F">
        <w:rPr>
          <w:rStyle w:val="FootnoteReference"/>
          <w:rFonts w:ascii="Times New Roman" w:hAnsi="Times New Roman"/>
          <w:sz w:val="24"/>
          <w:szCs w:val="24"/>
        </w:rPr>
        <w:footnoteReference w:id="135"/>
      </w:r>
      <w:r w:rsidR="00C321F4" w:rsidRPr="0008486F">
        <w:rPr>
          <w:rFonts w:ascii="Times New Roman" w:hAnsi="Times New Roman"/>
          <w:sz w:val="24"/>
          <w:szCs w:val="24"/>
        </w:rPr>
        <w:t>.</w:t>
      </w:r>
    </w:p>
    <w:p w:rsidR="003A7E1F" w:rsidRDefault="00B40519" w:rsidP="006D5436">
      <w:pPr>
        <w:spacing w:after="0" w:line="360" w:lineRule="auto"/>
        <w:ind w:firstLine="709"/>
        <w:jc w:val="both"/>
        <w:rPr>
          <w:rFonts w:ascii="Times New Roman" w:hAnsi="Times New Roman"/>
          <w:sz w:val="24"/>
          <w:szCs w:val="24"/>
        </w:rPr>
      </w:pPr>
      <w:r>
        <w:rPr>
          <w:rFonts w:ascii="Times New Roman" w:hAnsi="Times New Roman"/>
          <w:sz w:val="24"/>
          <w:szCs w:val="24"/>
        </w:rPr>
        <w:t>La codificación propuesta es X/N&amp;x?/</w:t>
      </w:r>
      <w:r w:rsidR="00885FFC">
        <w:rPr>
          <w:rFonts w:ascii="Times New Roman" w:hAnsi="Times New Roman"/>
          <w:sz w:val="24"/>
          <w:szCs w:val="24"/>
        </w:rPr>
        <w:t xml:space="preserve">N, con la salvedad de la inscripción 29, donde la ausencia de </w:t>
      </w:r>
      <w:r w:rsidR="00885FFC" w:rsidRPr="00885FFC">
        <w:rPr>
          <w:rFonts w:ascii="Times New Roman" w:hAnsi="Times New Roman"/>
          <w:i/>
          <w:sz w:val="24"/>
          <w:szCs w:val="24"/>
        </w:rPr>
        <w:t>vestigia</w:t>
      </w:r>
      <w:r w:rsidR="00885FFC">
        <w:rPr>
          <w:rFonts w:ascii="Times New Roman" w:hAnsi="Times New Roman"/>
          <w:sz w:val="24"/>
          <w:szCs w:val="24"/>
        </w:rPr>
        <w:t xml:space="preserve"> en la primera línea limita el </w:t>
      </w:r>
      <w:r w:rsidR="00885FFC" w:rsidRPr="00885FFC">
        <w:rPr>
          <w:rFonts w:ascii="Times New Roman" w:hAnsi="Times New Roman"/>
          <w:i/>
          <w:sz w:val="24"/>
          <w:szCs w:val="24"/>
        </w:rPr>
        <w:t>codex</w:t>
      </w:r>
      <w:r w:rsidR="00885FFC">
        <w:rPr>
          <w:rFonts w:ascii="Times New Roman" w:hAnsi="Times New Roman"/>
          <w:sz w:val="24"/>
          <w:szCs w:val="24"/>
        </w:rPr>
        <w:t xml:space="preserve"> a N&amp;x?/N. </w:t>
      </w:r>
    </w:p>
    <w:p w:rsidR="001A4D2F" w:rsidRPr="0055717A" w:rsidRDefault="0055717A" w:rsidP="006D5436">
      <w:pPr>
        <w:spacing w:after="0" w:line="360" w:lineRule="auto"/>
        <w:ind w:firstLine="709"/>
        <w:jc w:val="both"/>
        <w:rPr>
          <w:rFonts w:ascii="Times New Roman" w:hAnsi="Times New Roman"/>
          <w:b/>
          <w:sz w:val="24"/>
          <w:szCs w:val="24"/>
        </w:rPr>
      </w:pPr>
      <w:r w:rsidRPr="0055717A">
        <w:rPr>
          <w:rFonts w:ascii="Times New Roman" w:hAnsi="Times New Roman"/>
          <w:b/>
          <w:sz w:val="24"/>
          <w:szCs w:val="24"/>
        </w:rPr>
        <w:t>5</w:t>
      </w:r>
      <w:r>
        <w:rPr>
          <w:rFonts w:ascii="Times New Roman" w:hAnsi="Times New Roman"/>
          <w:b/>
          <w:sz w:val="24"/>
          <w:szCs w:val="24"/>
        </w:rPr>
        <w:t>. Propuestas interpretativas para las titulaturas analizadas</w:t>
      </w:r>
    </w:p>
    <w:p w:rsidR="001A4D2F" w:rsidRDefault="001A4D2F" w:rsidP="006D5436">
      <w:pPr>
        <w:spacing w:after="0" w:line="360" w:lineRule="auto"/>
        <w:ind w:firstLine="709"/>
        <w:jc w:val="both"/>
        <w:rPr>
          <w:rFonts w:ascii="Times New Roman" w:hAnsi="Times New Roman"/>
          <w:sz w:val="24"/>
          <w:szCs w:val="24"/>
        </w:rPr>
      </w:pPr>
      <w:r>
        <w:rPr>
          <w:rFonts w:ascii="Times New Roman" w:hAnsi="Times New Roman"/>
          <w:sz w:val="24"/>
          <w:szCs w:val="24"/>
        </w:rPr>
        <w:t xml:space="preserve">Dentro de los límites del presente estudio, la metodología Codex ha servido para analizar y comparar dos grupos de </w:t>
      </w:r>
      <w:r w:rsidRPr="001A4D2F">
        <w:rPr>
          <w:rFonts w:ascii="Times New Roman" w:hAnsi="Times New Roman"/>
          <w:i/>
          <w:sz w:val="24"/>
          <w:szCs w:val="24"/>
        </w:rPr>
        <w:t>tituli gilvi</w:t>
      </w:r>
      <w:r>
        <w:rPr>
          <w:rFonts w:ascii="Times New Roman" w:hAnsi="Times New Roman"/>
          <w:sz w:val="24"/>
          <w:szCs w:val="24"/>
        </w:rPr>
        <w:t xml:space="preserve">. La documentación en solitario de los registros CAR y TICO -grupo 1-, su color diferenciado </w:t>
      </w:r>
      <w:r w:rsidR="007C158B">
        <w:rPr>
          <w:rFonts w:ascii="Times New Roman" w:hAnsi="Times New Roman"/>
          <w:sz w:val="24"/>
          <w:szCs w:val="24"/>
        </w:rPr>
        <w:t xml:space="preserve">del resto de la titulatura </w:t>
      </w:r>
      <w:r>
        <w:rPr>
          <w:rFonts w:ascii="Times New Roman" w:hAnsi="Times New Roman"/>
          <w:sz w:val="24"/>
          <w:szCs w:val="24"/>
        </w:rPr>
        <w:t xml:space="preserve">y su ocasional ubicación </w:t>
      </w:r>
      <w:r w:rsidRPr="001A4D2F">
        <w:rPr>
          <w:rFonts w:ascii="Times New Roman" w:hAnsi="Times New Roman"/>
          <w:i/>
          <w:sz w:val="24"/>
          <w:szCs w:val="24"/>
        </w:rPr>
        <w:t>ab altera parte</w:t>
      </w:r>
      <w:r>
        <w:rPr>
          <w:rFonts w:ascii="Times New Roman" w:hAnsi="Times New Roman"/>
          <w:sz w:val="24"/>
          <w:szCs w:val="24"/>
        </w:rPr>
        <w:t xml:space="preserve"> -grupo 5- indicaría que pertenecen a un mismo contexto en el proceso de la configuración epigr</w:t>
      </w:r>
      <w:r w:rsidR="007C158B">
        <w:rPr>
          <w:rFonts w:ascii="Times New Roman" w:hAnsi="Times New Roman"/>
          <w:sz w:val="24"/>
          <w:szCs w:val="24"/>
        </w:rPr>
        <w:t>áfica de la muestra analizada.</w:t>
      </w:r>
    </w:p>
    <w:p w:rsidR="007C158B" w:rsidRDefault="007C158B" w:rsidP="006D5436">
      <w:pPr>
        <w:spacing w:after="0" w:line="360" w:lineRule="auto"/>
        <w:ind w:firstLine="709"/>
        <w:jc w:val="both"/>
        <w:rPr>
          <w:rFonts w:ascii="Times New Roman" w:hAnsi="Times New Roman"/>
          <w:sz w:val="24"/>
          <w:szCs w:val="24"/>
        </w:rPr>
      </w:pPr>
      <w:r>
        <w:rPr>
          <w:rFonts w:ascii="Times New Roman" w:hAnsi="Times New Roman"/>
          <w:sz w:val="24"/>
          <w:szCs w:val="24"/>
        </w:rPr>
        <w:t>Aunque el empleo de la tinta amarilla no se pueda asociar</w:t>
      </w:r>
      <w:r w:rsidR="005E4E8A">
        <w:rPr>
          <w:rFonts w:ascii="Times New Roman" w:hAnsi="Times New Roman"/>
          <w:sz w:val="24"/>
          <w:szCs w:val="24"/>
        </w:rPr>
        <w:t xml:space="preserve"> exclusivamente a un ámbito griego o latino,</w:t>
      </w:r>
      <w:r w:rsidR="00315A74">
        <w:rPr>
          <w:rFonts w:ascii="Times New Roman" w:hAnsi="Times New Roman"/>
          <w:sz w:val="24"/>
          <w:szCs w:val="24"/>
        </w:rPr>
        <w:t xml:space="preserve"> la tipología de las ánforas apunta hacia redes comerciales de ámbito oriental. En ellas </w:t>
      </w:r>
      <w:r w:rsidR="00315A74" w:rsidRPr="002110A6">
        <w:rPr>
          <w:rFonts w:ascii="Times New Roman" w:hAnsi="Times New Roman"/>
          <w:i/>
          <w:sz w:val="24"/>
          <w:szCs w:val="24"/>
        </w:rPr>
        <w:t>C. A. R.</w:t>
      </w:r>
      <w:r w:rsidR="00315A74">
        <w:rPr>
          <w:rFonts w:ascii="Times New Roman" w:hAnsi="Times New Roman"/>
          <w:sz w:val="24"/>
          <w:szCs w:val="24"/>
        </w:rPr>
        <w:t xml:space="preserve"> y </w:t>
      </w:r>
      <w:r w:rsidR="00315A74" w:rsidRPr="002110A6">
        <w:rPr>
          <w:rFonts w:ascii="Times New Roman" w:hAnsi="Times New Roman"/>
          <w:i/>
          <w:sz w:val="24"/>
          <w:szCs w:val="24"/>
        </w:rPr>
        <w:t>Ti. C. O.</w:t>
      </w:r>
      <w:r w:rsidR="00315A74">
        <w:rPr>
          <w:rFonts w:ascii="Times New Roman" w:hAnsi="Times New Roman"/>
          <w:sz w:val="24"/>
          <w:szCs w:val="24"/>
        </w:rPr>
        <w:t xml:space="preserve"> ocuparían una posición semejante. Se trataría de ciudadanos romanos que adquirieron distintos conjuntos de ánforas. Estas vendrían de lotes previos al marcado en amarillo. Dos de ellos, correspondientes a los subgrupos 1A y B, provendrían de lotes indivisos en propiedad de los productores del vino o de un único comerciante </w:t>
      </w:r>
      <w:r w:rsidR="008E6318">
        <w:rPr>
          <w:rFonts w:ascii="Times New Roman" w:hAnsi="Times New Roman"/>
          <w:sz w:val="24"/>
          <w:szCs w:val="24"/>
        </w:rPr>
        <w:t>anterior</w:t>
      </w:r>
      <w:r w:rsidR="00C10DAF">
        <w:rPr>
          <w:rFonts w:ascii="Times New Roman" w:hAnsi="Times New Roman"/>
          <w:sz w:val="24"/>
          <w:szCs w:val="24"/>
        </w:rPr>
        <w:t>, que por tanto no necesitaron ser marcados hasta entonces.</w:t>
      </w:r>
    </w:p>
    <w:p w:rsidR="002110A6" w:rsidRDefault="008E6318" w:rsidP="002110A6">
      <w:pPr>
        <w:spacing w:after="0" w:line="360" w:lineRule="auto"/>
        <w:ind w:firstLine="709"/>
        <w:jc w:val="both"/>
        <w:rPr>
          <w:rFonts w:ascii="Times New Roman" w:hAnsi="Times New Roman"/>
          <w:sz w:val="24"/>
          <w:szCs w:val="24"/>
        </w:rPr>
      </w:pPr>
      <w:r>
        <w:rPr>
          <w:rFonts w:ascii="Times New Roman" w:hAnsi="Times New Roman"/>
          <w:sz w:val="24"/>
          <w:szCs w:val="24"/>
        </w:rPr>
        <w:t>Por otro lado, la intervención previa de parejas de comerciantes en ámbito griego se observa en los grupos 3 y 5, y quizás también en el grupo 4. Existen denominadores comunes en</w:t>
      </w:r>
      <w:r w:rsidR="003E1A45">
        <w:rPr>
          <w:rFonts w:ascii="Times New Roman" w:hAnsi="Times New Roman"/>
          <w:sz w:val="24"/>
          <w:szCs w:val="24"/>
        </w:rPr>
        <w:t>tre</w:t>
      </w:r>
      <w:r>
        <w:rPr>
          <w:rFonts w:ascii="Times New Roman" w:hAnsi="Times New Roman"/>
          <w:sz w:val="24"/>
          <w:szCs w:val="24"/>
        </w:rPr>
        <w:t xml:space="preserve"> algunas de estas parejas, individuos identificables por sus nombres en genitivo o abreviados: Π(---) -grupo 4-, Φῆλιξ -5A- y Δι(όδωρος) -5B, quizás también en la inscripci</w:t>
      </w:r>
      <w:r w:rsidR="003E1A45">
        <w:rPr>
          <w:rFonts w:ascii="Times New Roman" w:hAnsi="Times New Roman"/>
          <w:sz w:val="24"/>
          <w:szCs w:val="24"/>
        </w:rPr>
        <w:t>ón 14-. Es posible que estos individuos adquirieran estas ánforas a partir de una serie de productores u otros intermediarios: Κο(---), Μ(---), Μ. Ϲ. Υ. -5A-, Δίδυμος, Διοκλῆς y Νικίας -5B-.</w:t>
      </w:r>
      <w:r w:rsidR="002110A6">
        <w:rPr>
          <w:rFonts w:ascii="Times New Roman" w:hAnsi="Times New Roman"/>
          <w:sz w:val="24"/>
          <w:szCs w:val="24"/>
        </w:rPr>
        <w:t xml:space="preserve"> Φῆλιξ vendería una parte o la totalidad de sus ánforas a </w:t>
      </w:r>
      <w:r w:rsidR="002110A6" w:rsidRPr="002110A6">
        <w:rPr>
          <w:rFonts w:ascii="Times New Roman" w:hAnsi="Times New Roman"/>
          <w:i/>
          <w:sz w:val="24"/>
          <w:szCs w:val="24"/>
        </w:rPr>
        <w:t>C. A. R.</w:t>
      </w:r>
      <w:r w:rsidR="002110A6">
        <w:rPr>
          <w:rFonts w:ascii="Times New Roman" w:hAnsi="Times New Roman"/>
          <w:sz w:val="24"/>
          <w:szCs w:val="24"/>
        </w:rPr>
        <w:t xml:space="preserve"> y Δι(όδωρος) a </w:t>
      </w:r>
      <w:r w:rsidR="002110A6" w:rsidRPr="002110A6">
        <w:rPr>
          <w:rFonts w:ascii="Times New Roman" w:hAnsi="Times New Roman"/>
          <w:i/>
          <w:sz w:val="24"/>
          <w:szCs w:val="24"/>
        </w:rPr>
        <w:t>Ti. C. O.</w:t>
      </w:r>
      <w:r w:rsidR="002110A6">
        <w:rPr>
          <w:rFonts w:ascii="Times New Roman" w:hAnsi="Times New Roman"/>
          <w:sz w:val="24"/>
          <w:szCs w:val="24"/>
        </w:rPr>
        <w:t xml:space="preserve"> </w:t>
      </w:r>
    </w:p>
    <w:p w:rsidR="008E6318" w:rsidRDefault="002110A6" w:rsidP="002110A6">
      <w:pPr>
        <w:spacing w:after="0" w:line="360" w:lineRule="auto"/>
        <w:ind w:firstLine="709"/>
        <w:jc w:val="both"/>
        <w:rPr>
          <w:rFonts w:ascii="Times New Roman" w:hAnsi="Times New Roman"/>
          <w:sz w:val="24"/>
          <w:szCs w:val="24"/>
        </w:rPr>
      </w:pPr>
      <w:r>
        <w:rPr>
          <w:rFonts w:ascii="Times New Roman" w:hAnsi="Times New Roman"/>
          <w:sz w:val="24"/>
          <w:szCs w:val="24"/>
        </w:rPr>
        <w:t>Es posible que ambos compradores compartieran la bodega de un mismo barco, explicando de manera simplificada el empleo</w:t>
      </w:r>
      <w:r w:rsidR="00C10DAF">
        <w:rPr>
          <w:rFonts w:ascii="Times New Roman" w:hAnsi="Times New Roman"/>
          <w:sz w:val="24"/>
          <w:szCs w:val="24"/>
        </w:rPr>
        <w:t xml:space="preserve"> común</w:t>
      </w:r>
      <w:r>
        <w:rPr>
          <w:rFonts w:ascii="Times New Roman" w:hAnsi="Times New Roman"/>
          <w:sz w:val="24"/>
          <w:szCs w:val="24"/>
        </w:rPr>
        <w:t xml:space="preserve"> de una tinta poco </w:t>
      </w:r>
      <w:r w:rsidR="00C10DAF">
        <w:rPr>
          <w:rFonts w:ascii="Times New Roman" w:hAnsi="Times New Roman"/>
          <w:sz w:val="24"/>
          <w:szCs w:val="24"/>
        </w:rPr>
        <w:t>frecuente</w:t>
      </w:r>
      <w:r>
        <w:rPr>
          <w:rFonts w:ascii="Times New Roman" w:hAnsi="Times New Roman"/>
          <w:sz w:val="24"/>
          <w:szCs w:val="24"/>
        </w:rPr>
        <w:t xml:space="preserve"> en el registro pompeyano. Esta hipótesis también convendría a la propuesta de identificación de </w:t>
      </w:r>
      <w:r w:rsidRPr="002110A6">
        <w:rPr>
          <w:rFonts w:ascii="Times New Roman" w:hAnsi="Times New Roman"/>
          <w:i/>
          <w:sz w:val="24"/>
          <w:szCs w:val="24"/>
        </w:rPr>
        <w:t>Ti. C. O.</w:t>
      </w:r>
      <w:r>
        <w:rPr>
          <w:rFonts w:ascii="Times New Roman" w:hAnsi="Times New Roman"/>
          <w:sz w:val="24"/>
          <w:szCs w:val="24"/>
        </w:rPr>
        <w:t xml:space="preserve"> con el </w:t>
      </w:r>
      <w:r w:rsidRPr="002110A6">
        <w:rPr>
          <w:rFonts w:ascii="Times New Roman" w:hAnsi="Times New Roman"/>
          <w:i/>
          <w:sz w:val="24"/>
          <w:szCs w:val="24"/>
        </w:rPr>
        <w:t>vector</w:t>
      </w:r>
      <w:r>
        <w:rPr>
          <w:rFonts w:ascii="Times New Roman" w:hAnsi="Times New Roman"/>
          <w:sz w:val="24"/>
          <w:szCs w:val="24"/>
        </w:rPr>
        <w:t xml:space="preserve"> </w:t>
      </w:r>
      <w:r w:rsidRPr="00B06F7B">
        <w:rPr>
          <w:rFonts w:ascii="Times New Roman" w:hAnsi="Times New Roman"/>
          <w:i/>
          <w:sz w:val="24"/>
          <w:szCs w:val="24"/>
        </w:rPr>
        <w:t>Ti. Claudius Orpheus</w:t>
      </w:r>
      <w:r>
        <w:rPr>
          <w:rFonts w:ascii="Times New Roman" w:hAnsi="Times New Roman"/>
          <w:sz w:val="24"/>
          <w:szCs w:val="24"/>
        </w:rPr>
        <w:t xml:space="preserve">. Este individuo se insertaría en el grupo familiar de los </w:t>
      </w:r>
      <w:r w:rsidRPr="00CC129E">
        <w:rPr>
          <w:rFonts w:ascii="Times New Roman" w:hAnsi="Times New Roman"/>
          <w:i/>
          <w:sz w:val="24"/>
          <w:szCs w:val="24"/>
        </w:rPr>
        <w:t>Ti.</w:t>
      </w:r>
      <w:r w:rsidR="00CC129E" w:rsidRPr="00CC129E">
        <w:rPr>
          <w:rFonts w:ascii="Times New Roman" w:hAnsi="Times New Roman"/>
          <w:i/>
          <w:sz w:val="24"/>
          <w:szCs w:val="24"/>
        </w:rPr>
        <w:t xml:space="preserve"> Ti.</w:t>
      </w:r>
      <w:r w:rsidRPr="00CC129E">
        <w:rPr>
          <w:rFonts w:ascii="Times New Roman" w:hAnsi="Times New Roman"/>
          <w:i/>
          <w:sz w:val="24"/>
          <w:szCs w:val="24"/>
        </w:rPr>
        <w:t xml:space="preserve"> Claud</w:t>
      </w:r>
      <w:r w:rsidR="00CC129E" w:rsidRPr="00CC129E">
        <w:rPr>
          <w:rFonts w:ascii="Times New Roman" w:hAnsi="Times New Roman"/>
          <w:i/>
          <w:sz w:val="24"/>
          <w:szCs w:val="24"/>
        </w:rPr>
        <w:t>i</w:t>
      </w:r>
      <w:r w:rsidRPr="00CC129E">
        <w:rPr>
          <w:rFonts w:ascii="Times New Roman" w:hAnsi="Times New Roman"/>
          <w:i/>
          <w:sz w:val="24"/>
          <w:szCs w:val="24"/>
        </w:rPr>
        <w:t>i</w:t>
      </w:r>
      <w:r>
        <w:rPr>
          <w:rFonts w:ascii="Times New Roman" w:hAnsi="Times New Roman"/>
          <w:sz w:val="24"/>
          <w:szCs w:val="24"/>
        </w:rPr>
        <w:t>, atestiguado con grafía griega sobre numerosas ánforas.</w:t>
      </w:r>
      <w:r w:rsidR="00D240E2">
        <w:rPr>
          <w:rFonts w:ascii="Times New Roman" w:hAnsi="Times New Roman"/>
          <w:sz w:val="24"/>
          <w:szCs w:val="24"/>
        </w:rPr>
        <w:t xml:space="preserve"> También convendría a la explicación de otros caracteres griegos escritos en </w:t>
      </w:r>
      <w:r w:rsidR="00D240E2" w:rsidRPr="00B06F7B">
        <w:rPr>
          <w:rFonts w:ascii="Times New Roman" w:hAnsi="Times New Roman"/>
          <w:i/>
          <w:sz w:val="24"/>
          <w:szCs w:val="24"/>
        </w:rPr>
        <w:t>gilvus</w:t>
      </w:r>
      <w:r w:rsidR="00D240E2">
        <w:rPr>
          <w:rFonts w:ascii="Times New Roman" w:hAnsi="Times New Roman"/>
          <w:sz w:val="24"/>
          <w:szCs w:val="24"/>
        </w:rPr>
        <w:t xml:space="preserve"> sobre ánforas orientales.</w:t>
      </w:r>
      <w:r w:rsidR="00134E80">
        <w:rPr>
          <w:rFonts w:ascii="Times New Roman" w:hAnsi="Times New Roman"/>
          <w:sz w:val="24"/>
          <w:szCs w:val="24"/>
        </w:rPr>
        <w:t xml:space="preserve"> Estas marcas se pudieron realizar en varios puertos orientales o en alguno que sirviera como lugar de convergencia para los productos de distintas regiones, como lo habría sido la propia Alejandría. Unas marcas distinguirían ánforas depositadas en los almacenes portuarios, otras se efectuarían en el momento de su venta y embarque.</w:t>
      </w:r>
    </w:p>
    <w:p w:rsidR="00D240E2" w:rsidRDefault="00D240E2" w:rsidP="00F34854">
      <w:pPr>
        <w:spacing w:after="0" w:line="360" w:lineRule="auto"/>
        <w:ind w:firstLine="709"/>
        <w:jc w:val="both"/>
        <w:rPr>
          <w:rFonts w:ascii="Times New Roman" w:hAnsi="Times New Roman"/>
          <w:sz w:val="24"/>
          <w:szCs w:val="24"/>
        </w:rPr>
      </w:pPr>
      <w:r>
        <w:rPr>
          <w:rFonts w:ascii="Times New Roman" w:hAnsi="Times New Roman"/>
          <w:sz w:val="24"/>
          <w:szCs w:val="24"/>
        </w:rPr>
        <w:t xml:space="preserve">Así, los lotes adquiridos por </w:t>
      </w:r>
      <w:r w:rsidRPr="002110A6">
        <w:rPr>
          <w:rFonts w:ascii="Times New Roman" w:hAnsi="Times New Roman"/>
          <w:i/>
          <w:sz w:val="24"/>
          <w:szCs w:val="24"/>
        </w:rPr>
        <w:t>C. A. R.</w:t>
      </w:r>
      <w:r>
        <w:rPr>
          <w:rFonts w:ascii="Times New Roman" w:hAnsi="Times New Roman"/>
          <w:sz w:val="24"/>
          <w:szCs w:val="24"/>
        </w:rPr>
        <w:t xml:space="preserve"> y </w:t>
      </w:r>
      <w:r w:rsidRPr="002110A6">
        <w:rPr>
          <w:rFonts w:ascii="Times New Roman" w:hAnsi="Times New Roman"/>
          <w:i/>
          <w:sz w:val="24"/>
          <w:szCs w:val="24"/>
        </w:rPr>
        <w:t>Ti. C. O.</w:t>
      </w:r>
      <w:r>
        <w:rPr>
          <w:rFonts w:ascii="Times New Roman" w:hAnsi="Times New Roman"/>
          <w:sz w:val="24"/>
          <w:szCs w:val="24"/>
        </w:rPr>
        <w:t xml:space="preserve"> en las escalas orientales de la ruta </w:t>
      </w:r>
      <w:r w:rsidR="00AF59B0" w:rsidRPr="00AF59B0">
        <w:rPr>
          <w:rFonts w:ascii="Times New Roman" w:hAnsi="Times New Roman"/>
          <w:i/>
          <w:sz w:val="24"/>
          <w:szCs w:val="24"/>
        </w:rPr>
        <w:t>annonaria</w:t>
      </w:r>
      <w:r w:rsidR="00AF59B0">
        <w:rPr>
          <w:rFonts w:ascii="Times New Roman" w:hAnsi="Times New Roman"/>
          <w:sz w:val="24"/>
          <w:szCs w:val="24"/>
        </w:rPr>
        <w:t xml:space="preserve"> </w:t>
      </w:r>
      <w:r>
        <w:rPr>
          <w:rFonts w:ascii="Times New Roman" w:hAnsi="Times New Roman"/>
          <w:sz w:val="24"/>
          <w:szCs w:val="24"/>
        </w:rPr>
        <w:t>entre Alejandría y Roma</w:t>
      </w:r>
      <w:r w:rsidR="00AF59B0">
        <w:rPr>
          <w:rStyle w:val="FootnoteReference"/>
          <w:rFonts w:ascii="Times New Roman" w:hAnsi="Times New Roman"/>
          <w:sz w:val="24"/>
          <w:szCs w:val="24"/>
        </w:rPr>
        <w:footnoteReference w:id="136"/>
      </w:r>
      <w:r>
        <w:rPr>
          <w:rFonts w:ascii="Times New Roman" w:hAnsi="Times New Roman"/>
          <w:sz w:val="24"/>
          <w:szCs w:val="24"/>
        </w:rPr>
        <w:t xml:space="preserve"> se diferenciarían dentro de una misma embarcación. Aunque las formas PO08 y 13 serían distinguibles a simple vista, es posible que </w:t>
      </w:r>
      <w:r w:rsidRPr="00D240E2">
        <w:rPr>
          <w:rFonts w:ascii="Times New Roman" w:hAnsi="Times New Roman"/>
          <w:i/>
          <w:sz w:val="24"/>
          <w:szCs w:val="24"/>
        </w:rPr>
        <w:t>C. A. R.</w:t>
      </w:r>
      <w:r>
        <w:rPr>
          <w:rFonts w:ascii="Times New Roman" w:hAnsi="Times New Roman"/>
          <w:sz w:val="24"/>
          <w:szCs w:val="24"/>
        </w:rPr>
        <w:t xml:space="preserve"> adquiriera también algunas PO13, como demostraría la inscripción 1.  Este hecho y su posible extensión a otros casos no documentados reforzaría la necesidad de la comentada diferenciación.</w:t>
      </w:r>
    </w:p>
    <w:p w:rsidR="00D240E2" w:rsidRDefault="00D240E2" w:rsidP="00F34854">
      <w:pPr>
        <w:spacing w:after="0" w:line="360" w:lineRule="auto"/>
        <w:ind w:firstLine="709"/>
        <w:jc w:val="both"/>
        <w:rPr>
          <w:rFonts w:ascii="Times New Roman" w:hAnsi="Times New Roman"/>
          <w:sz w:val="24"/>
          <w:szCs w:val="24"/>
        </w:rPr>
      </w:pPr>
      <w:r>
        <w:rPr>
          <w:rFonts w:ascii="Times New Roman" w:hAnsi="Times New Roman"/>
          <w:sz w:val="24"/>
          <w:szCs w:val="24"/>
        </w:rPr>
        <w:t xml:space="preserve">Este hipotético cargamento se redistribuiría en puertos como </w:t>
      </w:r>
      <w:r w:rsidRPr="00D240E2">
        <w:rPr>
          <w:rFonts w:ascii="Times New Roman" w:hAnsi="Times New Roman"/>
          <w:i/>
          <w:sz w:val="24"/>
          <w:szCs w:val="24"/>
        </w:rPr>
        <w:t>Puteoli</w:t>
      </w:r>
      <w:r>
        <w:rPr>
          <w:rFonts w:ascii="Times New Roman" w:hAnsi="Times New Roman"/>
          <w:sz w:val="24"/>
          <w:szCs w:val="24"/>
        </w:rPr>
        <w:t xml:space="preserve">. En ellos se pudieron añadir ocasionalmente otras marcas, como la sigla </w:t>
      </w:r>
      <w:r w:rsidRPr="00B06F7B">
        <w:rPr>
          <w:rFonts w:ascii="Times New Roman" w:hAnsi="Times New Roman"/>
          <w:i/>
          <w:sz w:val="24"/>
          <w:szCs w:val="24"/>
        </w:rPr>
        <w:t>M. A. F.</w:t>
      </w:r>
      <w:r>
        <w:rPr>
          <w:rFonts w:ascii="Times New Roman" w:hAnsi="Times New Roman"/>
          <w:sz w:val="24"/>
          <w:szCs w:val="24"/>
        </w:rPr>
        <w:t xml:space="preserve"> </w:t>
      </w:r>
      <w:r w:rsidR="00134E80">
        <w:rPr>
          <w:rFonts w:ascii="Times New Roman" w:hAnsi="Times New Roman"/>
          <w:sz w:val="24"/>
          <w:szCs w:val="24"/>
        </w:rPr>
        <w:t>Una vez más, tales marcas responderían a la distinción de lotes almacenados, vendidos o transportados conjuntamente. También</w:t>
      </w:r>
      <w:r>
        <w:rPr>
          <w:rFonts w:ascii="Times New Roman" w:hAnsi="Times New Roman"/>
          <w:sz w:val="24"/>
          <w:szCs w:val="24"/>
        </w:rPr>
        <w:t xml:space="preserve"> se incluirían otras anotaciones destinadas al público latino, como los propios numerales del grupo 6.</w:t>
      </w:r>
    </w:p>
    <w:p w:rsidR="00536794" w:rsidRDefault="00536794" w:rsidP="00536794">
      <w:pPr>
        <w:spacing w:after="0" w:line="360" w:lineRule="auto"/>
        <w:ind w:firstLine="709"/>
        <w:jc w:val="both"/>
        <w:rPr>
          <w:rFonts w:ascii="Times New Roman" w:hAnsi="Times New Roman"/>
          <w:sz w:val="24"/>
          <w:szCs w:val="24"/>
        </w:rPr>
      </w:pPr>
      <w:r>
        <w:rPr>
          <w:rFonts w:ascii="Times New Roman" w:hAnsi="Times New Roman"/>
          <w:sz w:val="24"/>
          <w:szCs w:val="24"/>
        </w:rPr>
        <w:t xml:space="preserve">La reiterada actividad de </w:t>
      </w:r>
      <w:r w:rsidRPr="002110A6">
        <w:rPr>
          <w:rFonts w:ascii="Times New Roman" w:hAnsi="Times New Roman"/>
          <w:i/>
          <w:sz w:val="24"/>
          <w:szCs w:val="24"/>
        </w:rPr>
        <w:t>C. A. R.</w:t>
      </w:r>
      <w:r>
        <w:rPr>
          <w:rFonts w:ascii="Times New Roman" w:hAnsi="Times New Roman"/>
          <w:sz w:val="24"/>
          <w:szCs w:val="24"/>
        </w:rPr>
        <w:t xml:space="preserve"> y </w:t>
      </w:r>
      <w:r w:rsidRPr="002110A6">
        <w:rPr>
          <w:rFonts w:ascii="Times New Roman" w:hAnsi="Times New Roman"/>
          <w:i/>
          <w:sz w:val="24"/>
          <w:szCs w:val="24"/>
        </w:rPr>
        <w:t>Ti. C. O.</w:t>
      </w:r>
      <w:r>
        <w:rPr>
          <w:rFonts w:ascii="Times New Roman" w:hAnsi="Times New Roman"/>
          <w:sz w:val="24"/>
          <w:szCs w:val="24"/>
        </w:rPr>
        <w:t xml:space="preserve"> daría lugar a la llegada de vinos y otros productos en ánforas de distintas formas y/o marcadas con otras </w:t>
      </w:r>
      <w:r w:rsidR="00C10DAF">
        <w:rPr>
          <w:rFonts w:ascii="Times New Roman" w:hAnsi="Times New Roman"/>
          <w:sz w:val="24"/>
          <w:szCs w:val="24"/>
        </w:rPr>
        <w:t>tint</w:t>
      </w:r>
      <w:r>
        <w:rPr>
          <w:rFonts w:ascii="Times New Roman" w:hAnsi="Times New Roman"/>
          <w:sz w:val="24"/>
          <w:szCs w:val="24"/>
        </w:rPr>
        <w:t xml:space="preserve">as. Este pudo ser el caso de las inscripciones 9-12 y del grupo 6. Entre tales casos destacaría </w:t>
      </w:r>
      <w:r w:rsidRPr="00536794">
        <w:rPr>
          <w:rFonts w:ascii="Times New Roman" w:hAnsi="Times New Roman"/>
          <w:i/>
          <w:sz w:val="24"/>
          <w:szCs w:val="24"/>
        </w:rPr>
        <w:t>L. A. A.</w:t>
      </w:r>
      <w:r>
        <w:rPr>
          <w:rFonts w:ascii="Times New Roman" w:hAnsi="Times New Roman"/>
          <w:sz w:val="24"/>
          <w:szCs w:val="24"/>
        </w:rPr>
        <w:t xml:space="preserve">, un posible distribuidor </w:t>
      </w:r>
      <w:r w:rsidR="00035FDA">
        <w:rPr>
          <w:rFonts w:ascii="Times New Roman" w:hAnsi="Times New Roman"/>
          <w:sz w:val="24"/>
          <w:szCs w:val="24"/>
        </w:rPr>
        <w:t xml:space="preserve">regional o </w:t>
      </w:r>
      <w:r>
        <w:rPr>
          <w:rFonts w:ascii="Times New Roman" w:hAnsi="Times New Roman"/>
          <w:sz w:val="24"/>
          <w:szCs w:val="24"/>
        </w:rPr>
        <w:t>local especializado en el aceite, como se deduce de su posición secundaria y limitada representatividad</w:t>
      </w:r>
      <w:r w:rsidR="00035FDA">
        <w:rPr>
          <w:rFonts w:ascii="Times New Roman" w:hAnsi="Times New Roman"/>
          <w:sz w:val="24"/>
          <w:szCs w:val="24"/>
        </w:rPr>
        <w:t xml:space="preserve"> sobre otras PO11.</w:t>
      </w:r>
    </w:p>
    <w:p w:rsidR="00035FDA" w:rsidRDefault="00035FDA" w:rsidP="00035FDA">
      <w:pPr>
        <w:spacing w:after="0" w:line="360" w:lineRule="auto"/>
        <w:ind w:firstLine="709"/>
        <w:jc w:val="both"/>
        <w:rPr>
          <w:rFonts w:ascii="Times New Roman" w:hAnsi="Times New Roman"/>
          <w:sz w:val="24"/>
          <w:szCs w:val="24"/>
        </w:rPr>
      </w:pPr>
      <w:r>
        <w:rPr>
          <w:rFonts w:ascii="Times New Roman" w:hAnsi="Times New Roman"/>
          <w:sz w:val="24"/>
          <w:szCs w:val="24"/>
        </w:rPr>
        <w:t xml:space="preserve">En esta red de distribuidores regionales o locales se insertarían los propietarios de las </w:t>
      </w:r>
      <w:r w:rsidRPr="00035FDA">
        <w:rPr>
          <w:rFonts w:ascii="Times New Roman" w:hAnsi="Times New Roman"/>
          <w:i/>
          <w:sz w:val="24"/>
          <w:szCs w:val="24"/>
        </w:rPr>
        <w:t>domus</w:t>
      </w:r>
      <w:r>
        <w:rPr>
          <w:rFonts w:ascii="Times New Roman" w:hAnsi="Times New Roman"/>
          <w:sz w:val="24"/>
          <w:szCs w:val="24"/>
        </w:rPr>
        <w:t xml:space="preserve"> donde se registraron los principales lotes anfóricos examinados (VI 13, 16; VI 14, 38 y IX 2, 18). Aunque no se puede descartar que </w:t>
      </w:r>
      <w:r w:rsidRPr="002110A6">
        <w:rPr>
          <w:rFonts w:ascii="Times New Roman" w:hAnsi="Times New Roman"/>
          <w:i/>
          <w:sz w:val="24"/>
          <w:szCs w:val="24"/>
        </w:rPr>
        <w:t>C. A. R.</w:t>
      </w:r>
      <w:r>
        <w:rPr>
          <w:rFonts w:ascii="Times New Roman" w:hAnsi="Times New Roman"/>
          <w:sz w:val="24"/>
          <w:szCs w:val="24"/>
        </w:rPr>
        <w:t xml:space="preserve"> y </w:t>
      </w:r>
      <w:r w:rsidRPr="002110A6">
        <w:rPr>
          <w:rFonts w:ascii="Times New Roman" w:hAnsi="Times New Roman"/>
          <w:i/>
          <w:sz w:val="24"/>
          <w:szCs w:val="24"/>
        </w:rPr>
        <w:t>Ti. C. O.</w:t>
      </w:r>
      <w:r>
        <w:rPr>
          <w:rFonts w:ascii="Times New Roman" w:hAnsi="Times New Roman"/>
          <w:sz w:val="24"/>
          <w:szCs w:val="24"/>
        </w:rPr>
        <w:t xml:space="preserve"> fueran en realidad componentes de esta red, cabe sugerir que serían individuos de la </w:t>
      </w:r>
      <w:r w:rsidRPr="00B06F7B">
        <w:rPr>
          <w:rFonts w:ascii="Times New Roman" w:hAnsi="Times New Roman"/>
          <w:i/>
          <w:sz w:val="24"/>
          <w:szCs w:val="24"/>
        </w:rPr>
        <w:t>gens Antonia</w:t>
      </w:r>
      <w:r>
        <w:rPr>
          <w:rFonts w:ascii="Times New Roman" w:hAnsi="Times New Roman"/>
          <w:sz w:val="24"/>
          <w:szCs w:val="24"/>
        </w:rPr>
        <w:t xml:space="preserve"> y del grupo familiar de los </w:t>
      </w:r>
      <w:r w:rsidRPr="00CC129E">
        <w:rPr>
          <w:rFonts w:ascii="Times New Roman" w:hAnsi="Times New Roman"/>
          <w:i/>
          <w:sz w:val="24"/>
          <w:szCs w:val="24"/>
        </w:rPr>
        <w:t>Ti.</w:t>
      </w:r>
      <w:r w:rsidR="00CC129E" w:rsidRPr="00CC129E">
        <w:rPr>
          <w:rFonts w:ascii="Times New Roman" w:hAnsi="Times New Roman"/>
          <w:i/>
          <w:sz w:val="24"/>
          <w:szCs w:val="24"/>
        </w:rPr>
        <w:t xml:space="preserve"> Ti.</w:t>
      </w:r>
      <w:r w:rsidRPr="00CC129E">
        <w:rPr>
          <w:rFonts w:ascii="Times New Roman" w:hAnsi="Times New Roman"/>
          <w:i/>
          <w:sz w:val="24"/>
          <w:szCs w:val="24"/>
        </w:rPr>
        <w:t xml:space="preserve"> Claud</w:t>
      </w:r>
      <w:r w:rsidR="00CC129E" w:rsidRPr="00CC129E">
        <w:rPr>
          <w:rFonts w:ascii="Times New Roman" w:hAnsi="Times New Roman"/>
          <w:i/>
          <w:sz w:val="24"/>
          <w:szCs w:val="24"/>
        </w:rPr>
        <w:t>i</w:t>
      </w:r>
      <w:r w:rsidRPr="00CC129E">
        <w:rPr>
          <w:rFonts w:ascii="Times New Roman" w:hAnsi="Times New Roman"/>
          <w:i/>
          <w:sz w:val="24"/>
          <w:szCs w:val="24"/>
        </w:rPr>
        <w:t>i</w:t>
      </w:r>
      <w:r>
        <w:rPr>
          <w:rFonts w:ascii="Times New Roman" w:hAnsi="Times New Roman"/>
          <w:sz w:val="24"/>
          <w:szCs w:val="24"/>
        </w:rPr>
        <w:t xml:space="preserve"> quienes inter</w:t>
      </w:r>
      <w:r w:rsidR="00C10DAF">
        <w:rPr>
          <w:rFonts w:ascii="Times New Roman" w:hAnsi="Times New Roman"/>
          <w:sz w:val="24"/>
          <w:szCs w:val="24"/>
        </w:rPr>
        <w:t>vendrían</w:t>
      </w:r>
      <w:r>
        <w:rPr>
          <w:rFonts w:ascii="Times New Roman" w:hAnsi="Times New Roman"/>
          <w:sz w:val="24"/>
          <w:szCs w:val="24"/>
        </w:rPr>
        <w:t xml:space="preserve"> en </w:t>
      </w:r>
      <w:r w:rsidRPr="006E4549">
        <w:rPr>
          <w:rFonts w:ascii="Times New Roman" w:hAnsi="Times New Roman"/>
          <w:i/>
          <w:sz w:val="24"/>
          <w:szCs w:val="24"/>
        </w:rPr>
        <w:t>Pompeii</w:t>
      </w:r>
      <w:r>
        <w:rPr>
          <w:rFonts w:ascii="Times New Roman" w:hAnsi="Times New Roman"/>
          <w:sz w:val="24"/>
          <w:szCs w:val="24"/>
        </w:rPr>
        <w:t xml:space="preserve">. Estos se beneficiarían de sus nexos familiares con los </w:t>
      </w:r>
      <w:r w:rsidRPr="006E4549">
        <w:rPr>
          <w:rFonts w:ascii="Times New Roman" w:hAnsi="Times New Roman"/>
          <w:i/>
          <w:sz w:val="24"/>
          <w:szCs w:val="24"/>
        </w:rPr>
        <w:t>vectores</w:t>
      </w:r>
      <w:r>
        <w:rPr>
          <w:rFonts w:ascii="Times New Roman" w:hAnsi="Times New Roman"/>
          <w:sz w:val="24"/>
          <w:szCs w:val="24"/>
        </w:rPr>
        <w:t xml:space="preserve"> para constituirse como últimos intermediarios, ocupándose de la venta al detalle. En este punto conviene recordar el </w:t>
      </w:r>
      <w:r w:rsidRPr="006E4549">
        <w:rPr>
          <w:rFonts w:ascii="Times New Roman" w:hAnsi="Times New Roman"/>
          <w:i/>
          <w:sz w:val="24"/>
          <w:szCs w:val="24"/>
        </w:rPr>
        <w:t>titulus</w:t>
      </w:r>
      <w:r>
        <w:rPr>
          <w:rFonts w:ascii="Times New Roman" w:hAnsi="Times New Roman"/>
          <w:sz w:val="24"/>
          <w:szCs w:val="24"/>
        </w:rPr>
        <w:t xml:space="preserve"> AVM</w:t>
      </w:r>
      <w:r w:rsidR="006E4549">
        <w:rPr>
          <w:rFonts w:ascii="Times New Roman" w:hAnsi="Times New Roman"/>
          <w:sz w:val="24"/>
          <w:szCs w:val="24"/>
        </w:rPr>
        <w:t xml:space="preserve"> en </w:t>
      </w:r>
      <w:r w:rsidR="006E4549" w:rsidRPr="006E4549">
        <w:rPr>
          <w:rFonts w:ascii="Times New Roman" w:hAnsi="Times New Roman"/>
          <w:i/>
          <w:sz w:val="24"/>
          <w:szCs w:val="24"/>
        </w:rPr>
        <w:t>gilvus</w:t>
      </w:r>
      <w:r w:rsidR="006E4549">
        <w:rPr>
          <w:rFonts w:ascii="Times New Roman" w:hAnsi="Times New Roman"/>
          <w:sz w:val="24"/>
          <w:szCs w:val="24"/>
        </w:rPr>
        <w:t xml:space="preserve">, sus paralelos y su posible relación con la </w:t>
      </w:r>
      <w:r w:rsidR="006E4549" w:rsidRPr="006E4549">
        <w:rPr>
          <w:rFonts w:ascii="Times New Roman" w:hAnsi="Times New Roman"/>
          <w:i/>
          <w:sz w:val="24"/>
          <w:szCs w:val="24"/>
        </w:rPr>
        <w:t>gens</w:t>
      </w:r>
      <w:r w:rsidR="006E4549">
        <w:rPr>
          <w:rFonts w:ascii="Times New Roman" w:hAnsi="Times New Roman"/>
          <w:sz w:val="24"/>
          <w:szCs w:val="24"/>
        </w:rPr>
        <w:t xml:space="preserve"> </w:t>
      </w:r>
      <w:r w:rsidR="006E4549" w:rsidRPr="00B06F7B">
        <w:rPr>
          <w:rFonts w:ascii="Times New Roman" w:hAnsi="Times New Roman"/>
          <w:i/>
          <w:sz w:val="24"/>
          <w:szCs w:val="24"/>
        </w:rPr>
        <w:t>Umbricia</w:t>
      </w:r>
      <w:r w:rsidR="006E4549">
        <w:rPr>
          <w:rFonts w:ascii="Times New Roman" w:hAnsi="Times New Roman"/>
          <w:sz w:val="24"/>
          <w:szCs w:val="24"/>
        </w:rPr>
        <w:t xml:space="preserve"> de </w:t>
      </w:r>
      <w:r w:rsidR="006E4549" w:rsidRPr="006E4549">
        <w:rPr>
          <w:rFonts w:ascii="Times New Roman" w:hAnsi="Times New Roman"/>
          <w:i/>
          <w:sz w:val="24"/>
          <w:szCs w:val="24"/>
        </w:rPr>
        <w:t>Pompeii</w:t>
      </w:r>
      <w:r w:rsidR="006E4549">
        <w:rPr>
          <w:rFonts w:ascii="Times New Roman" w:hAnsi="Times New Roman"/>
          <w:sz w:val="24"/>
          <w:szCs w:val="24"/>
        </w:rPr>
        <w:t>.</w:t>
      </w:r>
    </w:p>
    <w:p w:rsidR="006E4549" w:rsidRPr="006E4549" w:rsidRDefault="006E4549" w:rsidP="006E4549">
      <w:pPr>
        <w:spacing w:after="0" w:line="360" w:lineRule="auto"/>
        <w:ind w:firstLine="709"/>
        <w:jc w:val="both"/>
        <w:rPr>
          <w:rFonts w:ascii="Times New Roman" w:hAnsi="Times New Roman"/>
          <w:sz w:val="24"/>
          <w:szCs w:val="24"/>
        </w:rPr>
      </w:pPr>
      <w:r>
        <w:rPr>
          <w:rFonts w:ascii="Times New Roman" w:hAnsi="Times New Roman"/>
          <w:sz w:val="24"/>
          <w:szCs w:val="24"/>
        </w:rPr>
        <w:t xml:space="preserve">Ciertos elementos de la muestra epigráfica han quedado fuera de este discurso interpretativo. Destacaría la intervención de un posible tercer individuo de onomástica griega en la inscripción 12. Por otro lado, es cuestionable el carácter numérico de los tituli Π {80} -grupo 4- y Θ {9} -grupo 6-. Las dudas se incrementan por la falta de copias o calcos y las posibles variantes en la transcripción de los </w:t>
      </w:r>
      <w:r w:rsidRPr="00B06F7B">
        <w:rPr>
          <w:rFonts w:ascii="Times New Roman" w:hAnsi="Times New Roman"/>
          <w:i/>
          <w:sz w:val="24"/>
          <w:szCs w:val="24"/>
        </w:rPr>
        <w:t>tituli</w:t>
      </w:r>
      <w:r>
        <w:rPr>
          <w:rFonts w:ascii="Times New Roman" w:hAnsi="Times New Roman"/>
          <w:sz w:val="24"/>
          <w:szCs w:val="24"/>
        </w:rPr>
        <w:t xml:space="preserve"> </w:t>
      </w:r>
      <w:r w:rsidRPr="002110A6">
        <w:rPr>
          <w:rFonts w:ascii="Times New Roman" w:hAnsi="Times New Roman"/>
          <w:i/>
          <w:sz w:val="24"/>
          <w:szCs w:val="24"/>
        </w:rPr>
        <w:t>C. A. R.</w:t>
      </w:r>
      <w:r>
        <w:rPr>
          <w:rFonts w:ascii="Times New Roman" w:hAnsi="Times New Roman"/>
          <w:sz w:val="24"/>
          <w:szCs w:val="24"/>
        </w:rPr>
        <w:t xml:space="preserve"> y </w:t>
      </w:r>
      <w:r w:rsidRPr="002110A6">
        <w:rPr>
          <w:rFonts w:ascii="Times New Roman" w:hAnsi="Times New Roman"/>
          <w:i/>
          <w:sz w:val="24"/>
          <w:szCs w:val="24"/>
        </w:rPr>
        <w:t>Ti. C. O.</w:t>
      </w:r>
      <w:r w:rsidR="007D5195">
        <w:rPr>
          <w:rFonts w:ascii="Times New Roman" w:hAnsi="Times New Roman"/>
          <w:sz w:val="24"/>
          <w:szCs w:val="24"/>
        </w:rPr>
        <w:t xml:space="preserve"> Tales dudas y otr</w:t>
      </w:r>
      <w:r>
        <w:rPr>
          <w:rFonts w:ascii="Times New Roman" w:hAnsi="Times New Roman"/>
          <w:sz w:val="24"/>
          <w:szCs w:val="24"/>
        </w:rPr>
        <w:t>as limitaciones propias de este trabajo dejan abierto</w:t>
      </w:r>
      <w:r w:rsidR="007D5195">
        <w:rPr>
          <w:rFonts w:ascii="Times New Roman" w:hAnsi="Times New Roman"/>
          <w:sz w:val="24"/>
          <w:szCs w:val="24"/>
        </w:rPr>
        <w:t xml:space="preserve"> un notable margen para la reinterpretación de los testimonios epigráficos que se han presentado.</w:t>
      </w:r>
    </w:p>
    <w:p w:rsidR="00361CD3" w:rsidRDefault="0055717A" w:rsidP="006E4549">
      <w:pPr>
        <w:spacing w:after="0" w:line="360" w:lineRule="auto"/>
        <w:ind w:firstLine="709"/>
        <w:jc w:val="both"/>
        <w:rPr>
          <w:rFonts w:ascii="Times New Roman" w:hAnsi="Times New Roman"/>
          <w:b/>
          <w:sz w:val="24"/>
          <w:szCs w:val="24"/>
        </w:rPr>
      </w:pPr>
      <w:r>
        <w:rPr>
          <w:rFonts w:ascii="Times New Roman" w:hAnsi="Times New Roman"/>
          <w:b/>
          <w:sz w:val="24"/>
          <w:szCs w:val="24"/>
        </w:rPr>
        <w:t>6</w:t>
      </w:r>
      <w:r w:rsidR="00361CD3">
        <w:rPr>
          <w:rFonts w:ascii="Times New Roman" w:hAnsi="Times New Roman"/>
          <w:b/>
          <w:sz w:val="24"/>
          <w:szCs w:val="24"/>
        </w:rPr>
        <w:t xml:space="preserve">. </w:t>
      </w:r>
      <w:r w:rsidR="009A1507" w:rsidRPr="00361CD3">
        <w:rPr>
          <w:rFonts w:ascii="Times New Roman" w:hAnsi="Times New Roman"/>
          <w:b/>
          <w:sz w:val="24"/>
          <w:szCs w:val="24"/>
        </w:rPr>
        <w:t>Conclusiones</w:t>
      </w:r>
    </w:p>
    <w:p w:rsidR="007D5195" w:rsidRDefault="007D5195" w:rsidP="006E4549">
      <w:pPr>
        <w:spacing w:after="0" w:line="360" w:lineRule="auto"/>
        <w:ind w:firstLine="709"/>
        <w:jc w:val="both"/>
        <w:rPr>
          <w:rFonts w:ascii="Times New Roman" w:hAnsi="Times New Roman"/>
          <w:sz w:val="24"/>
          <w:szCs w:val="24"/>
        </w:rPr>
      </w:pPr>
      <w:r>
        <w:rPr>
          <w:rFonts w:ascii="Times New Roman" w:hAnsi="Times New Roman"/>
          <w:sz w:val="24"/>
          <w:szCs w:val="24"/>
        </w:rPr>
        <w:t xml:space="preserve">El análisis epigráfico de los </w:t>
      </w:r>
      <w:r w:rsidRPr="007D5195">
        <w:rPr>
          <w:rFonts w:ascii="Times New Roman" w:hAnsi="Times New Roman"/>
          <w:i/>
          <w:sz w:val="24"/>
          <w:szCs w:val="24"/>
        </w:rPr>
        <w:t>tituli picti</w:t>
      </w:r>
      <w:r>
        <w:rPr>
          <w:rFonts w:ascii="Times New Roman" w:hAnsi="Times New Roman"/>
          <w:sz w:val="24"/>
          <w:szCs w:val="24"/>
        </w:rPr>
        <w:t xml:space="preserve"> sobre PO08-AC2 conlleva múltiples dificultades. Unas se deben a su carácter </w:t>
      </w:r>
      <w:r w:rsidR="003D2529">
        <w:rPr>
          <w:rFonts w:ascii="Times New Roman" w:hAnsi="Times New Roman"/>
          <w:sz w:val="24"/>
          <w:szCs w:val="24"/>
        </w:rPr>
        <w:t xml:space="preserve">sucinto y a la diversidad </w:t>
      </w:r>
      <w:r>
        <w:rPr>
          <w:rFonts w:ascii="Times New Roman" w:hAnsi="Times New Roman"/>
          <w:sz w:val="24"/>
          <w:szCs w:val="24"/>
        </w:rPr>
        <w:t xml:space="preserve">de sus estructuras. Otras </w:t>
      </w:r>
      <w:r w:rsidR="003D2529">
        <w:rPr>
          <w:rFonts w:ascii="Times New Roman" w:hAnsi="Times New Roman"/>
          <w:sz w:val="24"/>
          <w:szCs w:val="24"/>
        </w:rPr>
        <w:t>se deben a</w:t>
      </w:r>
      <w:r>
        <w:rPr>
          <w:rFonts w:ascii="Times New Roman" w:hAnsi="Times New Roman"/>
          <w:sz w:val="24"/>
          <w:szCs w:val="24"/>
        </w:rPr>
        <w:t xml:space="preserve"> los defectos de conservaci</w:t>
      </w:r>
      <w:r w:rsidR="003D2529">
        <w:rPr>
          <w:rFonts w:ascii="Times New Roman" w:hAnsi="Times New Roman"/>
          <w:sz w:val="24"/>
          <w:szCs w:val="24"/>
        </w:rPr>
        <w:t>ón arqueológica y transmisión historiográfica de la información. Todo ello conlleva la acumulación de incertidumbres y lecturas infundadas.</w:t>
      </w:r>
    </w:p>
    <w:p w:rsidR="003D2529" w:rsidRDefault="003D2529" w:rsidP="006E4549">
      <w:pPr>
        <w:spacing w:after="0" w:line="360" w:lineRule="auto"/>
        <w:ind w:firstLine="709"/>
        <w:jc w:val="both"/>
        <w:rPr>
          <w:rFonts w:ascii="Times New Roman" w:hAnsi="Times New Roman"/>
          <w:sz w:val="24"/>
          <w:szCs w:val="24"/>
        </w:rPr>
      </w:pPr>
      <w:r>
        <w:rPr>
          <w:rFonts w:ascii="Times New Roman" w:hAnsi="Times New Roman"/>
          <w:sz w:val="24"/>
          <w:szCs w:val="24"/>
        </w:rPr>
        <w:t xml:space="preserve">Para afrontar esta problemática se ha propuesto una metodología que parte de la tradicional crítica epigráfica para combinarse con las posibilidades del tratamiento informático de la documentación. Los fundamentos de la metodología Codex se han </w:t>
      </w:r>
      <w:r w:rsidR="00C10DAF">
        <w:rPr>
          <w:rFonts w:ascii="Times New Roman" w:hAnsi="Times New Roman"/>
          <w:sz w:val="24"/>
          <w:szCs w:val="24"/>
        </w:rPr>
        <w:t>plante</w:t>
      </w:r>
      <w:r>
        <w:rPr>
          <w:rFonts w:ascii="Times New Roman" w:hAnsi="Times New Roman"/>
          <w:sz w:val="24"/>
          <w:szCs w:val="24"/>
        </w:rPr>
        <w:t>ado y llevado a la práctica mediante un caso de estudio. Sin embargo, la necesidad de una intensa labor crítica ha limitado el volumen de inscripciones analizadas, cuando la metodología Codex debería mostrar su completo potencial sobre mayores cantidades de datos.</w:t>
      </w:r>
      <w:r w:rsidR="007674F2">
        <w:rPr>
          <w:rFonts w:ascii="Times New Roman" w:hAnsi="Times New Roman"/>
          <w:sz w:val="24"/>
          <w:szCs w:val="24"/>
        </w:rPr>
        <w:t xml:space="preserve"> No obstante, se ha ejemplificado su utilidad para la investigación en lo referente a la descripción y comparación</w:t>
      </w:r>
      <w:r w:rsidR="00C10DAF">
        <w:rPr>
          <w:rFonts w:ascii="Times New Roman" w:hAnsi="Times New Roman"/>
          <w:sz w:val="24"/>
          <w:szCs w:val="24"/>
        </w:rPr>
        <w:t xml:space="preserve"> de</w:t>
      </w:r>
      <w:r w:rsidR="007674F2">
        <w:rPr>
          <w:rFonts w:ascii="Times New Roman" w:hAnsi="Times New Roman"/>
          <w:sz w:val="24"/>
          <w:szCs w:val="24"/>
        </w:rPr>
        <w:t xml:space="preserve"> las titulaturas.</w:t>
      </w:r>
    </w:p>
    <w:p w:rsidR="007674F2" w:rsidRPr="00CC1080" w:rsidRDefault="007674F2" w:rsidP="00CC1080">
      <w:pPr>
        <w:spacing w:after="0" w:line="360" w:lineRule="auto"/>
        <w:ind w:firstLine="709"/>
        <w:jc w:val="both"/>
        <w:rPr>
          <w:rFonts w:ascii="Times New Roman" w:hAnsi="Times New Roman"/>
          <w:sz w:val="24"/>
          <w:szCs w:val="24"/>
        </w:rPr>
      </w:pPr>
      <w:r>
        <w:rPr>
          <w:rFonts w:ascii="Times New Roman" w:hAnsi="Times New Roman"/>
          <w:sz w:val="24"/>
          <w:szCs w:val="24"/>
        </w:rPr>
        <w:t xml:space="preserve">El caso de estudio de los </w:t>
      </w:r>
      <w:r w:rsidRPr="00CC1080">
        <w:rPr>
          <w:rFonts w:ascii="Times New Roman" w:hAnsi="Times New Roman"/>
          <w:i/>
          <w:sz w:val="24"/>
          <w:szCs w:val="24"/>
        </w:rPr>
        <w:t>tituli gilvi</w:t>
      </w:r>
      <w:r>
        <w:rPr>
          <w:rFonts w:ascii="Times New Roman" w:hAnsi="Times New Roman"/>
          <w:sz w:val="24"/>
          <w:szCs w:val="24"/>
        </w:rPr>
        <w:t xml:space="preserve"> muestra una gran cantidad de interconexiones entre los epígrafes y sus contextos, principalmente los pompeyanos. Unas relaciones que se pueden extrapolar</w:t>
      </w:r>
      <w:r w:rsidR="00CC1080">
        <w:rPr>
          <w:rFonts w:ascii="Times New Roman" w:hAnsi="Times New Roman"/>
          <w:sz w:val="24"/>
          <w:szCs w:val="24"/>
        </w:rPr>
        <w:t xml:space="preserve"> al conjunto de los </w:t>
      </w:r>
      <w:r w:rsidR="00CC1080" w:rsidRPr="00CC1080">
        <w:rPr>
          <w:rFonts w:ascii="Times New Roman" w:hAnsi="Times New Roman"/>
          <w:i/>
          <w:sz w:val="24"/>
          <w:szCs w:val="24"/>
        </w:rPr>
        <w:t>tituli picti</w:t>
      </w:r>
      <w:r w:rsidR="00CC1080">
        <w:rPr>
          <w:rFonts w:ascii="Times New Roman" w:hAnsi="Times New Roman"/>
          <w:sz w:val="24"/>
          <w:szCs w:val="24"/>
        </w:rPr>
        <w:t xml:space="preserve"> anfóricos del </w:t>
      </w:r>
      <w:r w:rsidR="00CC1080" w:rsidRPr="00CC1080">
        <w:rPr>
          <w:rFonts w:ascii="Times New Roman" w:hAnsi="Times New Roman"/>
          <w:i/>
          <w:sz w:val="24"/>
          <w:szCs w:val="24"/>
        </w:rPr>
        <w:t>CIL</w:t>
      </w:r>
      <w:r w:rsidR="00CC1080">
        <w:rPr>
          <w:rFonts w:ascii="Times New Roman" w:hAnsi="Times New Roman"/>
          <w:sz w:val="24"/>
          <w:szCs w:val="24"/>
        </w:rPr>
        <w:t xml:space="preserve"> IV. La interpretación histórica realizada se inclina hacia la identificación como </w:t>
      </w:r>
      <w:r w:rsidR="00CC1080" w:rsidRPr="00CC1080">
        <w:rPr>
          <w:rFonts w:ascii="Times New Roman" w:hAnsi="Times New Roman"/>
          <w:i/>
          <w:sz w:val="24"/>
          <w:szCs w:val="24"/>
        </w:rPr>
        <w:t>vectores</w:t>
      </w:r>
      <w:r w:rsidR="00CC1080">
        <w:rPr>
          <w:rFonts w:ascii="Times New Roman" w:hAnsi="Times New Roman"/>
          <w:sz w:val="24"/>
          <w:szCs w:val="24"/>
        </w:rPr>
        <w:t xml:space="preserve"> de los individuos </w:t>
      </w:r>
      <w:r w:rsidR="00CC1080" w:rsidRPr="002110A6">
        <w:rPr>
          <w:rFonts w:ascii="Times New Roman" w:hAnsi="Times New Roman"/>
          <w:i/>
          <w:sz w:val="24"/>
          <w:szCs w:val="24"/>
        </w:rPr>
        <w:t>C. A. R.</w:t>
      </w:r>
      <w:r w:rsidR="00CC1080">
        <w:rPr>
          <w:rFonts w:ascii="Times New Roman" w:hAnsi="Times New Roman"/>
          <w:sz w:val="24"/>
          <w:szCs w:val="24"/>
        </w:rPr>
        <w:t xml:space="preserve"> y </w:t>
      </w:r>
      <w:r w:rsidR="00CC1080" w:rsidRPr="002110A6">
        <w:rPr>
          <w:rFonts w:ascii="Times New Roman" w:hAnsi="Times New Roman"/>
          <w:i/>
          <w:sz w:val="24"/>
          <w:szCs w:val="24"/>
        </w:rPr>
        <w:t>Ti. C. O.</w:t>
      </w:r>
      <w:r w:rsidR="00CC1080">
        <w:rPr>
          <w:rFonts w:ascii="Times New Roman" w:hAnsi="Times New Roman"/>
          <w:sz w:val="24"/>
          <w:szCs w:val="24"/>
        </w:rPr>
        <w:t xml:space="preserve">, registrados en </w:t>
      </w:r>
      <w:r w:rsidR="00CC1080" w:rsidRPr="00CC1080">
        <w:rPr>
          <w:rFonts w:ascii="Times New Roman" w:hAnsi="Times New Roman"/>
          <w:i/>
          <w:sz w:val="24"/>
          <w:szCs w:val="24"/>
        </w:rPr>
        <w:t>gilvus</w:t>
      </w:r>
      <w:r w:rsidR="00CC1080">
        <w:rPr>
          <w:rFonts w:ascii="Times New Roman" w:hAnsi="Times New Roman"/>
          <w:sz w:val="24"/>
          <w:szCs w:val="24"/>
        </w:rPr>
        <w:t xml:space="preserve"> sobre una mayoría de ánforas orientales. Se trataría de las formas cretenses AC2 y 4 y la cilicia PO13. Dichas ánforas y sus </w:t>
      </w:r>
      <w:r w:rsidR="00CC1080" w:rsidRPr="00CC1080">
        <w:rPr>
          <w:rFonts w:ascii="Times New Roman" w:hAnsi="Times New Roman"/>
          <w:i/>
          <w:sz w:val="24"/>
          <w:szCs w:val="24"/>
        </w:rPr>
        <w:t>tituli picti</w:t>
      </w:r>
      <w:r w:rsidR="00CC1080">
        <w:rPr>
          <w:rFonts w:ascii="Times New Roman" w:hAnsi="Times New Roman"/>
          <w:sz w:val="24"/>
          <w:szCs w:val="24"/>
        </w:rPr>
        <w:t xml:space="preserve"> serían testimonios de un comercio complementario, asociado a un cargamento</w:t>
      </w:r>
      <w:r w:rsidR="00C10DAF">
        <w:rPr>
          <w:rFonts w:ascii="Times New Roman" w:hAnsi="Times New Roman"/>
          <w:sz w:val="24"/>
          <w:szCs w:val="24"/>
        </w:rPr>
        <w:t xml:space="preserve"> annonario</w:t>
      </w:r>
      <w:r w:rsidR="00CC1080">
        <w:rPr>
          <w:rFonts w:ascii="Times New Roman" w:hAnsi="Times New Roman"/>
          <w:sz w:val="24"/>
          <w:szCs w:val="24"/>
        </w:rPr>
        <w:t xml:space="preserve"> de origen egipcio, y propiciado por las escalas de la navegación hacia Roma.</w:t>
      </w:r>
    </w:p>
    <w:p w:rsidR="00361CD3" w:rsidRPr="00F34854" w:rsidRDefault="00361CD3" w:rsidP="00F34854">
      <w:pPr>
        <w:spacing w:after="0" w:line="360" w:lineRule="auto"/>
        <w:ind w:firstLine="709"/>
        <w:jc w:val="both"/>
        <w:rPr>
          <w:rFonts w:ascii="Times New Roman" w:hAnsi="Times New Roman"/>
          <w:b/>
          <w:sz w:val="24"/>
          <w:szCs w:val="24"/>
        </w:rPr>
      </w:pPr>
      <w:r>
        <w:rPr>
          <w:rFonts w:ascii="Times New Roman" w:hAnsi="Times New Roman"/>
          <w:b/>
          <w:sz w:val="24"/>
          <w:szCs w:val="24"/>
        </w:rPr>
        <w:t>Bibliografía</w:t>
      </w:r>
    </w:p>
    <w:p w:rsidR="00076E57" w:rsidRPr="0008486F" w:rsidRDefault="00076E57" w:rsidP="00F34854">
      <w:pPr>
        <w:pStyle w:val="BodyText"/>
        <w:spacing w:after="0" w:line="360" w:lineRule="auto"/>
        <w:ind w:firstLine="709"/>
        <w:jc w:val="both"/>
        <w:rPr>
          <w:szCs w:val="24"/>
        </w:rPr>
      </w:pPr>
      <w:r w:rsidRPr="00D850B2">
        <w:rPr>
          <w:smallCaps/>
          <w:szCs w:val="24"/>
        </w:rPr>
        <w:t>Andreau</w:t>
      </w:r>
      <w:r w:rsidR="006E2C13" w:rsidRPr="00D850B2">
        <w:rPr>
          <w:smallCaps/>
          <w:szCs w:val="24"/>
        </w:rPr>
        <w:t xml:space="preserve">, J. </w:t>
      </w:r>
      <w:r w:rsidRPr="0008486F">
        <w:rPr>
          <w:szCs w:val="24"/>
        </w:rPr>
        <w:t>(1974)</w:t>
      </w:r>
      <w:r w:rsidR="006E2C13">
        <w:rPr>
          <w:szCs w:val="24"/>
        </w:rPr>
        <w:t>:</w:t>
      </w:r>
      <w:r w:rsidRPr="0008486F">
        <w:rPr>
          <w:szCs w:val="24"/>
        </w:rPr>
        <w:t xml:space="preserve"> </w:t>
      </w:r>
      <w:r w:rsidRPr="0008486F">
        <w:rPr>
          <w:i/>
          <w:szCs w:val="24"/>
        </w:rPr>
        <w:t>Les Affaires de Monsieur Jucundus</w:t>
      </w:r>
      <w:r w:rsidRPr="0008486F">
        <w:rPr>
          <w:szCs w:val="24"/>
        </w:rPr>
        <w:t xml:space="preserve">. </w:t>
      </w:r>
      <w:r w:rsidR="006E2C13">
        <w:rPr>
          <w:szCs w:val="24"/>
        </w:rPr>
        <w:t xml:space="preserve">Rome: </w:t>
      </w:r>
      <w:r w:rsidR="00482290">
        <w:rPr>
          <w:szCs w:val="24"/>
        </w:rPr>
        <w:t>École F</w:t>
      </w:r>
      <w:r w:rsidR="006E2C13">
        <w:rPr>
          <w:szCs w:val="24"/>
        </w:rPr>
        <w:t>rançaise de Rome</w:t>
      </w:r>
      <w:r w:rsidRPr="0008486F">
        <w:rPr>
          <w:szCs w:val="24"/>
        </w:rPr>
        <w:t>.</w:t>
      </w:r>
    </w:p>
    <w:p w:rsidR="00933E7A" w:rsidRPr="00116A56" w:rsidRDefault="00933E7A" w:rsidP="007F645E">
      <w:pPr>
        <w:pStyle w:val="BodyText"/>
        <w:spacing w:after="0" w:line="360" w:lineRule="auto"/>
        <w:ind w:firstLine="709"/>
        <w:jc w:val="both"/>
        <w:rPr>
          <w:szCs w:val="24"/>
          <w:lang w:val="en-US"/>
        </w:rPr>
      </w:pPr>
      <w:r w:rsidRPr="00D850B2">
        <w:rPr>
          <w:smallCaps/>
          <w:szCs w:val="24"/>
        </w:rPr>
        <w:t>Aguilera</w:t>
      </w:r>
      <w:r w:rsidR="00482290" w:rsidRPr="00D850B2">
        <w:rPr>
          <w:smallCaps/>
          <w:szCs w:val="24"/>
        </w:rPr>
        <w:t>,</w:t>
      </w:r>
      <w:r w:rsidRPr="00D850B2">
        <w:rPr>
          <w:smallCaps/>
          <w:szCs w:val="24"/>
        </w:rPr>
        <w:t xml:space="preserve"> </w:t>
      </w:r>
      <w:r w:rsidR="00482290" w:rsidRPr="00D850B2">
        <w:rPr>
          <w:smallCaps/>
          <w:szCs w:val="24"/>
        </w:rPr>
        <w:t>A.</w:t>
      </w:r>
      <w:r w:rsidRPr="00D850B2">
        <w:rPr>
          <w:smallCaps/>
          <w:szCs w:val="24"/>
        </w:rPr>
        <w:t xml:space="preserve"> </w:t>
      </w:r>
      <w:r w:rsidR="00482290">
        <w:rPr>
          <w:szCs w:val="24"/>
        </w:rPr>
        <w:t>(200</w:t>
      </w:r>
      <w:r w:rsidR="00524A70">
        <w:rPr>
          <w:szCs w:val="24"/>
        </w:rPr>
        <w:t>0</w:t>
      </w:r>
      <w:r w:rsidR="00482290">
        <w:rPr>
          <w:szCs w:val="24"/>
        </w:rPr>
        <w:t>): “</w:t>
      </w:r>
      <w:r w:rsidRPr="0008486F">
        <w:rPr>
          <w:szCs w:val="24"/>
        </w:rPr>
        <w:t xml:space="preserve">Los </w:t>
      </w:r>
      <w:r w:rsidRPr="0008486F">
        <w:rPr>
          <w:i/>
          <w:szCs w:val="24"/>
        </w:rPr>
        <w:t>tituli picti</w:t>
      </w:r>
      <w:r w:rsidRPr="0008486F">
        <w:rPr>
          <w:szCs w:val="24"/>
        </w:rPr>
        <w:t xml:space="preserve"> </w:t>
      </w:r>
      <w:r w:rsidR="00524A70">
        <w:rPr>
          <w:szCs w:val="24"/>
        </w:rPr>
        <w:t xml:space="preserve">δ </w:t>
      </w:r>
      <w:r w:rsidRPr="0008486F">
        <w:rPr>
          <w:szCs w:val="24"/>
        </w:rPr>
        <w:t>del convento astigitano en el primer tercio del s. III d.C.</w:t>
      </w:r>
      <w:r w:rsidR="00482290">
        <w:rPr>
          <w:szCs w:val="24"/>
        </w:rPr>
        <w:t>”. En</w:t>
      </w:r>
      <w:r w:rsidRPr="0008486F">
        <w:rPr>
          <w:szCs w:val="24"/>
        </w:rPr>
        <w:t xml:space="preserve"> </w:t>
      </w:r>
      <w:r w:rsidR="00524A70" w:rsidRPr="00D00140">
        <w:rPr>
          <w:i/>
          <w:szCs w:val="24"/>
        </w:rPr>
        <w:t>Conservas, aceite y vino de la B</w:t>
      </w:r>
      <w:r w:rsidR="00D00140">
        <w:rPr>
          <w:i/>
          <w:szCs w:val="24"/>
        </w:rPr>
        <w:t xml:space="preserve">ética en el Imperio Romano. Congreso Internacional Ex Baetica amphorae </w:t>
      </w:r>
      <w:r w:rsidR="00524A70" w:rsidRPr="00D00140">
        <w:rPr>
          <w:i/>
          <w:szCs w:val="24"/>
        </w:rPr>
        <w:t>(Sevilla – Écija, 17 al 20 de diciembre de 1998)</w:t>
      </w:r>
      <w:r w:rsidRPr="0008486F">
        <w:rPr>
          <w:szCs w:val="24"/>
        </w:rPr>
        <w:t xml:space="preserve">. </w:t>
      </w:r>
      <w:r w:rsidRPr="00116A56">
        <w:rPr>
          <w:szCs w:val="24"/>
          <w:lang w:val="en-US"/>
        </w:rPr>
        <w:t>Écija</w:t>
      </w:r>
      <w:r w:rsidR="00482290" w:rsidRPr="00116A56">
        <w:rPr>
          <w:szCs w:val="24"/>
          <w:lang w:val="en-US"/>
        </w:rPr>
        <w:t>: Gráficas Sol</w:t>
      </w:r>
      <w:r w:rsidRPr="00116A56">
        <w:rPr>
          <w:szCs w:val="24"/>
          <w:lang w:val="en-US"/>
        </w:rPr>
        <w:t xml:space="preserve">, </w:t>
      </w:r>
      <w:r w:rsidR="00482290" w:rsidRPr="00116A56">
        <w:rPr>
          <w:szCs w:val="24"/>
          <w:lang w:val="en-US"/>
        </w:rPr>
        <w:t xml:space="preserve">pp. </w:t>
      </w:r>
      <w:r w:rsidRPr="00116A56">
        <w:rPr>
          <w:szCs w:val="24"/>
          <w:lang w:val="en-US"/>
        </w:rPr>
        <w:t>1231-1240.</w:t>
      </w:r>
    </w:p>
    <w:p w:rsidR="002E6655" w:rsidRDefault="00201ED9" w:rsidP="002E6655">
      <w:pPr>
        <w:pStyle w:val="BodyText"/>
        <w:spacing w:after="0" w:line="360" w:lineRule="auto"/>
        <w:ind w:firstLine="709"/>
        <w:jc w:val="both"/>
        <w:rPr>
          <w:rStyle w:val="Hyperlink"/>
          <w:color w:val="auto"/>
          <w:szCs w:val="24"/>
          <w:u w:val="none"/>
          <w:shd w:val="clear" w:color="auto" w:fill="FFFFFF"/>
          <w:lang w:val="en-US"/>
        </w:rPr>
      </w:pPr>
      <w:r w:rsidRPr="00B84E76">
        <w:rPr>
          <w:smallCaps/>
          <w:szCs w:val="24"/>
          <w:lang w:val="en-US"/>
        </w:rPr>
        <w:t>Berdowski, P.</w:t>
      </w:r>
      <w:r w:rsidRPr="0008486F">
        <w:rPr>
          <w:szCs w:val="24"/>
          <w:lang w:val="en-US"/>
        </w:rPr>
        <w:t xml:space="preserve"> (2008)</w:t>
      </w:r>
      <w:r w:rsidR="00B84E76">
        <w:rPr>
          <w:szCs w:val="24"/>
          <w:lang w:val="en-US"/>
        </w:rPr>
        <w:t>:</w:t>
      </w:r>
      <w:r w:rsidRPr="0008486F">
        <w:rPr>
          <w:szCs w:val="24"/>
          <w:lang w:val="en-US"/>
        </w:rPr>
        <w:t xml:space="preserve"> </w:t>
      </w:r>
      <w:r w:rsidR="00B84E76">
        <w:rPr>
          <w:szCs w:val="24"/>
          <w:lang w:val="en-US"/>
        </w:rPr>
        <w:t>“</w:t>
      </w:r>
      <w:hyperlink r:id="rId9" w:history="1">
        <w:r w:rsidRPr="0008486F">
          <w:rPr>
            <w:rStyle w:val="Hyperlink"/>
            <w:color w:val="auto"/>
            <w:szCs w:val="24"/>
            <w:u w:val="none"/>
            <w:shd w:val="clear" w:color="auto" w:fill="FFFFFF"/>
            <w:lang w:val="en-US"/>
          </w:rPr>
          <w:t>Roman Businesswomen. I: The case of the producers and distributors of garum in Pompeii</w:t>
        </w:r>
        <w:r w:rsidR="00B84E76">
          <w:rPr>
            <w:rStyle w:val="Hyperlink"/>
            <w:color w:val="auto"/>
            <w:szCs w:val="24"/>
            <w:u w:val="none"/>
            <w:shd w:val="clear" w:color="auto" w:fill="FFFFFF"/>
            <w:lang w:val="en-US"/>
          </w:rPr>
          <w:t xml:space="preserve">”, </w:t>
        </w:r>
        <w:r w:rsidRPr="00B84E76">
          <w:rPr>
            <w:rStyle w:val="Hyperlink"/>
            <w:i/>
            <w:color w:val="auto"/>
            <w:szCs w:val="24"/>
            <w:u w:val="none"/>
            <w:shd w:val="clear" w:color="auto" w:fill="FFFFFF"/>
            <w:lang w:val="en-US"/>
          </w:rPr>
          <w:t>Anal</w:t>
        </w:r>
        <w:r w:rsidR="00B84E76" w:rsidRPr="00B84E76">
          <w:rPr>
            <w:rStyle w:val="Hyperlink"/>
            <w:i/>
            <w:color w:val="auto"/>
            <w:szCs w:val="24"/>
            <w:u w:val="none"/>
            <w:shd w:val="clear" w:color="auto" w:fill="FFFFFF"/>
            <w:lang w:val="en-US"/>
          </w:rPr>
          <w:t>ecta Archaeologica Ressoviensia</w:t>
        </w:r>
        <w:r w:rsidR="00B84E76">
          <w:rPr>
            <w:rStyle w:val="Hyperlink"/>
            <w:color w:val="auto"/>
            <w:szCs w:val="24"/>
            <w:u w:val="none"/>
            <w:shd w:val="clear" w:color="auto" w:fill="FFFFFF"/>
            <w:lang w:val="en-US"/>
          </w:rPr>
          <w:t>,</w:t>
        </w:r>
        <w:r w:rsidRPr="0008486F">
          <w:rPr>
            <w:rStyle w:val="Hyperlink"/>
            <w:color w:val="auto"/>
            <w:szCs w:val="24"/>
            <w:u w:val="none"/>
            <w:shd w:val="clear" w:color="auto" w:fill="FFFFFF"/>
            <w:lang w:val="en-US"/>
          </w:rPr>
          <w:t xml:space="preserve"> 3, </w:t>
        </w:r>
        <w:r w:rsidR="00B84E76">
          <w:rPr>
            <w:rStyle w:val="Hyperlink"/>
            <w:color w:val="auto"/>
            <w:szCs w:val="24"/>
            <w:u w:val="none"/>
            <w:shd w:val="clear" w:color="auto" w:fill="FFFFFF"/>
            <w:lang w:val="en-US"/>
          </w:rPr>
          <w:t xml:space="preserve">pp. </w:t>
        </w:r>
        <w:r w:rsidRPr="0008486F">
          <w:rPr>
            <w:rStyle w:val="Hyperlink"/>
            <w:color w:val="auto"/>
            <w:szCs w:val="24"/>
            <w:u w:val="none"/>
            <w:shd w:val="clear" w:color="auto" w:fill="FFFFFF"/>
            <w:lang w:val="en-US"/>
          </w:rPr>
          <w:t>251-271.</w:t>
        </w:r>
      </w:hyperlink>
    </w:p>
    <w:p w:rsidR="00B80659" w:rsidRPr="00D45ADD" w:rsidRDefault="00B80659" w:rsidP="002E6655">
      <w:pPr>
        <w:pStyle w:val="BodyText"/>
        <w:spacing w:after="0" w:line="360" w:lineRule="auto"/>
        <w:ind w:firstLine="709"/>
        <w:jc w:val="both"/>
        <w:rPr>
          <w:szCs w:val="24"/>
          <w:shd w:val="clear" w:color="auto" w:fill="FFFFFF"/>
          <w:lang w:val="en-US"/>
        </w:rPr>
      </w:pPr>
      <w:r w:rsidRPr="002E6655">
        <w:rPr>
          <w:smallCaps/>
          <w:lang w:val="en-US"/>
        </w:rPr>
        <w:t>Berry, J.</w:t>
      </w:r>
      <w:r w:rsidRPr="002E6655">
        <w:rPr>
          <w:lang w:val="en-US"/>
        </w:rPr>
        <w:t xml:space="preserve"> (1997)</w:t>
      </w:r>
      <w:r w:rsidR="002E6655">
        <w:rPr>
          <w:lang w:val="en-US"/>
        </w:rPr>
        <w:t>:</w:t>
      </w:r>
      <w:r w:rsidRPr="002E6655">
        <w:rPr>
          <w:lang w:val="en-US"/>
        </w:rPr>
        <w:t xml:space="preserve"> </w:t>
      </w:r>
      <w:r w:rsidR="002E6655">
        <w:rPr>
          <w:lang w:val="en-US"/>
        </w:rPr>
        <w:t>“</w:t>
      </w:r>
      <w:r w:rsidRPr="002E6655">
        <w:rPr>
          <w:lang w:val="en-US"/>
        </w:rPr>
        <w:t>The conditions of domestic life in Pompeii in AD 79: a case-study of houses 11 and 12, Insula 9, Regio I</w:t>
      </w:r>
      <w:r w:rsidR="002E6655">
        <w:rPr>
          <w:lang w:val="en-US"/>
        </w:rPr>
        <w:t>”,</w:t>
      </w:r>
      <w:r w:rsidRPr="002E6655">
        <w:rPr>
          <w:lang w:val="en-US"/>
        </w:rPr>
        <w:t xml:space="preserve"> </w:t>
      </w:r>
      <w:r w:rsidRPr="002E6655">
        <w:rPr>
          <w:i/>
          <w:lang w:val="en-US"/>
        </w:rPr>
        <w:t>Papers of the British School at Rome</w:t>
      </w:r>
      <w:r w:rsidR="002E6655">
        <w:rPr>
          <w:lang w:val="en-US"/>
        </w:rPr>
        <w:t xml:space="preserve">, </w:t>
      </w:r>
      <w:r w:rsidRPr="002E6655">
        <w:rPr>
          <w:lang w:val="en-US"/>
        </w:rPr>
        <w:t xml:space="preserve">LXV, </w:t>
      </w:r>
      <w:r w:rsidR="002E6655">
        <w:rPr>
          <w:lang w:val="en-US"/>
        </w:rPr>
        <w:t xml:space="preserve">pp. </w:t>
      </w:r>
      <w:r w:rsidRPr="002E6655">
        <w:rPr>
          <w:lang w:val="en-US"/>
        </w:rPr>
        <w:t>103-125.</w:t>
      </w:r>
      <w:r w:rsidR="00805723">
        <w:rPr>
          <w:lang w:val="en-US"/>
        </w:rPr>
        <w:t xml:space="preserve"> (</w:t>
      </w:r>
      <w:hyperlink r:id="rId10" w:history="1">
        <w:r w:rsidR="00805723" w:rsidRPr="00805723">
          <w:rPr>
            <w:rStyle w:val="Hyperlink"/>
            <w:color w:val="auto"/>
            <w:lang w:val="en-US"/>
          </w:rPr>
          <w:t>http://dx.doi.org/10.1017/S0068246200010606</w:t>
        </w:r>
      </w:hyperlink>
      <w:r w:rsidR="00805723">
        <w:rPr>
          <w:lang w:val="en-US"/>
        </w:rPr>
        <w:t xml:space="preserve">) </w:t>
      </w:r>
      <w:r w:rsidR="00D45ADD" w:rsidRPr="00D45ADD">
        <w:rPr>
          <w:szCs w:val="24"/>
          <w:lang w:val="en-US"/>
        </w:rPr>
        <w:t>(</w:t>
      </w:r>
      <w:hyperlink r:id="rId11" w:history="1">
        <w:r w:rsidR="001C4E3C" w:rsidRPr="001C4E3C">
          <w:rPr>
            <w:rStyle w:val="Hyperlink"/>
            <w:color w:val="auto"/>
            <w:lang w:val="en-US"/>
          </w:rPr>
          <w:t>https://www.cambridge.org/core/journals/papers-of-the-british-school-at-rome/article/conditions-of-domestic-life-in-pompeii-in-ad-79-a-casestudy-of-houses-11-and-12-insula-9-region-i1/437A6936EBF7A3BC024A0B01DF8A7971</w:t>
        </w:r>
      </w:hyperlink>
      <w:r w:rsidR="00D45ADD" w:rsidRPr="00D45ADD">
        <w:rPr>
          <w:szCs w:val="24"/>
          <w:lang w:val="en-US"/>
        </w:rPr>
        <w:t>) (26-05-2017)</w:t>
      </w:r>
    </w:p>
    <w:p w:rsidR="00C159C7" w:rsidRPr="0008486F" w:rsidRDefault="00C159C7" w:rsidP="00F34854">
      <w:pPr>
        <w:pStyle w:val="BodyText"/>
        <w:spacing w:after="0" w:line="360" w:lineRule="auto"/>
        <w:ind w:firstLine="709"/>
        <w:jc w:val="both"/>
        <w:rPr>
          <w:rStyle w:val="Hyperlink"/>
          <w:color w:val="auto"/>
          <w:szCs w:val="24"/>
          <w:u w:val="none"/>
          <w:shd w:val="clear" w:color="auto" w:fill="FFFFFF"/>
          <w:lang w:val="en-US"/>
        </w:rPr>
      </w:pPr>
      <w:r w:rsidRPr="00B84E76">
        <w:rPr>
          <w:smallCaps/>
          <w:lang w:val="en-US"/>
        </w:rPr>
        <w:t xml:space="preserve">Brizio, </w:t>
      </w:r>
      <w:r w:rsidR="00D24AA7" w:rsidRPr="00B84E76">
        <w:rPr>
          <w:smallCaps/>
          <w:lang w:val="en-US"/>
        </w:rPr>
        <w:t>E</w:t>
      </w:r>
      <w:r w:rsidRPr="00B84E76">
        <w:rPr>
          <w:smallCaps/>
          <w:lang w:val="en-US"/>
        </w:rPr>
        <w:t>.</w:t>
      </w:r>
      <w:r w:rsidRPr="006E2C13">
        <w:rPr>
          <w:lang w:val="en-US"/>
        </w:rPr>
        <w:t xml:space="preserve"> (1872)</w:t>
      </w:r>
      <w:r w:rsidR="00D24AA7" w:rsidRPr="006E2C13">
        <w:rPr>
          <w:lang w:val="en-US"/>
        </w:rPr>
        <w:t>: “T</w:t>
      </w:r>
      <w:r w:rsidRPr="006E2C13">
        <w:rPr>
          <w:lang w:val="en-US"/>
        </w:rPr>
        <w:t>i</w:t>
      </w:r>
      <w:r w:rsidR="00D24AA7" w:rsidRPr="006E2C13">
        <w:rPr>
          <w:lang w:val="en-US"/>
        </w:rPr>
        <w:t>tuli</w:t>
      </w:r>
      <w:r w:rsidRPr="006E2C13">
        <w:rPr>
          <w:lang w:val="en-US"/>
        </w:rPr>
        <w:t xml:space="preserve"> vasis fictilibus </w:t>
      </w:r>
      <w:r w:rsidR="00D24AA7" w:rsidRPr="006E2C13">
        <w:rPr>
          <w:lang w:val="en-US"/>
        </w:rPr>
        <w:t>inscripti Pompeiis reperti”,</w:t>
      </w:r>
      <w:r w:rsidRPr="006E2C13">
        <w:rPr>
          <w:lang w:val="en-US"/>
        </w:rPr>
        <w:t xml:space="preserve"> </w:t>
      </w:r>
      <w:r w:rsidRPr="006E2C13">
        <w:rPr>
          <w:i/>
          <w:lang w:val="en-US"/>
        </w:rPr>
        <w:t>Ephemeris Epigraphica Corporis Inscriptionum Latinarum Supplementum</w:t>
      </w:r>
      <w:r w:rsidR="00D24AA7" w:rsidRPr="006E2C13">
        <w:rPr>
          <w:lang w:val="en-US"/>
        </w:rPr>
        <w:t>, I, pp. 160-174.</w:t>
      </w:r>
    </w:p>
    <w:p w:rsidR="00827B32" w:rsidRPr="00E5279A" w:rsidRDefault="00827B32" w:rsidP="00F34854">
      <w:pPr>
        <w:pStyle w:val="BodyText"/>
        <w:spacing w:after="0" w:line="360" w:lineRule="auto"/>
        <w:ind w:firstLine="709"/>
        <w:jc w:val="both"/>
        <w:rPr>
          <w:szCs w:val="24"/>
        </w:rPr>
      </w:pPr>
      <w:r w:rsidRPr="00E5279A">
        <w:rPr>
          <w:smallCaps/>
          <w:szCs w:val="24"/>
          <w:lang w:val="en-US"/>
        </w:rPr>
        <w:t>C</w:t>
      </w:r>
      <w:r w:rsidR="00B84E76" w:rsidRPr="00E5279A">
        <w:rPr>
          <w:smallCaps/>
          <w:szCs w:val="24"/>
          <w:lang w:val="en-US"/>
        </w:rPr>
        <w:t>arreras, C. y Williams, D.F.</w:t>
      </w:r>
      <w:r w:rsidRPr="0008486F">
        <w:rPr>
          <w:szCs w:val="24"/>
          <w:lang w:val="en-US"/>
        </w:rPr>
        <w:t xml:space="preserve"> </w:t>
      </w:r>
      <w:r w:rsidR="00B84E76">
        <w:rPr>
          <w:szCs w:val="24"/>
          <w:lang w:val="en-US"/>
        </w:rPr>
        <w:t>(</w:t>
      </w:r>
      <w:r w:rsidRPr="0008486F">
        <w:rPr>
          <w:szCs w:val="24"/>
          <w:lang w:val="en-US"/>
        </w:rPr>
        <w:t>2002</w:t>
      </w:r>
      <w:r w:rsidR="00B84E76">
        <w:rPr>
          <w:szCs w:val="24"/>
          <w:lang w:val="en-US"/>
        </w:rPr>
        <w:t>): ““C</w:t>
      </w:r>
      <w:r w:rsidRPr="0008486F">
        <w:rPr>
          <w:szCs w:val="24"/>
          <w:lang w:val="en-US"/>
        </w:rPr>
        <w:t>arrot” amphoras: a Syrian or Palestinian connection?</w:t>
      </w:r>
      <w:r w:rsidR="00B84E76">
        <w:rPr>
          <w:szCs w:val="24"/>
          <w:lang w:val="en-US"/>
        </w:rPr>
        <w:t>”. E</w:t>
      </w:r>
      <w:r w:rsidRPr="0008486F">
        <w:rPr>
          <w:szCs w:val="24"/>
          <w:lang w:val="en-US"/>
        </w:rPr>
        <w:t xml:space="preserve">n </w:t>
      </w:r>
      <w:r w:rsidRPr="00E5279A">
        <w:rPr>
          <w:smallCaps/>
          <w:szCs w:val="24"/>
          <w:lang w:val="en-US"/>
        </w:rPr>
        <w:t>H</w:t>
      </w:r>
      <w:r w:rsidR="00B84E76" w:rsidRPr="00E5279A">
        <w:rPr>
          <w:smallCaps/>
          <w:szCs w:val="24"/>
          <w:lang w:val="en-US"/>
        </w:rPr>
        <w:t>umphrey, J.H.</w:t>
      </w:r>
      <w:r w:rsidR="00B84E76">
        <w:rPr>
          <w:szCs w:val="24"/>
          <w:lang w:val="en-US"/>
        </w:rPr>
        <w:t xml:space="preserve"> (ed.):</w:t>
      </w:r>
      <w:r w:rsidRPr="0008486F">
        <w:rPr>
          <w:szCs w:val="24"/>
          <w:lang w:val="en-US"/>
        </w:rPr>
        <w:t xml:space="preserve"> </w:t>
      </w:r>
      <w:r w:rsidRPr="0008486F">
        <w:rPr>
          <w:i/>
          <w:szCs w:val="24"/>
          <w:lang w:val="en-US"/>
        </w:rPr>
        <w:t>The Roman and Byzantine Near East</w:t>
      </w:r>
      <w:r w:rsidR="00E5279A">
        <w:rPr>
          <w:szCs w:val="24"/>
          <w:lang w:val="en-US"/>
        </w:rPr>
        <w:t>, 3.</w:t>
      </w:r>
      <w:r w:rsidRPr="0008486F">
        <w:rPr>
          <w:szCs w:val="24"/>
          <w:lang w:val="en-US"/>
        </w:rPr>
        <w:t xml:space="preserve"> </w:t>
      </w:r>
      <w:r w:rsidRPr="00E5279A">
        <w:rPr>
          <w:szCs w:val="24"/>
        </w:rPr>
        <w:t xml:space="preserve">Portsmouth, </w:t>
      </w:r>
      <w:r w:rsidR="00E5279A" w:rsidRPr="00E5279A">
        <w:rPr>
          <w:szCs w:val="24"/>
        </w:rPr>
        <w:t xml:space="preserve">pp. </w:t>
      </w:r>
      <w:r w:rsidRPr="00E5279A">
        <w:rPr>
          <w:szCs w:val="24"/>
        </w:rPr>
        <w:t>133-144.</w:t>
      </w:r>
    </w:p>
    <w:p w:rsidR="00577C55" w:rsidRDefault="00577C55" w:rsidP="00F34854">
      <w:pPr>
        <w:pStyle w:val="BodyText"/>
        <w:spacing w:after="0" w:line="360" w:lineRule="auto"/>
        <w:ind w:firstLine="709"/>
        <w:jc w:val="both"/>
      </w:pPr>
      <w:r w:rsidRPr="002E6655">
        <w:rPr>
          <w:smallCaps/>
          <w:lang w:val="it-IT"/>
        </w:rPr>
        <w:t>Casaramona, A.; Colanton</w:t>
      </w:r>
      <w:r w:rsidR="002E6655">
        <w:rPr>
          <w:smallCaps/>
          <w:lang w:val="it-IT"/>
        </w:rPr>
        <w:t xml:space="preserve">io, S.; Rossi, B.; Tempesta, C. </w:t>
      </w:r>
      <w:r w:rsidR="002E6655" w:rsidRPr="002E6655">
        <w:rPr>
          <w:lang w:val="it-IT"/>
        </w:rPr>
        <w:t>y</w:t>
      </w:r>
      <w:r w:rsidRPr="002E6655">
        <w:rPr>
          <w:smallCaps/>
          <w:lang w:val="it-IT"/>
        </w:rPr>
        <w:t xml:space="preserve"> Zanchetta, G. </w:t>
      </w:r>
      <w:r w:rsidRPr="002E6655">
        <w:rPr>
          <w:lang w:val="it-IT"/>
        </w:rPr>
        <w:t>(2010)</w:t>
      </w:r>
      <w:r w:rsidR="002E6655">
        <w:rPr>
          <w:lang w:val="it-IT"/>
        </w:rPr>
        <w:t>:</w:t>
      </w:r>
      <w:r w:rsidRPr="002E6655">
        <w:rPr>
          <w:lang w:val="it-IT"/>
        </w:rPr>
        <w:t xml:space="preserve"> “Anfore cretesi dallo scavo del Nuovo Mercato di Testa</w:t>
      </w:r>
      <w:r w:rsidR="002E6655">
        <w:rPr>
          <w:lang w:val="it-IT"/>
        </w:rPr>
        <w:t>ccio”,</w:t>
      </w:r>
      <w:r w:rsidRPr="002E6655">
        <w:rPr>
          <w:lang w:val="it-IT"/>
        </w:rPr>
        <w:t xml:space="preserve"> </w:t>
      </w:r>
      <w:r w:rsidRPr="002E6655">
        <w:rPr>
          <w:i/>
        </w:rPr>
        <w:t>Rei Cretariae Romanae Fautorum Acta</w:t>
      </w:r>
      <w:r w:rsidR="002E6655">
        <w:t>, 41,</w:t>
      </w:r>
      <w:r w:rsidRPr="002E6655">
        <w:t xml:space="preserve"> pp.</w:t>
      </w:r>
      <w:r w:rsidR="002E6655">
        <w:t xml:space="preserve"> </w:t>
      </w:r>
      <w:r w:rsidRPr="002E6655">
        <w:t>113-122.</w:t>
      </w:r>
    </w:p>
    <w:p w:rsidR="00730054" w:rsidRPr="0008486F" w:rsidRDefault="00730054" w:rsidP="00F34854">
      <w:pPr>
        <w:pStyle w:val="BodyText"/>
        <w:spacing w:after="0" w:line="360" w:lineRule="auto"/>
        <w:ind w:firstLine="709"/>
        <w:jc w:val="both"/>
        <w:rPr>
          <w:szCs w:val="24"/>
        </w:rPr>
      </w:pPr>
      <w:r w:rsidRPr="00E5279A">
        <w:rPr>
          <w:smallCaps/>
          <w:szCs w:val="24"/>
        </w:rPr>
        <w:t>Cassia, M.</w:t>
      </w:r>
      <w:r w:rsidRPr="00E5279A">
        <w:rPr>
          <w:szCs w:val="24"/>
        </w:rPr>
        <w:t xml:space="preserve"> (2014)</w:t>
      </w:r>
      <w:r w:rsidR="00E5279A">
        <w:rPr>
          <w:szCs w:val="24"/>
        </w:rPr>
        <w:t>:</w:t>
      </w:r>
      <w:r w:rsidRPr="00E5279A">
        <w:rPr>
          <w:szCs w:val="24"/>
        </w:rPr>
        <w:t xml:space="preserve"> </w:t>
      </w:r>
      <w:r w:rsidR="00E5279A">
        <w:rPr>
          <w:szCs w:val="24"/>
        </w:rPr>
        <w:t>“</w:t>
      </w:r>
      <w:r w:rsidRPr="00E5279A">
        <w:rPr>
          <w:szCs w:val="24"/>
        </w:rPr>
        <w:t>“Marchi di fabbrica” a Creta e tituli picti di Ercolano: considerazione socio-economiche</w:t>
      </w:r>
      <w:r w:rsidR="00E5279A">
        <w:rPr>
          <w:szCs w:val="24"/>
        </w:rPr>
        <w:t>”</w:t>
      </w:r>
      <w:r w:rsidRPr="00E5279A">
        <w:rPr>
          <w:szCs w:val="24"/>
        </w:rPr>
        <w:t xml:space="preserve">. En </w:t>
      </w:r>
      <w:r w:rsidRPr="00E5279A">
        <w:rPr>
          <w:smallCaps/>
          <w:szCs w:val="24"/>
        </w:rPr>
        <w:t xml:space="preserve">Buonopane, </w:t>
      </w:r>
      <w:r w:rsidR="00E5279A" w:rsidRPr="00E5279A">
        <w:rPr>
          <w:smallCaps/>
          <w:szCs w:val="24"/>
        </w:rPr>
        <w:t xml:space="preserve">A. </w:t>
      </w:r>
      <w:r w:rsidR="00E5279A" w:rsidRPr="00E5279A">
        <w:rPr>
          <w:szCs w:val="24"/>
        </w:rPr>
        <w:t xml:space="preserve">y </w:t>
      </w:r>
      <w:r w:rsidRPr="00E5279A">
        <w:rPr>
          <w:smallCaps/>
          <w:szCs w:val="24"/>
        </w:rPr>
        <w:t>Braito</w:t>
      </w:r>
      <w:r w:rsidR="00E5279A" w:rsidRPr="00E5279A">
        <w:rPr>
          <w:smallCaps/>
          <w:szCs w:val="24"/>
        </w:rPr>
        <w:t>, S.</w:t>
      </w:r>
      <w:r w:rsidR="00E5279A">
        <w:rPr>
          <w:szCs w:val="24"/>
        </w:rPr>
        <w:t xml:space="preserve"> (e</w:t>
      </w:r>
      <w:r w:rsidRPr="0008486F">
        <w:rPr>
          <w:szCs w:val="24"/>
        </w:rPr>
        <w:t>ds.)</w:t>
      </w:r>
      <w:r w:rsidR="00E5279A">
        <w:rPr>
          <w:szCs w:val="24"/>
        </w:rPr>
        <w:t>:</w:t>
      </w:r>
      <w:r w:rsidRPr="0008486F">
        <w:rPr>
          <w:szCs w:val="24"/>
        </w:rPr>
        <w:t xml:space="preserve"> </w:t>
      </w:r>
      <w:r w:rsidRPr="0008486F">
        <w:rPr>
          <w:i/>
          <w:szCs w:val="24"/>
        </w:rPr>
        <w:t>Signacula ex aere. Aspetti epigrafici, archeologici, giuridici, prosopografici, collezionistici.</w:t>
      </w:r>
      <w:r w:rsidRPr="0008486F">
        <w:rPr>
          <w:szCs w:val="24"/>
        </w:rPr>
        <w:t xml:space="preserve"> </w:t>
      </w:r>
      <w:r w:rsidRPr="0008486F">
        <w:rPr>
          <w:i/>
          <w:szCs w:val="24"/>
        </w:rPr>
        <w:t xml:space="preserve">Atti del Convegno Internazionale (Verona, 20-21 settembre 2012). </w:t>
      </w:r>
      <w:r w:rsidR="00E5279A" w:rsidRPr="0008486F">
        <w:rPr>
          <w:szCs w:val="24"/>
        </w:rPr>
        <w:t>Roma</w:t>
      </w:r>
      <w:r w:rsidR="00E5279A">
        <w:rPr>
          <w:szCs w:val="24"/>
        </w:rPr>
        <w:t>: Scienze e Lettere, p</w:t>
      </w:r>
      <w:r w:rsidRPr="0008486F">
        <w:rPr>
          <w:szCs w:val="24"/>
        </w:rPr>
        <w:t>p. 459-477.</w:t>
      </w:r>
    </w:p>
    <w:p w:rsidR="00D86DEA" w:rsidRPr="00D00140" w:rsidRDefault="00D86DEA" w:rsidP="00F34854">
      <w:pPr>
        <w:pStyle w:val="BodyText"/>
        <w:spacing w:after="0" w:line="360" w:lineRule="auto"/>
        <w:ind w:firstLine="709"/>
        <w:jc w:val="both"/>
        <w:rPr>
          <w:szCs w:val="24"/>
          <w:lang w:val="en-US"/>
        </w:rPr>
      </w:pPr>
      <w:r w:rsidRPr="00E5279A">
        <w:rPr>
          <w:smallCaps/>
          <w:szCs w:val="24"/>
        </w:rPr>
        <w:t>Castrén</w:t>
      </w:r>
      <w:r w:rsidR="00E5279A" w:rsidRPr="00E5279A">
        <w:rPr>
          <w:smallCaps/>
          <w:szCs w:val="24"/>
        </w:rPr>
        <w:t>, P.</w:t>
      </w:r>
      <w:r w:rsidRPr="0008486F">
        <w:rPr>
          <w:szCs w:val="24"/>
        </w:rPr>
        <w:t xml:space="preserve"> (1983)</w:t>
      </w:r>
      <w:r w:rsidR="00E5279A">
        <w:rPr>
          <w:szCs w:val="24"/>
        </w:rPr>
        <w:t>:</w:t>
      </w:r>
      <w:r w:rsidRPr="0008486F">
        <w:rPr>
          <w:szCs w:val="24"/>
        </w:rPr>
        <w:t xml:space="preserve"> </w:t>
      </w:r>
      <w:r w:rsidRPr="00A30138">
        <w:rPr>
          <w:i/>
          <w:szCs w:val="24"/>
        </w:rPr>
        <w:t xml:space="preserve">Ordo populusque Pompeianus. </w:t>
      </w:r>
      <w:r w:rsidRPr="00622476">
        <w:rPr>
          <w:i/>
          <w:szCs w:val="24"/>
          <w:lang w:val="en-US"/>
        </w:rPr>
        <w:t>Polity and Society in Roman Pompeii</w:t>
      </w:r>
      <w:r w:rsidRPr="00622476">
        <w:rPr>
          <w:szCs w:val="24"/>
          <w:lang w:val="en-US"/>
        </w:rPr>
        <w:t xml:space="preserve">. </w:t>
      </w:r>
      <w:r w:rsidR="00A30138" w:rsidRPr="00D00140">
        <w:rPr>
          <w:szCs w:val="24"/>
          <w:lang w:val="en-US"/>
        </w:rPr>
        <w:t xml:space="preserve">Roma: </w:t>
      </w:r>
      <w:r w:rsidRPr="00D00140">
        <w:rPr>
          <w:szCs w:val="24"/>
          <w:lang w:val="en-US"/>
        </w:rPr>
        <w:t>Bardi Editor</w:t>
      </w:r>
      <w:r w:rsidR="00A30138" w:rsidRPr="00D00140">
        <w:rPr>
          <w:szCs w:val="24"/>
          <w:lang w:val="en-US"/>
        </w:rPr>
        <w:t>e</w:t>
      </w:r>
      <w:r w:rsidRPr="00D00140">
        <w:rPr>
          <w:szCs w:val="24"/>
          <w:lang w:val="en-US"/>
        </w:rPr>
        <w:t>.</w:t>
      </w:r>
    </w:p>
    <w:p w:rsidR="00AC58BF" w:rsidRPr="001C4E3C" w:rsidRDefault="00D00140" w:rsidP="00F34854">
      <w:pPr>
        <w:pStyle w:val="BodyText"/>
        <w:spacing w:after="0" w:line="360" w:lineRule="auto"/>
        <w:ind w:firstLine="709"/>
        <w:jc w:val="both"/>
        <w:rPr>
          <w:szCs w:val="24"/>
          <w:lang w:val="en-US"/>
        </w:rPr>
      </w:pPr>
      <w:r w:rsidRPr="00D00140">
        <w:rPr>
          <w:smallCaps/>
          <w:szCs w:val="24"/>
          <w:lang w:val="en-US"/>
        </w:rPr>
        <w:t>Curtis, R.</w:t>
      </w:r>
      <w:r w:rsidR="00AC58BF" w:rsidRPr="00D00140">
        <w:rPr>
          <w:smallCaps/>
          <w:szCs w:val="24"/>
          <w:lang w:val="en-US"/>
        </w:rPr>
        <w:t>I.</w:t>
      </w:r>
      <w:r w:rsidR="00AC58BF" w:rsidRPr="00D00140">
        <w:rPr>
          <w:szCs w:val="24"/>
          <w:lang w:val="en-US"/>
        </w:rPr>
        <w:t xml:space="preserve"> (1984)</w:t>
      </w:r>
      <w:r>
        <w:rPr>
          <w:szCs w:val="24"/>
          <w:lang w:val="en-US"/>
        </w:rPr>
        <w:t>:</w:t>
      </w:r>
      <w:r w:rsidR="00AC58BF" w:rsidRPr="00D00140">
        <w:rPr>
          <w:szCs w:val="24"/>
          <w:lang w:val="en-US"/>
        </w:rPr>
        <w:t xml:space="preserve"> “A Pers</w:t>
      </w:r>
      <w:r w:rsidR="00AC58BF" w:rsidRPr="0008486F">
        <w:rPr>
          <w:szCs w:val="24"/>
          <w:lang w:val="en-US"/>
        </w:rPr>
        <w:t xml:space="preserve">onalized Floor Mosaic from Pompeii”, </w:t>
      </w:r>
      <w:r w:rsidR="00AC58BF" w:rsidRPr="0008486F">
        <w:rPr>
          <w:i/>
          <w:szCs w:val="24"/>
          <w:lang w:val="en-US"/>
        </w:rPr>
        <w:t>American Journal of Archaeology</w:t>
      </w:r>
      <w:r w:rsidR="00AC58BF" w:rsidRPr="0008486F">
        <w:rPr>
          <w:szCs w:val="24"/>
          <w:lang w:val="en-US"/>
        </w:rPr>
        <w:t>, 88-4, pp. 557-566.</w:t>
      </w:r>
      <w:r w:rsidR="001C4E3C">
        <w:rPr>
          <w:szCs w:val="24"/>
          <w:lang w:val="en-US"/>
        </w:rPr>
        <w:t xml:space="preserve"> (</w:t>
      </w:r>
      <w:hyperlink r:id="rId12" w:history="1">
        <w:r w:rsidR="001C4E3C" w:rsidRPr="001C4E3C">
          <w:rPr>
            <w:rStyle w:val="Hyperlink"/>
            <w:color w:val="auto"/>
            <w:szCs w:val="24"/>
            <w:lang w:val="en-US"/>
          </w:rPr>
          <w:t>http://dx.doi.org/10.2307/504744</w:t>
        </w:r>
      </w:hyperlink>
      <w:r w:rsidR="001C4E3C">
        <w:rPr>
          <w:szCs w:val="24"/>
          <w:lang w:val="en-US"/>
        </w:rPr>
        <w:t xml:space="preserve">) </w:t>
      </w:r>
      <w:r w:rsidR="001C4E3C" w:rsidRPr="001C4E3C">
        <w:rPr>
          <w:szCs w:val="24"/>
          <w:lang w:val="en-US"/>
        </w:rPr>
        <w:t>(</w:t>
      </w:r>
      <w:hyperlink r:id="rId13" w:anchor="page_scan_tab_contents" w:history="1">
        <w:r w:rsidR="001C4E3C" w:rsidRPr="001C4E3C">
          <w:rPr>
            <w:rStyle w:val="Hyperlink"/>
            <w:color w:val="auto"/>
            <w:szCs w:val="24"/>
            <w:lang w:val="en-US"/>
          </w:rPr>
          <w:t>http://www.jstor.org/stable/504744?origin=crossref&amp;seq=1#page_scan_tab_contents</w:t>
        </w:r>
      </w:hyperlink>
      <w:r w:rsidR="001C4E3C" w:rsidRPr="001C4E3C">
        <w:rPr>
          <w:szCs w:val="24"/>
          <w:lang w:val="en-US"/>
        </w:rPr>
        <w:t>) (26-05-2017)</w:t>
      </w:r>
    </w:p>
    <w:p w:rsidR="006F733B" w:rsidRDefault="006F733B" w:rsidP="00F34854">
      <w:pPr>
        <w:spacing w:after="0" w:line="360" w:lineRule="auto"/>
        <w:ind w:firstLine="709"/>
        <w:jc w:val="both"/>
        <w:rPr>
          <w:rFonts w:ascii="Times New Roman" w:hAnsi="Times New Roman"/>
          <w:sz w:val="24"/>
          <w:szCs w:val="24"/>
          <w:lang w:val="en-US"/>
        </w:rPr>
      </w:pPr>
      <w:r w:rsidRPr="00D00140">
        <w:rPr>
          <w:rFonts w:ascii="Times New Roman" w:hAnsi="Times New Roman"/>
          <w:smallCaps/>
          <w:sz w:val="24"/>
          <w:szCs w:val="24"/>
          <w:lang w:val="en-US"/>
        </w:rPr>
        <w:t>Day, J.</w:t>
      </w:r>
      <w:r w:rsidRPr="0008486F">
        <w:rPr>
          <w:rFonts w:ascii="Times New Roman" w:hAnsi="Times New Roman"/>
          <w:sz w:val="24"/>
          <w:szCs w:val="24"/>
          <w:lang w:val="en-US"/>
        </w:rPr>
        <w:t xml:space="preserve"> (1932)</w:t>
      </w:r>
      <w:r w:rsidR="00D00140">
        <w:rPr>
          <w:rFonts w:ascii="Times New Roman" w:hAnsi="Times New Roman"/>
          <w:sz w:val="24"/>
          <w:szCs w:val="24"/>
          <w:lang w:val="en-US"/>
        </w:rPr>
        <w:t>:</w:t>
      </w:r>
      <w:r w:rsidRPr="0008486F">
        <w:rPr>
          <w:rFonts w:ascii="Times New Roman" w:hAnsi="Times New Roman"/>
          <w:sz w:val="24"/>
          <w:szCs w:val="24"/>
          <w:lang w:val="en-US"/>
        </w:rPr>
        <w:t xml:space="preserve"> </w:t>
      </w:r>
      <w:r w:rsidR="00D00140">
        <w:rPr>
          <w:rFonts w:ascii="Times New Roman" w:hAnsi="Times New Roman"/>
          <w:sz w:val="24"/>
          <w:szCs w:val="24"/>
          <w:lang w:val="en-US"/>
        </w:rPr>
        <w:t>“</w:t>
      </w:r>
      <w:r w:rsidRPr="0008486F">
        <w:rPr>
          <w:rFonts w:ascii="Times New Roman" w:hAnsi="Times New Roman"/>
          <w:sz w:val="24"/>
          <w:szCs w:val="24"/>
          <w:lang w:val="en-US"/>
        </w:rPr>
        <w:t>Agriculture in the Life of Pompey</w:t>
      </w:r>
      <w:r w:rsidR="00D00140">
        <w:rPr>
          <w:rFonts w:ascii="Times New Roman" w:hAnsi="Times New Roman"/>
          <w:sz w:val="24"/>
          <w:szCs w:val="24"/>
          <w:lang w:val="en-US"/>
        </w:rPr>
        <w:t>”</w:t>
      </w:r>
      <w:r w:rsidRPr="0008486F">
        <w:rPr>
          <w:rFonts w:ascii="Times New Roman" w:hAnsi="Times New Roman"/>
          <w:sz w:val="24"/>
          <w:szCs w:val="24"/>
          <w:lang w:val="en-US"/>
        </w:rPr>
        <w:t xml:space="preserve">. </w:t>
      </w:r>
      <w:r w:rsidR="00D00140">
        <w:rPr>
          <w:rFonts w:ascii="Times New Roman" w:hAnsi="Times New Roman"/>
          <w:sz w:val="24"/>
          <w:szCs w:val="24"/>
          <w:lang w:val="en-US"/>
        </w:rPr>
        <w:t xml:space="preserve">En </w:t>
      </w:r>
      <w:r w:rsidR="00D00140" w:rsidRPr="00C07D47">
        <w:rPr>
          <w:rFonts w:ascii="Times New Roman" w:hAnsi="Times New Roman"/>
          <w:smallCaps/>
          <w:sz w:val="24"/>
          <w:szCs w:val="24"/>
          <w:lang w:val="en-US"/>
        </w:rPr>
        <w:t>Harmon, A.M.</w:t>
      </w:r>
      <w:r w:rsidR="00D00140">
        <w:rPr>
          <w:rFonts w:ascii="Times New Roman" w:hAnsi="Times New Roman"/>
          <w:sz w:val="24"/>
          <w:szCs w:val="24"/>
          <w:lang w:val="en-US"/>
        </w:rPr>
        <w:t xml:space="preserve"> (ed.): </w:t>
      </w:r>
      <w:r w:rsidRPr="00C07D47">
        <w:rPr>
          <w:rFonts w:ascii="Times New Roman" w:hAnsi="Times New Roman"/>
          <w:i/>
          <w:sz w:val="24"/>
          <w:szCs w:val="24"/>
          <w:lang w:val="en-US"/>
        </w:rPr>
        <w:t>Yale Classical Studies</w:t>
      </w:r>
      <w:r w:rsidRPr="0008486F">
        <w:rPr>
          <w:rFonts w:ascii="Times New Roman" w:hAnsi="Times New Roman"/>
          <w:sz w:val="24"/>
          <w:szCs w:val="24"/>
          <w:lang w:val="en-US"/>
        </w:rPr>
        <w:t>, Vol</w:t>
      </w:r>
      <w:r w:rsidR="00C07D47">
        <w:rPr>
          <w:rFonts w:ascii="Times New Roman" w:hAnsi="Times New Roman"/>
          <w:sz w:val="24"/>
          <w:szCs w:val="24"/>
          <w:lang w:val="en-US"/>
        </w:rPr>
        <w:t>.</w:t>
      </w:r>
      <w:r w:rsidRPr="0008486F">
        <w:rPr>
          <w:rFonts w:ascii="Times New Roman" w:hAnsi="Times New Roman"/>
          <w:sz w:val="24"/>
          <w:szCs w:val="24"/>
          <w:lang w:val="en-US"/>
        </w:rPr>
        <w:t xml:space="preserve"> 3.</w:t>
      </w:r>
      <w:r w:rsidRPr="0008486F">
        <w:rPr>
          <w:rFonts w:ascii="Times New Roman" w:hAnsi="Times New Roman"/>
          <w:color w:val="333333"/>
          <w:sz w:val="24"/>
          <w:szCs w:val="24"/>
          <w:lang w:val="en-US"/>
        </w:rPr>
        <w:t xml:space="preserve"> </w:t>
      </w:r>
      <w:r w:rsidR="00C07D47">
        <w:rPr>
          <w:rFonts w:ascii="Times New Roman" w:hAnsi="Times New Roman"/>
          <w:sz w:val="24"/>
          <w:szCs w:val="24"/>
          <w:lang w:val="en-US"/>
        </w:rPr>
        <w:t xml:space="preserve"> </w:t>
      </w:r>
      <w:r w:rsidR="00C07D47" w:rsidRPr="0008486F">
        <w:rPr>
          <w:rFonts w:ascii="Times New Roman" w:hAnsi="Times New Roman"/>
          <w:sz w:val="24"/>
          <w:szCs w:val="24"/>
          <w:lang w:val="en-US"/>
        </w:rPr>
        <w:t>New Haven</w:t>
      </w:r>
      <w:r w:rsidR="00C07D47">
        <w:rPr>
          <w:rFonts w:ascii="Times New Roman" w:hAnsi="Times New Roman"/>
          <w:sz w:val="24"/>
          <w:szCs w:val="24"/>
          <w:lang w:val="en-US"/>
        </w:rPr>
        <w:t>: Yale University Press, p</w:t>
      </w:r>
      <w:r w:rsidRPr="0008486F">
        <w:rPr>
          <w:rFonts w:ascii="Times New Roman" w:hAnsi="Times New Roman"/>
          <w:sz w:val="24"/>
          <w:szCs w:val="24"/>
          <w:lang w:val="en-US"/>
        </w:rPr>
        <w:t>p. 165-208.</w:t>
      </w:r>
    </w:p>
    <w:p w:rsidR="00FF2ABB" w:rsidRPr="005E40ED" w:rsidRDefault="00FF2ABB" w:rsidP="00F34854">
      <w:pPr>
        <w:spacing w:after="0" w:line="360" w:lineRule="auto"/>
        <w:ind w:firstLine="709"/>
        <w:jc w:val="both"/>
        <w:rPr>
          <w:rFonts w:ascii="Times New Roman" w:hAnsi="Times New Roman"/>
          <w:sz w:val="24"/>
          <w:szCs w:val="24"/>
          <w:lang w:val="en-US"/>
        </w:rPr>
      </w:pPr>
      <w:r w:rsidRPr="005E40ED">
        <w:rPr>
          <w:rFonts w:ascii="Times New Roman" w:hAnsi="Times New Roman"/>
          <w:smallCaps/>
          <w:sz w:val="24"/>
          <w:szCs w:val="24"/>
          <w:lang w:val="en-US"/>
        </w:rPr>
        <w:t>Della Corte, M.</w:t>
      </w:r>
      <w:r w:rsidR="00C07D47" w:rsidRPr="005E40ED">
        <w:rPr>
          <w:rFonts w:ascii="Times New Roman" w:hAnsi="Times New Roman"/>
          <w:sz w:val="24"/>
          <w:szCs w:val="24"/>
          <w:lang w:val="en-US"/>
        </w:rPr>
        <w:t xml:space="preserve"> (1954):</w:t>
      </w:r>
      <w:r w:rsidRPr="005E40ED">
        <w:rPr>
          <w:rFonts w:ascii="Times New Roman" w:hAnsi="Times New Roman"/>
          <w:sz w:val="24"/>
          <w:szCs w:val="24"/>
          <w:lang w:val="en-US"/>
        </w:rPr>
        <w:t xml:space="preserve"> </w:t>
      </w:r>
      <w:r w:rsidR="00C07D47" w:rsidRPr="005E40ED">
        <w:rPr>
          <w:rFonts w:ascii="Times New Roman" w:hAnsi="Times New Roman"/>
          <w:i/>
          <w:sz w:val="24"/>
          <w:szCs w:val="24"/>
          <w:lang w:val="en-US"/>
        </w:rPr>
        <w:t>Case ed abitanti</w:t>
      </w:r>
      <w:r w:rsidRPr="005E40ED">
        <w:rPr>
          <w:rFonts w:ascii="Times New Roman" w:hAnsi="Times New Roman"/>
          <w:i/>
          <w:sz w:val="24"/>
          <w:szCs w:val="24"/>
          <w:lang w:val="en-US"/>
        </w:rPr>
        <w:t xml:space="preserve"> di Pompei</w:t>
      </w:r>
      <w:r w:rsidR="00C07D47" w:rsidRPr="005E40ED">
        <w:rPr>
          <w:rFonts w:ascii="Times New Roman" w:hAnsi="Times New Roman"/>
          <w:sz w:val="24"/>
          <w:szCs w:val="24"/>
          <w:lang w:val="en-US"/>
        </w:rPr>
        <w:t>.</w:t>
      </w:r>
      <w:r w:rsidRPr="005E40ED">
        <w:rPr>
          <w:rFonts w:ascii="Times New Roman" w:hAnsi="Times New Roman"/>
          <w:sz w:val="24"/>
          <w:szCs w:val="24"/>
          <w:lang w:val="en-US"/>
        </w:rPr>
        <w:t xml:space="preserve"> </w:t>
      </w:r>
      <w:r w:rsidRPr="005E40ED">
        <w:rPr>
          <w:rFonts w:ascii="Times New Roman" w:hAnsi="Times New Roman"/>
          <w:color w:val="000000"/>
          <w:sz w:val="24"/>
          <w:szCs w:val="24"/>
          <w:lang w:val="en-US"/>
        </w:rPr>
        <w:t xml:space="preserve">Roma: </w:t>
      </w:r>
      <w:r w:rsidR="00C07D47" w:rsidRPr="005E40ED">
        <w:rPr>
          <w:rFonts w:ascii="Times New Roman" w:hAnsi="Times New Roman"/>
          <w:color w:val="000000"/>
          <w:sz w:val="24"/>
          <w:szCs w:val="24"/>
          <w:lang w:val="en-US"/>
        </w:rPr>
        <w:t>“L'Erma”</w:t>
      </w:r>
      <w:r w:rsidRPr="005E40ED">
        <w:rPr>
          <w:rFonts w:ascii="Times New Roman" w:hAnsi="Times New Roman"/>
          <w:color w:val="000000"/>
          <w:sz w:val="24"/>
          <w:szCs w:val="24"/>
          <w:lang w:val="en-US"/>
        </w:rPr>
        <w:t xml:space="preserve"> di Bretschneider.</w:t>
      </w:r>
    </w:p>
    <w:p w:rsidR="00730054" w:rsidRPr="005E40ED" w:rsidRDefault="007636BA" w:rsidP="00F34854">
      <w:pPr>
        <w:spacing w:after="0" w:line="360" w:lineRule="auto"/>
        <w:ind w:firstLine="709"/>
        <w:jc w:val="both"/>
        <w:rPr>
          <w:rFonts w:ascii="Times New Roman" w:hAnsi="Times New Roman"/>
          <w:sz w:val="24"/>
          <w:szCs w:val="24"/>
          <w:lang w:val="en-US"/>
        </w:rPr>
      </w:pPr>
      <w:r w:rsidRPr="005E40ED">
        <w:rPr>
          <w:rFonts w:ascii="Times New Roman" w:hAnsi="Times New Roman"/>
          <w:smallCaps/>
          <w:sz w:val="24"/>
          <w:szCs w:val="24"/>
          <w:lang w:val="en-US"/>
        </w:rPr>
        <w:t>Ehmig, U.</w:t>
      </w:r>
      <w:r w:rsidRPr="005E40ED">
        <w:rPr>
          <w:rFonts w:ascii="Times New Roman" w:hAnsi="Times New Roman"/>
          <w:sz w:val="24"/>
          <w:szCs w:val="24"/>
          <w:lang w:val="en-US"/>
        </w:rPr>
        <w:t xml:space="preserve"> (2007)</w:t>
      </w:r>
      <w:r w:rsidR="00C07D47" w:rsidRPr="005E40ED">
        <w:rPr>
          <w:rFonts w:ascii="Times New Roman" w:hAnsi="Times New Roman"/>
          <w:sz w:val="24"/>
          <w:szCs w:val="24"/>
          <w:lang w:val="en-US"/>
        </w:rPr>
        <w:t>:</w:t>
      </w:r>
      <w:r w:rsidRPr="005E40ED">
        <w:rPr>
          <w:rFonts w:ascii="Times New Roman" w:hAnsi="Times New Roman"/>
          <w:sz w:val="24"/>
          <w:szCs w:val="24"/>
          <w:lang w:val="en-US"/>
        </w:rPr>
        <w:t xml:space="preserve"> “Tit</w:t>
      </w:r>
      <w:r w:rsidR="00C07D47" w:rsidRPr="005E40ED">
        <w:rPr>
          <w:rFonts w:ascii="Times New Roman" w:hAnsi="Times New Roman"/>
          <w:sz w:val="24"/>
          <w:szCs w:val="24"/>
          <w:lang w:val="en-US"/>
        </w:rPr>
        <w:t>uli picti auf amphoren in Köln”,</w:t>
      </w:r>
      <w:r w:rsidRPr="005E40ED">
        <w:rPr>
          <w:rFonts w:ascii="Times New Roman" w:hAnsi="Times New Roman"/>
          <w:sz w:val="24"/>
          <w:szCs w:val="24"/>
          <w:lang w:val="en-US"/>
        </w:rPr>
        <w:t xml:space="preserve"> </w:t>
      </w:r>
      <w:r w:rsidRPr="005E40ED">
        <w:rPr>
          <w:rFonts w:ascii="Times New Roman" w:hAnsi="Times New Roman"/>
          <w:i/>
          <w:sz w:val="24"/>
          <w:szCs w:val="24"/>
          <w:lang w:val="en-US"/>
        </w:rPr>
        <w:t>Kölner Jahrbuch</w:t>
      </w:r>
      <w:r w:rsidRPr="005E40ED">
        <w:rPr>
          <w:rFonts w:ascii="Times New Roman" w:hAnsi="Times New Roman"/>
          <w:sz w:val="24"/>
          <w:szCs w:val="24"/>
          <w:lang w:val="en-US"/>
        </w:rPr>
        <w:t>, 40, 215-322.</w:t>
      </w:r>
    </w:p>
    <w:p w:rsidR="007732D8" w:rsidRPr="0008486F" w:rsidRDefault="007732D8" w:rsidP="00F34854">
      <w:pPr>
        <w:spacing w:after="0" w:line="360" w:lineRule="auto"/>
        <w:ind w:firstLine="709"/>
        <w:jc w:val="both"/>
        <w:rPr>
          <w:rFonts w:ascii="Times New Roman" w:hAnsi="Times New Roman"/>
          <w:sz w:val="24"/>
          <w:szCs w:val="24"/>
        </w:rPr>
      </w:pPr>
      <w:r w:rsidRPr="00C07D47">
        <w:rPr>
          <w:rFonts w:ascii="Times New Roman" w:hAnsi="Times New Roman"/>
          <w:smallCaps/>
          <w:sz w:val="24"/>
          <w:szCs w:val="24"/>
        </w:rPr>
        <w:t>Empereur, J</w:t>
      </w:r>
      <w:r w:rsidR="00C07D47" w:rsidRPr="00C07D47">
        <w:rPr>
          <w:rFonts w:ascii="Times New Roman" w:hAnsi="Times New Roman"/>
          <w:smallCaps/>
          <w:sz w:val="24"/>
          <w:szCs w:val="24"/>
        </w:rPr>
        <w:t>.Y.</w:t>
      </w:r>
      <w:r w:rsidR="00C07D47">
        <w:rPr>
          <w:rFonts w:ascii="Times New Roman" w:hAnsi="Times New Roman"/>
          <w:sz w:val="24"/>
          <w:szCs w:val="24"/>
        </w:rPr>
        <w:t xml:space="preserve"> y</w:t>
      </w:r>
      <w:r w:rsidRPr="0008486F">
        <w:rPr>
          <w:rFonts w:ascii="Times New Roman" w:hAnsi="Times New Roman"/>
          <w:sz w:val="24"/>
          <w:szCs w:val="24"/>
        </w:rPr>
        <w:t xml:space="preserve"> </w:t>
      </w:r>
      <w:r w:rsidRPr="00C07D47">
        <w:rPr>
          <w:rFonts w:ascii="Times New Roman" w:hAnsi="Times New Roman"/>
          <w:smallCaps/>
          <w:sz w:val="24"/>
          <w:szCs w:val="24"/>
        </w:rPr>
        <w:t>Picon, M.</w:t>
      </w:r>
      <w:r w:rsidRPr="0008486F">
        <w:rPr>
          <w:rFonts w:ascii="Times New Roman" w:hAnsi="Times New Roman"/>
          <w:sz w:val="24"/>
          <w:szCs w:val="24"/>
        </w:rPr>
        <w:t xml:space="preserve"> (1989)</w:t>
      </w:r>
      <w:r w:rsidR="00C07D47">
        <w:rPr>
          <w:rFonts w:ascii="Times New Roman" w:hAnsi="Times New Roman"/>
          <w:sz w:val="24"/>
          <w:szCs w:val="24"/>
        </w:rPr>
        <w:t>:</w:t>
      </w:r>
      <w:r w:rsidRPr="0008486F">
        <w:rPr>
          <w:rFonts w:ascii="Times New Roman" w:hAnsi="Times New Roman"/>
          <w:sz w:val="24"/>
          <w:szCs w:val="24"/>
        </w:rPr>
        <w:t xml:space="preserve"> </w:t>
      </w:r>
      <w:r w:rsidR="00C07D47">
        <w:rPr>
          <w:rFonts w:ascii="Times New Roman" w:hAnsi="Times New Roman"/>
          <w:sz w:val="24"/>
          <w:szCs w:val="24"/>
        </w:rPr>
        <w:t>“</w:t>
      </w:r>
      <w:r w:rsidRPr="0008486F">
        <w:rPr>
          <w:rFonts w:ascii="Times New Roman" w:hAnsi="Times New Roman"/>
          <w:sz w:val="24"/>
          <w:szCs w:val="24"/>
        </w:rPr>
        <w:t>Les régions de production d'amphores impériales en Méditerranée orientale</w:t>
      </w:r>
      <w:r w:rsidR="00C07D47">
        <w:rPr>
          <w:rFonts w:ascii="Times New Roman" w:hAnsi="Times New Roman"/>
          <w:sz w:val="24"/>
          <w:szCs w:val="24"/>
        </w:rPr>
        <w:t>”. En</w:t>
      </w:r>
      <w:r w:rsidRPr="0008486F">
        <w:rPr>
          <w:rFonts w:ascii="Times New Roman" w:hAnsi="Times New Roman"/>
          <w:sz w:val="24"/>
          <w:szCs w:val="24"/>
        </w:rPr>
        <w:t xml:space="preserve"> </w:t>
      </w:r>
      <w:r w:rsidRPr="00C07D47">
        <w:rPr>
          <w:rFonts w:ascii="Times New Roman" w:hAnsi="Times New Roman"/>
          <w:i/>
          <w:sz w:val="24"/>
          <w:szCs w:val="24"/>
        </w:rPr>
        <w:t>Amphores romaines et histoire économique. Dix ans de recherche. Actes du colloque de Sienne (22-24 mai 1986)</w:t>
      </w:r>
      <w:r w:rsidR="00C07D47">
        <w:rPr>
          <w:rFonts w:ascii="Times New Roman" w:hAnsi="Times New Roman"/>
          <w:sz w:val="24"/>
          <w:szCs w:val="24"/>
        </w:rPr>
        <w:t>.</w:t>
      </w:r>
      <w:r w:rsidRPr="0008486F">
        <w:rPr>
          <w:rFonts w:ascii="Times New Roman" w:hAnsi="Times New Roman"/>
          <w:sz w:val="24"/>
          <w:szCs w:val="24"/>
        </w:rPr>
        <w:t xml:space="preserve"> Rome: École Française de Rome, </w:t>
      </w:r>
      <w:r w:rsidR="00C07D47">
        <w:rPr>
          <w:rFonts w:ascii="Times New Roman" w:hAnsi="Times New Roman"/>
          <w:sz w:val="24"/>
          <w:szCs w:val="24"/>
        </w:rPr>
        <w:t>pp. 223-248</w:t>
      </w:r>
      <w:r w:rsidRPr="0008486F">
        <w:rPr>
          <w:rFonts w:ascii="Times New Roman" w:hAnsi="Times New Roman"/>
          <w:sz w:val="24"/>
          <w:szCs w:val="24"/>
        </w:rPr>
        <w:t>.</w:t>
      </w:r>
    </w:p>
    <w:p w:rsidR="002870A7" w:rsidRPr="00622476" w:rsidRDefault="00C07D47" w:rsidP="00F34854">
      <w:pPr>
        <w:pStyle w:val="BodyText"/>
        <w:spacing w:after="0" w:line="360" w:lineRule="auto"/>
        <w:ind w:firstLine="709"/>
        <w:jc w:val="both"/>
        <w:rPr>
          <w:szCs w:val="24"/>
          <w:lang w:val="en-US"/>
        </w:rPr>
      </w:pPr>
      <w:r w:rsidRPr="00C07D47">
        <w:rPr>
          <w:smallCaps/>
          <w:szCs w:val="24"/>
        </w:rPr>
        <w:t>Etienne, R.</w:t>
      </w:r>
      <w:r>
        <w:rPr>
          <w:szCs w:val="24"/>
        </w:rPr>
        <w:t xml:space="preserve"> y</w:t>
      </w:r>
      <w:r w:rsidR="002870A7" w:rsidRPr="0008486F">
        <w:rPr>
          <w:szCs w:val="24"/>
        </w:rPr>
        <w:t xml:space="preserve"> </w:t>
      </w:r>
      <w:r w:rsidR="002870A7" w:rsidRPr="00C07D47">
        <w:rPr>
          <w:smallCaps/>
          <w:szCs w:val="24"/>
        </w:rPr>
        <w:t>Mayet, F.</w:t>
      </w:r>
      <w:r w:rsidR="002870A7" w:rsidRPr="0008486F">
        <w:rPr>
          <w:szCs w:val="24"/>
        </w:rPr>
        <w:t xml:space="preserve"> (1991)</w:t>
      </w:r>
      <w:r>
        <w:rPr>
          <w:szCs w:val="24"/>
        </w:rPr>
        <w:t>:</w:t>
      </w:r>
      <w:r w:rsidR="002870A7" w:rsidRPr="0008486F">
        <w:rPr>
          <w:szCs w:val="24"/>
        </w:rPr>
        <w:t xml:space="preserve"> “Le </w:t>
      </w:r>
      <w:r w:rsidR="002870A7" w:rsidRPr="0008486F">
        <w:rPr>
          <w:i/>
          <w:szCs w:val="24"/>
        </w:rPr>
        <w:t>Garum</w:t>
      </w:r>
      <w:r w:rsidR="009A3A42">
        <w:rPr>
          <w:szCs w:val="24"/>
        </w:rPr>
        <w:t xml:space="preserve"> à la mode de Scaurus”. En </w:t>
      </w:r>
      <w:r w:rsidR="009A3A42" w:rsidRPr="009A3A42">
        <w:rPr>
          <w:smallCaps/>
          <w:szCs w:val="24"/>
        </w:rPr>
        <w:t>Blázquez, J.M.</w:t>
      </w:r>
      <w:r w:rsidR="009A3A42">
        <w:rPr>
          <w:szCs w:val="24"/>
        </w:rPr>
        <w:t xml:space="preserve"> y </w:t>
      </w:r>
      <w:r w:rsidR="009A3A42" w:rsidRPr="009A3A42">
        <w:rPr>
          <w:smallCaps/>
          <w:szCs w:val="24"/>
        </w:rPr>
        <w:t>Montero, S.</w:t>
      </w:r>
      <w:r w:rsidR="009A3A42">
        <w:rPr>
          <w:szCs w:val="24"/>
        </w:rPr>
        <w:t xml:space="preserve"> (coords.)</w:t>
      </w:r>
      <w:r w:rsidR="002870A7" w:rsidRPr="0008486F">
        <w:rPr>
          <w:szCs w:val="24"/>
        </w:rPr>
        <w:t xml:space="preserve"> </w:t>
      </w:r>
      <w:r w:rsidR="002870A7" w:rsidRPr="0008486F">
        <w:rPr>
          <w:i/>
          <w:szCs w:val="24"/>
        </w:rPr>
        <w:t xml:space="preserve">Alimenta. Estudios en homenaje a Dr. Michel </w:t>
      </w:r>
      <w:r w:rsidR="002870A7" w:rsidRPr="009A3A42">
        <w:rPr>
          <w:i/>
          <w:szCs w:val="24"/>
        </w:rPr>
        <w:t>Ponsich</w:t>
      </w:r>
      <w:r w:rsidR="009A3A42">
        <w:rPr>
          <w:szCs w:val="24"/>
        </w:rPr>
        <w:t xml:space="preserve">. </w:t>
      </w:r>
      <w:r w:rsidR="009A3A42" w:rsidRPr="00622476">
        <w:rPr>
          <w:szCs w:val="24"/>
          <w:lang w:val="en-US"/>
        </w:rPr>
        <w:t>Madrid: Editorial Complutense,</w:t>
      </w:r>
      <w:r w:rsidR="009A3A42" w:rsidRPr="00622476">
        <w:rPr>
          <w:i/>
          <w:szCs w:val="24"/>
          <w:lang w:val="en-US"/>
        </w:rPr>
        <w:t xml:space="preserve"> </w:t>
      </w:r>
      <w:r w:rsidR="002870A7" w:rsidRPr="00622476">
        <w:rPr>
          <w:szCs w:val="24"/>
          <w:lang w:val="en-US"/>
        </w:rPr>
        <w:t>pp. 187-194.</w:t>
      </w:r>
    </w:p>
    <w:p w:rsidR="00F37D3C" w:rsidRPr="00116A56" w:rsidRDefault="009A3A42" w:rsidP="00F34854">
      <w:pPr>
        <w:pStyle w:val="BodyText"/>
        <w:spacing w:after="0" w:line="360" w:lineRule="auto"/>
        <w:ind w:firstLine="709"/>
        <w:jc w:val="both"/>
        <w:rPr>
          <w:szCs w:val="24"/>
          <w:lang w:val="en-US"/>
        </w:rPr>
      </w:pPr>
      <w:r w:rsidRPr="009A3A42">
        <w:rPr>
          <w:smallCaps/>
          <w:szCs w:val="24"/>
          <w:lang w:val="en-US"/>
        </w:rPr>
        <w:t>Franklin, J.</w:t>
      </w:r>
      <w:r w:rsidR="00F37D3C" w:rsidRPr="009A3A42">
        <w:rPr>
          <w:smallCaps/>
          <w:szCs w:val="24"/>
          <w:lang w:val="en-US"/>
        </w:rPr>
        <w:t>L.</w:t>
      </w:r>
      <w:r>
        <w:rPr>
          <w:szCs w:val="24"/>
          <w:lang w:val="en-US"/>
        </w:rPr>
        <w:t xml:space="preserve"> (2001):</w:t>
      </w:r>
      <w:r w:rsidR="00F37D3C" w:rsidRPr="009A3A42">
        <w:rPr>
          <w:szCs w:val="24"/>
          <w:lang w:val="en-US"/>
        </w:rPr>
        <w:t xml:space="preserve"> </w:t>
      </w:r>
      <w:r w:rsidR="00F37D3C" w:rsidRPr="009A3A42">
        <w:rPr>
          <w:i/>
          <w:szCs w:val="24"/>
          <w:lang w:val="en-US"/>
        </w:rPr>
        <w:t xml:space="preserve">Pompeis Difficile Est. </w:t>
      </w:r>
      <w:r w:rsidR="00F37D3C" w:rsidRPr="00622476">
        <w:rPr>
          <w:i/>
          <w:szCs w:val="24"/>
          <w:lang w:val="en-US"/>
        </w:rPr>
        <w:t>Studies in the Political Life of Imperial Pompeii</w:t>
      </w:r>
      <w:r w:rsidR="00F37D3C" w:rsidRPr="00622476">
        <w:rPr>
          <w:szCs w:val="24"/>
          <w:lang w:val="en-US"/>
        </w:rPr>
        <w:t xml:space="preserve">. </w:t>
      </w:r>
      <w:r w:rsidR="00F37D3C" w:rsidRPr="00116A56">
        <w:rPr>
          <w:szCs w:val="24"/>
          <w:lang w:val="en-US"/>
        </w:rPr>
        <w:t>Ann Arbor</w:t>
      </w:r>
      <w:r w:rsidRPr="00116A56">
        <w:rPr>
          <w:szCs w:val="24"/>
          <w:lang w:val="en-US"/>
        </w:rPr>
        <w:t>: The University of Michigan Press</w:t>
      </w:r>
      <w:r w:rsidR="00F37D3C" w:rsidRPr="00116A56">
        <w:rPr>
          <w:szCs w:val="24"/>
          <w:lang w:val="en-US"/>
        </w:rPr>
        <w:t>.</w:t>
      </w:r>
    </w:p>
    <w:p w:rsidR="00933E7A" w:rsidRPr="005E40ED" w:rsidRDefault="00933E7A" w:rsidP="00F34854">
      <w:pPr>
        <w:pStyle w:val="BodyText"/>
        <w:spacing w:after="0" w:line="360" w:lineRule="auto"/>
        <w:ind w:firstLine="709"/>
        <w:jc w:val="both"/>
        <w:rPr>
          <w:szCs w:val="24"/>
          <w:lang w:val="en-US"/>
        </w:rPr>
      </w:pPr>
      <w:r w:rsidRPr="005E40ED">
        <w:rPr>
          <w:smallCaps/>
          <w:szCs w:val="24"/>
          <w:lang w:val="en-US"/>
        </w:rPr>
        <w:t>Giordano, C.</w:t>
      </w:r>
      <w:r w:rsidR="009A3A42" w:rsidRPr="005E40ED">
        <w:rPr>
          <w:smallCaps/>
          <w:szCs w:val="24"/>
          <w:lang w:val="en-US"/>
        </w:rPr>
        <w:t xml:space="preserve"> </w:t>
      </w:r>
      <w:r w:rsidR="009A3A42" w:rsidRPr="005E40ED">
        <w:rPr>
          <w:szCs w:val="24"/>
          <w:lang w:val="en-US"/>
        </w:rPr>
        <w:t>y</w:t>
      </w:r>
      <w:r w:rsidR="009A3A42" w:rsidRPr="005E40ED">
        <w:rPr>
          <w:smallCaps/>
          <w:szCs w:val="24"/>
          <w:lang w:val="en-US"/>
        </w:rPr>
        <w:t xml:space="preserve"> Casale, A. (1991):</w:t>
      </w:r>
      <w:r w:rsidRPr="005E40ED">
        <w:rPr>
          <w:smallCaps/>
          <w:szCs w:val="24"/>
          <w:lang w:val="en-US"/>
        </w:rPr>
        <w:t xml:space="preserve"> </w:t>
      </w:r>
      <w:r w:rsidR="009A3A42" w:rsidRPr="005E40ED">
        <w:rPr>
          <w:smallCaps/>
          <w:szCs w:val="24"/>
          <w:lang w:val="en-US"/>
        </w:rPr>
        <w:t>“</w:t>
      </w:r>
      <w:r w:rsidRPr="005E40ED">
        <w:rPr>
          <w:szCs w:val="24"/>
          <w:lang w:val="en-US"/>
        </w:rPr>
        <w:t>Iscrizioni pompeiane inedite scoperte tra gli anni 1954-1978</w:t>
      </w:r>
      <w:r w:rsidR="009A3A42" w:rsidRPr="005E40ED">
        <w:rPr>
          <w:szCs w:val="24"/>
          <w:lang w:val="en-US"/>
        </w:rPr>
        <w:t xml:space="preserve">”, </w:t>
      </w:r>
      <w:r w:rsidRPr="005E40ED">
        <w:rPr>
          <w:i/>
          <w:szCs w:val="24"/>
          <w:lang w:val="en-US"/>
        </w:rPr>
        <w:t>Atti della Accademia pontiniana</w:t>
      </w:r>
      <w:r w:rsidRPr="005E40ED">
        <w:rPr>
          <w:szCs w:val="24"/>
          <w:lang w:val="en-US"/>
        </w:rPr>
        <w:t xml:space="preserve">, Nouva serie-volume XXXIX, </w:t>
      </w:r>
      <w:r w:rsidR="009A3A42" w:rsidRPr="005E40ED">
        <w:rPr>
          <w:szCs w:val="24"/>
          <w:lang w:val="en-US"/>
        </w:rPr>
        <w:t>pp.</w:t>
      </w:r>
      <w:r w:rsidR="00300C34" w:rsidRPr="005E40ED">
        <w:rPr>
          <w:szCs w:val="24"/>
          <w:lang w:val="en-US"/>
        </w:rPr>
        <w:t xml:space="preserve"> </w:t>
      </w:r>
      <w:r w:rsidRPr="005E40ED">
        <w:rPr>
          <w:szCs w:val="24"/>
          <w:lang w:val="en-US"/>
        </w:rPr>
        <w:t>273-378.</w:t>
      </w:r>
    </w:p>
    <w:p w:rsidR="00743C4B" w:rsidRPr="00CE6195" w:rsidRDefault="00743C4B" w:rsidP="00F34854">
      <w:pPr>
        <w:pStyle w:val="BodyText"/>
        <w:spacing w:after="0" w:line="360" w:lineRule="auto"/>
        <w:ind w:firstLine="709"/>
        <w:jc w:val="both"/>
        <w:rPr>
          <w:szCs w:val="24"/>
        </w:rPr>
      </w:pPr>
      <w:r w:rsidRPr="00743C4B">
        <w:rPr>
          <w:smallCaps/>
          <w:szCs w:val="24"/>
          <w:lang w:val="en-US"/>
        </w:rPr>
        <w:t>Komar, P.</w:t>
      </w:r>
      <w:r>
        <w:rPr>
          <w:szCs w:val="24"/>
          <w:lang w:val="en-US"/>
        </w:rPr>
        <w:t xml:space="preserve"> (2016): “Wines from Cyprus and Cilicia in Antiquity: taste and trade”, </w:t>
      </w:r>
      <w:r w:rsidRPr="00743C4B">
        <w:rPr>
          <w:i/>
          <w:szCs w:val="24"/>
          <w:lang w:val="en-US"/>
        </w:rPr>
        <w:t>Electrum</w:t>
      </w:r>
      <w:r>
        <w:rPr>
          <w:szCs w:val="24"/>
          <w:lang w:val="en-US"/>
        </w:rPr>
        <w:t xml:space="preserve">, 23, pp. 155-185. </w:t>
      </w:r>
      <w:r w:rsidRPr="00CE6195">
        <w:rPr>
          <w:szCs w:val="24"/>
        </w:rPr>
        <w:t>(doi:10.4467/20800909EL.16.008.5827) (</w:t>
      </w:r>
      <w:hyperlink r:id="rId14" w:history="1">
        <w:r w:rsidRPr="00CE6195">
          <w:rPr>
            <w:rStyle w:val="Hyperlink"/>
            <w:color w:val="auto"/>
            <w:szCs w:val="24"/>
          </w:rPr>
          <w:t>http://www.ejournals.eu/electrum/2016/Volume-23/art/8005/</w:t>
        </w:r>
      </w:hyperlink>
      <w:r w:rsidRPr="00CE6195">
        <w:rPr>
          <w:szCs w:val="24"/>
        </w:rPr>
        <w:t>) (30-05-2017)</w:t>
      </w:r>
    </w:p>
    <w:p w:rsidR="00851433" w:rsidRDefault="00851433" w:rsidP="00F34854">
      <w:pPr>
        <w:spacing w:after="0" w:line="360" w:lineRule="auto"/>
        <w:ind w:firstLine="709"/>
        <w:jc w:val="both"/>
        <w:rPr>
          <w:rFonts w:ascii="Times New Roman" w:hAnsi="Times New Roman"/>
          <w:sz w:val="24"/>
          <w:szCs w:val="24"/>
        </w:rPr>
      </w:pPr>
      <w:r w:rsidRPr="009A3A42">
        <w:rPr>
          <w:rFonts w:ascii="Times New Roman" w:hAnsi="Times New Roman"/>
          <w:smallCaps/>
          <w:sz w:val="24"/>
          <w:szCs w:val="24"/>
          <w:lang w:val="fr-FR"/>
        </w:rPr>
        <w:t>Ƚos, A.</w:t>
      </w:r>
      <w:r w:rsidRPr="0008486F">
        <w:rPr>
          <w:rFonts w:ascii="Times New Roman" w:hAnsi="Times New Roman"/>
          <w:sz w:val="24"/>
          <w:szCs w:val="24"/>
          <w:lang w:val="fr-FR"/>
        </w:rPr>
        <w:t xml:space="preserve"> (1997)</w:t>
      </w:r>
      <w:r w:rsidR="009A3A42">
        <w:rPr>
          <w:rFonts w:ascii="Times New Roman" w:hAnsi="Times New Roman"/>
          <w:sz w:val="24"/>
          <w:szCs w:val="24"/>
          <w:lang w:val="fr-FR"/>
        </w:rPr>
        <w:t>:</w:t>
      </w:r>
      <w:r w:rsidRPr="0008486F">
        <w:rPr>
          <w:rFonts w:ascii="Times New Roman" w:hAnsi="Times New Roman"/>
          <w:sz w:val="24"/>
          <w:szCs w:val="24"/>
          <w:lang w:val="fr-FR"/>
        </w:rPr>
        <w:t xml:space="preserve"> “Qui exportait le vin crétois en Campanie à l’ép</w:t>
      </w:r>
      <w:r w:rsidR="00300C34">
        <w:rPr>
          <w:rFonts w:ascii="Times New Roman" w:hAnsi="Times New Roman"/>
          <w:sz w:val="24"/>
          <w:szCs w:val="24"/>
          <w:lang w:val="fr-FR"/>
        </w:rPr>
        <w:t>oque julio-claudienne?”</w:t>
      </w:r>
      <w:r w:rsidR="00300C34" w:rsidRPr="00300C34">
        <w:rPr>
          <w:rFonts w:ascii="Times New Roman" w:hAnsi="Times New Roman"/>
          <w:sz w:val="24"/>
          <w:szCs w:val="24"/>
          <w:lang w:val="fr-FR"/>
        </w:rPr>
        <w:t>,</w:t>
      </w:r>
      <w:r w:rsidR="00300C34">
        <w:rPr>
          <w:rFonts w:ascii="Times New Roman" w:hAnsi="Times New Roman"/>
          <w:sz w:val="24"/>
          <w:szCs w:val="24"/>
          <w:lang w:val="fr-FR"/>
        </w:rPr>
        <w:t xml:space="preserve"> </w:t>
      </w:r>
      <w:r w:rsidRPr="0008486F">
        <w:rPr>
          <w:rFonts w:ascii="Times New Roman" w:hAnsi="Times New Roman"/>
          <w:i/>
          <w:sz w:val="24"/>
          <w:szCs w:val="24"/>
        </w:rPr>
        <w:t>Antiquitas</w:t>
      </w:r>
      <w:r w:rsidRPr="0008486F">
        <w:rPr>
          <w:rFonts w:ascii="Times New Roman" w:hAnsi="Times New Roman"/>
          <w:sz w:val="24"/>
          <w:szCs w:val="24"/>
        </w:rPr>
        <w:t xml:space="preserve">, XXII, </w:t>
      </w:r>
      <w:r w:rsidR="00300C34">
        <w:rPr>
          <w:rFonts w:ascii="Times New Roman" w:hAnsi="Times New Roman"/>
          <w:sz w:val="24"/>
          <w:szCs w:val="24"/>
        </w:rPr>
        <w:t xml:space="preserve">pp. </w:t>
      </w:r>
      <w:r w:rsidRPr="0008486F">
        <w:rPr>
          <w:rFonts w:ascii="Times New Roman" w:hAnsi="Times New Roman"/>
          <w:sz w:val="24"/>
          <w:szCs w:val="24"/>
        </w:rPr>
        <w:t>63-76.</w:t>
      </w:r>
    </w:p>
    <w:p w:rsidR="00FF2ABB" w:rsidRPr="00ED6806" w:rsidRDefault="00300C34" w:rsidP="001A48D4">
      <w:pPr>
        <w:spacing w:after="0" w:line="240" w:lineRule="auto"/>
        <w:jc w:val="both"/>
        <w:rPr>
          <w:rFonts w:ascii="Verdana" w:hAnsi="Verdana"/>
          <w:color w:val="266BAE"/>
          <w:sz w:val="17"/>
          <w:szCs w:val="17"/>
        </w:rPr>
      </w:pPr>
      <w:r w:rsidRPr="00300C34">
        <w:rPr>
          <w:rFonts w:ascii="Times New Roman" w:hAnsi="Times New Roman"/>
          <w:smallCaps/>
          <w:sz w:val="24"/>
          <w:szCs w:val="24"/>
        </w:rPr>
        <w:t>Liou, B.</w:t>
      </w:r>
      <w:r>
        <w:rPr>
          <w:rFonts w:ascii="Times New Roman" w:hAnsi="Times New Roman"/>
          <w:sz w:val="24"/>
          <w:szCs w:val="24"/>
        </w:rPr>
        <w:t xml:space="preserve"> y</w:t>
      </w:r>
      <w:r w:rsidR="00FF2ABB" w:rsidRPr="00300C34">
        <w:rPr>
          <w:rFonts w:ascii="Times New Roman" w:hAnsi="Times New Roman"/>
          <w:sz w:val="24"/>
          <w:szCs w:val="24"/>
        </w:rPr>
        <w:t xml:space="preserve"> </w:t>
      </w:r>
      <w:r w:rsidR="00FF2ABB" w:rsidRPr="00300C34">
        <w:rPr>
          <w:rFonts w:ascii="Times New Roman" w:hAnsi="Times New Roman"/>
          <w:smallCaps/>
          <w:sz w:val="24"/>
          <w:szCs w:val="24"/>
        </w:rPr>
        <w:t xml:space="preserve">Morel, M. </w:t>
      </w:r>
      <w:r w:rsidR="00FF2ABB" w:rsidRPr="00300C34">
        <w:rPr>
          <w:rFonts w:ascii="Times New Roman" w:hAnsi="Times New Roman"/>
          <w:sz w:val="24"/>
          <w:szCs w:val="24"/>
        </w:rPr>
        <w:t>(1977)</w:t>
      </w:r>
      <w:r>
        <w:rPr>
          <w:rFonts w:ascii="Times New Roman" w:hAnsi="Times New Roman"/>
          <w:sz w:val="24"/>
          <w:szCs w:val="24"/>
        </w:rPr>
        <w:t>:</w:t>
      </w:r>
      <w:r w:rsidR="00FF2ABB" w:rsidRPr="00300C34">
        <w:rPr>
          <w:rFonts w:ascii="Times New Roman" w:hAnsi="Times New Roman"/>
          <w:sz w:val="24"/>
          <w:szCs w:val="24"/>
        </w:rPr>
        <w:t xml:space="preserve"> “L’orge des Cavares: une amphorette à inscription peinte trouvée dans le port Antique de Marseille”, </w:t>
      </w:r>
      <w:r w:rsidR="00FF2ABB" w:rsidRPr="00300C34">
        <w:rPr>
          <w:rFonts w:ascii="Times New Roman" w:hAnsi="Times New Roman"/>
          <w:i/>
          <w:sz w:val="24"/>
          <w:szCs w:val="24"/>
        </w:rPr>
        <w:t>Revue archéologique de Narbonnaise</w:t>
      </w:r>
      <w:r w:rsidR="00FF2ABB" w:rsidRPr="00300C34">
        <w:rPr>
          <w:rFonts w:ascii="Times New Roman" w:hAnsi="Times New Roman"/>
          <w:sz w:val="24"/>
          <w:szCs w:val="24"/>
        </w:rPr>
        <w:t>, 10, pp. 189-197</w:t>
      </w:r>
      <w:r>
        <w:rPr>
          <w:rFonts w:ascii="Times New Roman" w:hAnsi="Times New Roman"/>
          <w:sz w:val="24"/>
          <w:szCs w:val="24"/>
        </w:rPr>
        <w:t>.</w:t>
      </w:r>
      <w:r w:rsidR="001A48D4">
        <w:rPr>
          <w:rFonts w:ascii="Times New Roman" w:hAnsi="Times New Roman"/>
          <w:sz w:val="24"/>
          <w:szCs w:val="24"/>
        </w:rPr>
        <w:t xml:space="preserve"> </w:t>
      </w:r>
      <w:r w:rsidR="001A48D4" w:rsidRPr="001A48D4">
        <w:rPr>
          <w:rFonts w:ascii="Times New Roman" w:hAnsi="Times New Roman"/>
          <w:sz w:val="24"/>
          <w:szCs w:val="24"/>
        </w:rPr>
        <w:t>(</w:t>
      </w:r>
      <w:hyperlink r:id="rId15" w:tgtFrame="_blank" w:history="1">
        <w:r w:rsidR="001A48D4" w:rsidRPr="001A48D4">
          <w:rPr>
            <w:rStyle w:val="Hyperlink"/>
            <w:rFonts w:ascii="Times New Roman" w:hAnsi="Times New Roman"/>
            <w:color w:val="auto"/>
            <w:sz w:val="24"/>
            <w:szCs w:val="24"/>
          </w:rPr>
          <w:t>doi:10.3406/ran.1977.1012</w:t>
        </w:r>
      </w:hyperlink>
      <w:r w:rsidR="001A48D4" w:rsidRPr="001A48D4">
        <w:rPr>
          <w:rFonts w:ascii="Times New Roman" w:hAnsi="Times New Roman"/>
          <w:sz w:val="24"/>
          <w:szCs w:val="24"/>
        </w:rPr>
        <w:t>) (</w:t>
      </w:r>
      <w:hyperlink r:id="rId16" w:history="1">
        <w:r w:rsidR="001A48D4" w:rsidRPr="001A48D4">
          <w:rPr>
            <w:rStyle w:val="Hyperlink"/>
            <w:rFonts w:ascii="Times New Roman" w:hAnsi="Times New Roman"/>
            <w:color w:val="auto"/>
            <w:sz w:val="24"/>
            <w:szCs w:val="24"/>
          </w:rPr>
          <w:t>http://www.persee.fr/doc/ran_0557-7705_1977_num_10_1_1012</w:t>
        </w:r>
      </w:hyperlink>
      <w:r w:rsidR="001A48D4" w:rsidRPr="001A48D4">
        <w:rPr>
          <w:rFonts w:ascii="Times New Roman" w:hAnsi="Times New Roman"/>
          <w:sz w:val="24"/>
          <w:szCs w:val="24"/>
        </w:rPr>
        <w:t>) (26-05-2017)</w:t>
      </w:r>
    </w:p>
    <w:p w:rsidR="00933E7A" w:rsidRPr="0008486F" w:rsidRDefault="00933E7A" w:rsidP="00F34854">
      <w:pPr>
        <w:pStyle w:val="BodyText"/>
        <w:spacing w:after="0" w:line="360" w:lineRule="auto"/>
        <w:ind w:firstLine="709"/>
        <w:jc w:val="both"/>
        <w:rPr>
          <w:szCs w:val="24"/>
          <w:lang w:val="fr-FR"/>
        </w:rPr>
      </w:pPr>
      <w:r w:rsidRPr="0008486F">
        <w:rPr>
          <w:smallCaps/>
          <w:szCs w:val="24"/>
          <w:lang w:val="fr-FR"/>
        </w:rPr>
        <w:t xml:space="preserve">Marangou-Lerat, A. </w:t>
      </w:r>
      <w:r w:rsidRPr="0008486F">
        <w:rPr>
          <w:szCs w:val="24"/>
          <w:lang w:val="fr-FR"/>
        </w:rPr>
        <w:t xml:space="preserve">(1995): </w:t>
      </w:r>
      <w:r w:rsidRPr="0008486F">
        <w:rPr>
          <w:i/>
          <w:szCs w:val="24"/>
          <w:lang w:val="fr-FR"/>
        </w:rPr>
        <w:t>Le vin et les amphores de Crète. De l’époque classique à l’époque impériale</w:t>
      </w:r>
      <w:r w:rsidRPr="0008486F">
        <w:rPr>
          <w:szCs w:val="24"/>
          <w:lang w:val="fr-FR"/>
        </w:rPr>
        <w:t xml:space="preserve">, </w:t>
      </w:r>
      <w:r w:rsidR="00300C34">
        <w:rPr>
          <w:szCs w:val="24"/>
          <w:lang w:val="fr-FR"/>
        </w:rPr>
        <w:t>Pari</w:t>
      </w:r>
      <w:r w:rsidRPr="0008486F">
        <w:rPr>
          <w:szCs w:val="24"/>
          <w:lang w:val="fr-FR"/>
        </w:rPr>
        <w:t>s</w:t>
      </w:r>
      <w:r w:rsidR="00300C34">
        <w:rPr>
          <w:szCs w:val="24"/>
          <w:lang w:val="fr-FR"/>
        </w:rPr>
        <w:t>: De Boccard Édition-Diffusion</w:t>
      </w:r>
      <w:r w:rsidRPr="0008486F">
        <w:rPr>
          <w:szCs w:val="24"/>
          <w:lang w:val="fr-FR"/>
        </w:rPr>
        <w:t>.</w:t>
      </w:r>
    </w:p>
    <w:p w:rsidR="00B335F9" w:rsidRPr="0008486F" w:rsidRDefault="00B335F9" w:rsidP="00F34854">
      <w:pPr>
        <w:pStyle w:val="BodyText"/>
        <w:spacing w:after="0" w:line="360" w:lineRule="auto"/>
        <w:ind w:firstLine="709"/>
        <w:jc w:val="both"/>
        <w:rPr>
          <w:szCs w:val="24"/>
          <w:lang w:val="fr-FR"/>
        </w:rPr>
      </w:pPr>
      <w:r w:rsidRPr="00300C34">
        <w:rPr>
          <w:smallCaps/>
          <w:szCs w:val="24"/>
          <w:lang w:val="en-US"/>
        </w:rPr>
        <w:t>Marichal, R.</w:t>
      </w:r>
      <w:r w:rsidRPr="006E2C13">
        <w:rPr>
          <w:szCs w:val="24"/>
          <w:lang w:val="en-US"/>
        </w:rPr>
        <w:t xml:space="preserve"> (1975)</w:t>
      </w:r>
      <w:r w:rsidR="00300C34">
        <w:rPr>
          <w:szCs w:val="24"/>
          <w:lang w:val="en-US"/>
        </w:rPr>
        <w:t>:</w:t>
      </w:r>
      <w:r w:rsidRPr="006E2C13">
        <w:rPr>
          <w:szCs w:val="24"/>
          <w:lang w:val="en-US"/>
        </w:rPr>
        <w:t xml:space="preserve"> “Pa</w:t>
      </w:r>
      <w:r w:rsidR="00300C34">
        <w:rPr>
          <w:szCs w:val="24"/>
          <w:lang w:val="en-US"/>
        </w:rPr>
        <w:t>léographie latine et française”,</w:t>
      </w:r>
      <w:r w:rsidR="00300C34" w:rsidRPr="00300C34">
        <w:rPr>
          <w:szCs w:val="24"/>
          <w:lang w:val="en-US"/>
        </w:rPr>
        <w:t xml:space="preserve"> </w:t>
      </w:r>
      <w:r w:rsidR="00300C34" w:rsidRPr="00300C34">
        <w:rPr>
          <w:i/>
          <w:szCs w:val="24"/>
          <w:lang w:val="en-US"/>
        </w:rPr>
        <w:t>Annuaire 1974-1975.</w:t>
      </w:r>
      <w:r w:rsidRPr="00300C34">
        <w:rPr>
          <w:i/>
          <w:szCs w:val="24"/>
          <w:lang w:val="en-US"/>
        </w:rPr>
        <w:t xml:space="preserve"> </w:t>
      </w:r>
      <w:r w:rsidRPr="00622476">
        <w:rPr>
          <w:i/>
          <w:szCs w:val="24"/>
        </w:rPr>
        <w:t>École pratique des hautes études, 4e sectio, Sciences historiques et philologiques</w:t>
      </w:r>
      <w:r w:rsidRPr="00622476">
        <w:rPr>
          <w:szCs w:val="24"/>
        </w:rPr>
        <w:t>, pp. 521-544</w:t>
      </w:r>
      <w:r w:rsidR="00A84C0B">
        <w:rPr>
          <w:szCs w:val="24"/>
        </w:rPr>
        <w:t>.</w:t>
      </w:r>
      <w:r w:rsidR="007A61B9">
        <w:rPr>
          <w:szCs w:val="24"/>
        </w:rPr>
        <w:t xml:space="preserve"> </w:t>
      </w:r>
      <w:r w:rsidR="007A61B9" w:rsidRPr="00ED6806">
        <w:rPr>
          <w:szCs w:val="24"/>
          <w:lang w:val="en-US"/>
        </w:rPr>
        <w:t>(</w:t>
      </w:r>
      <w:hyperlink r:id="rId17" w:history="1">
        <w:r w:rsidR="007A61B9" w:rsidRPr="00ED6806">
          <w:rPr>
            <w:rStyle w:val="Hyperlink"/>
            <w:color w:val="auto"/>
            <w:szCs w:val="24"/>
            <w:lang w:val="en-US"/>
          </w:rPr>
          <w:t>http://www.persee.fr/doc/ephe_0000-0001_1974_num_1_1_6019</w:t>
        </w:r>
      </w:hyperlink>
      <w:r w:rsidR="007A61B9" w:rsidRPr="00ED6806">
        <w:rPr>
          <w:szCs w:val="24"/>
          <w:lang w:val="en-US"/>
        </w:rPr>
        <w:t>) (26-05-2017)</w:t>
      </w:r>
    </w:p>
    <w:p w:rsidR="004441FF" w:rsidRPr="003E6BDE" w:rsidRDefault="004441FF" w:rsidP="00F34854">
      <w:pPr>
        <w:pStyle w:val="BodyText"/>
        <w:spacing w:after="0" w:line="360" w:lineRule="auto"/>
        <w:ind w:firstLine="709"/>
        <w:jc w:val="both"/>
        <w:rPr>
          <w:szCs w:val="24"/>
          <w:lang w:val="en-US"/>
        </w:rPr>
      </w:pPr>
      <w:r w:rsidRPr="006E2C13">
        <w:rPr>
          <w:smallCaps/>
          <w:szCs w:val="24"/>
          <w:lang w:val="en-US"/>
        </w:rPr>
        <w:t>Martín-Arroyo, D.; Prignano, L.; Morer</w:t>
      </w:r>
      <w:bookmarkStart w:id="2" w:name="docs-internal-guid-7719db1a-1810-ec8b-e0"/>
      <w:bookmarkEnd w:id="2"/>
      <w:r w:rsidRPr="006E2C13">
        <w:rPr>
          <w:smallCaps/>
          <w:szCs w:val="24"/>
          <w:lang w:val="en-US"/>
        </w:rPr>
        <w:t>, I.; Rull, G.; Garcí</w:t>
      </w:r>
      <w:r w:rsidR="00300C34">
        <w:rPr>
          <w:smallCaps/>
          <w:szCs w:val="24"/>
          <w:lang w:val="en-US"/>
        </w:rPr>
        <w:t xml:space="preserve">a-Sánchez, M.; Díaz-Guilera, A. </w:t>
      </w:r>
      <w:r w:rsidR="00300C34" w:rsidRPr="00300C34">
        <w:rPr>
          <w:szCs w:val="24"/>
          <w:lang w:val="en-US"/>
        </w:rPr>
        <w:t>y</w:t>
      </w:r>
      <w:r w:rsidRPr="006E2C13">
        <w:rPr>
          <w:smallCaps/>
          <w:szCs w:val="24"/>
          <w:lang w:val="en-US"/>
        </w:rPr>
        <w:t xml:space="preserve"> Remesal, J.</w:t>
      </w:r>
      <w:r w:rsidR="00300C34">
        <w:rPr>
          <w:szCs w:val="24"/>
          <w:lang w:val="en-US"/>
        </w:rPr>
        <w:t xml:space="preserve"> (2017):</w:t>
      </w:r>
      <w:r w:rsidRPr="006E2C13">
        <w:rPr>
          <w:szCs w:val="24"/>
          <w:lang w:val="en-US"/>
        </w:rPr>
        <w:t xml:space="preserve"> </w:t>
      </w:r>
      <w:r w:rsidR="00300C34">
        <w:rPr>
          <w:szCs w:val="24"/>
          <w:lang w:val="en-US"/>
        </w:rPr>
        <w:t>“</w:t>
      </w:r>
      <w:r w:rsidRPr="006E2C13">
        <w:rPr>
          <w:szCs w:val="24"/>
          <w:lang w:val="en-US"/>
        </w:rPr>
        <w:t>The Wine Trade of Roman Crete: Construction of Onomastic and Geographical Networks</w:t>
      </w:r>
      <w:r w:rsidR="00300C34">
        <w:rPr>
          <w:szCs w:val="24"/>
          <w:lang w:val="en-US"/>
        </w:rPr>
        <w:t>”</w:t>
      </w:r>
      <w:r w:rsidRPr="006E2C13">
        <w:rPr>
          <w:szCs w:val="24"/>
          <w:lang w:val="en-US"/>
        </w:rPr>
        <w:t xml:space="preserve">. </w:t>
      </w:r>
      <w:r w:rsidR="00300C34">
        <w:rPr>
          <w:szCs w:val="24"/>
          <w:lang w:val="en-US"/>
        </w:rPr>
        <w:t>En</w:t>
      </w:r>
      <w:r w:rsidRPr="0008486F">
        <w:rPr>
          <w:szCs w:val="24"/>
          <w:lang w:val="en-US"/>
        </w:rPr>
        <w:t xml:space="preserve"> </w:t>
      </w:r>
      <w:r w:rsidRPr="0008486F">
        <w:rPr>
          <w:smallCaps/>
          <w:szCs w:val="24"/>
          <w:lang w:val="en-US"/>
        </w:rPr>
        <w:t>Velaza, J.</w:t>
      </w:r>
      <w:r w:rsidR="00300C34">
        <w:rPr>
          <w:szCs w:val="24"/>
          <w:lang w:val="en-US"/>
        </w:rPr>
        <w:t xml:space="preserve"> (e</w:t>
      </w:r>
      <w:r w:rsidR="003E6BDE">
        <w:rPr>
          <w:szCs w:val="24"/>
          <w:lang w:val="en-US"/>
        </w:rPr>
        <w:t>d.):</w:t>
      </w:r>
      <w:r w:rsidRPr="0008486F">
        <w:rPr>
          <w:szCs w:val="24"/>
          <w:lang w:val="en-US"/>
        </w:rPr>
        <w:t xml:space="preserve"> </w:t>
      </w:r>
      <w:r w:rsidRPr="0008486F">
        <w:rPr>
          <w:i/>
          <w:szCs w:val="24"/>
          <w:lang w:val="en-US"/>
        </w:rPr>
        <w:t>Insularity, Identity and Epigraphy in the Roman World</w:t>
      </w:r>
      <w:r w:rsidRPr="0008486F">
        <w:rPr>
          <w:szCs w:val="24"/>
          <w:lang w:val="en-US"/>
        </w:rPr>
        <w:t xml:space="preserve">. </w:t>
      </w:r>
      <w:r w:rsidRPr="003E6BDE">
        <w:rPr>
          <w:szCs w:val="24"/>
          <w:lang w:val="en-US"/>
        </w:rPr>
        <w:t>Cambridge</w:t>
      </w:r>
      <w:r w:rsidR="003E6BDE">
        <w:rPr>
          <w:szCs w:val="24"/>
          <w:lang w:val="en-US"/>
        </w:rPr>
        <w:t>: Cambridge Scholars Publishing</w:t>
      </w:r>
      <w:r w:rsidRPr="003E6BDE">
        <w:rPr>
          <w:szCs w:val="24"/>
          <w:lang w:val="en-US"/>
        </w:rPr>
        <w:t>,</w:t>
      </w:r>
      <w:r w:rsidR="003E6BDE">
        <w:rPr>
          <w:szCs w:val="24"/>
          <w:lang w:val="en-US"/>
        </w:rPr>
        <w:t xml:space="preserve"> pp.</w:t>
      </w:r>
      <w:r w:rsidRPr="003E6BDE">
        <w:rPr>
          <w:szCs w:val="24"/>
          <w:lang w:val="en-US"/>
        </w:rPr>
        <w:t xml:space="preserve"> 177-196.</w:t>
      </w:r>
    </w:p>
    <w:p w:rsidR="00FF2ABB" w:rsidRPr="0008486F" w:rsidRDefault="00FF2ABB" w:rsidP="00F34854">
      <w:pPr>
        <w:spacing w:after="0" w:line="360" w:lineRule="auto"/>
        <w:ind w:firstLine="709"/>
        <w:jc w:val="both"/>
        <w:rPr>
          <w:rFonts w:ascii="Times New Roman" w:hAnsi="Times New Roman"/>
          <w:sz w:val="24"/>
          <w:szCs w:val="24"/>
          <w:lang w:val="it-IT"/>
        </w:rPr>
      </w:pPr>
      <w:r w:rsidRPr="003E6BDE">
        <w:rPr>
          <w:rFonts w:ascii="Times New Roman" w:hAnsi="Times New Roman"/>
          <w:smallCaps/>
          <w:sz w:val="24"/>
          <w:szCs w:val="24"/>
          <w:lang w:val="it-IT"/>
        </w:rPr>
        <w:t xml:space="preserve">Panella, C. </w:t>
      </w:r>
      <w:r w:rsidRPr="0008486F">
        <w:rPr>
          <w:rFonts w:ascii="Times New Roman" w:hAnsi="Times New Roman"/>
          <w:sz w:val="24"/>
          <w:szCs w:val="24"/>
          <w:lang w:val="it-IT"/>
        </w:rPr>
        <w:t>(1976)</w:t>
      </w:r>
      <w:r w:rsidR="003E6BDE">
        <w:rPr>
          <w:rFonts w:ascii="Times New Roman" w:hAnsi="Times New Roman"/>
          <w:sz w:val="24"/>
          <w:szCs w:val="24"/>
          <w:lang w:val="it-IT"/>
        </w:rPr>
        <w:t>:</w:t>
      </w:r>
      <w:r w:rsidRPr="0008486F">
        <w:rPr>
          <w:rFonts w:ascii="Times New Roman" w:hAnsi="Times New Roman"/>
          <w:sz w:val="24"/>
          <w:szCs w:val="24"/>
          <w:lang w:val="it-IT"/>
        </w:rPr>
        <w:t xml:space="preserve"> “Per un Studio delle anfore di Pompei. Le forme VIII e X </w:t>
      </w:r>
      <w:r w:rsidR="003E6BDE">
        <w:rPr>
          <w:rFonts w:ascii="Times New Roman" w:hAnsi="Times New Roman"/>
          <w:sz w:val="24"/>
          <w:szCs w:val="24"/>
          <w:lang w:val="it-IT"/>
        </w:rPr>
        <w:t xml:space="preserve">della tipologia di R. Schoene”. En </w:t>
      </w:r>
      <w:r w:rsidR="003E6BDE" w:rsidRPr="00246866">
        <w:rPr>
          <w:rFonts w:ascii="Times New Roman" w:hAnsi="Times New Roman"/>
          <w:i/>
          <w:sz w:val="24"/>
          <w:szCs w:val="24"/>
          <w:lang w:val="it-IT"/>
        </w:rPr>
        <w:t>Seminario di Archeologia e Storia dell’Arte Greca e Romana dell’Università di Roma. Studi Miscellanei</w:t>
      </w:r>
      <w:r w:rsidR="00246866">
        <w:rPr>
          <w:rFonts w:ascii="Times New Roman" w:hAnsi="Times New Roman"/>
          <w:sz w:val="24"/>
          <w:szCs w:val="24"/>
          <w:lang w:val="it-IT"/>
        </w:rPr>
        <w:t>, 22.</w:t>
      </w:r>
      <w:r w:rsidR="003E6BDE">
        <w:rPr>
          <w:rFonts w:ascii="Times New Roman" w:hAnsi="Times New Roman"/>
          <w:sz w:val="24"/>
          <w:szCs w:val="24"/>
          <w:lang w:val="it-IT"/>
        </w:rPr>
        <w:t xml:space="preserve"> </w:t>
      </w:r>
      <w:r w:rsidR="00246866">
        <w:rPr>
          <w:rFonts w:ascii="Times New Roman" w:hAnsi="Times New Roman"/>
          <w:sz w:val="24"/>
          <w:szCs w:val="24"/>
          <w:lang w:val="it-IT"/>
        </w:rPr>
        <w:t>Roma: De Luca Editore, p</w:t>
      </w:r>
      <w:r w:rsidRPr="0008486F">
        <w:rPr>
          <w:rFonts w:ascii="Times New Roman" w:hAnsi="Times New Roman"/>
          <w:sz w:val="24"/>
          <w:szCs w:val="24"/>
          <w:lang w:val="it-IT"/>
        </w:rPr>
        <w:t>p. 149-166.</w:t>
      </w:r>
    </w:p>
    <w:p w:rsidR="00FF2ABB" w:rsidRPr="00D14E6E" w:rsidRDefault="00FF2ABB" w:rsidP="00F34854">
      <w:pPr>
        <w:spacing w:after="0" w:line="360" w:lineRule="auto"/>
        <w:ind w:firstLine="709"/>
        <w:jc w:val="both"/>
        <w:rPr>
          <w:rFonts w:ascii="Times New Roman" w:hAnsi="Times New Roman"/>
          <w:sz w:val="24"/>
          <w:szCs w:val="24"/>
          <w:lang w:val="en-US"/>
        </w:rPr>
      </w:pPr>
      <w:r w:rsidRPr="0008486F">
        <w:rPr>
          <w:rFonts w:ascii="Times New Roman" w:hAnsi="Times New Roman"/>
          <w:smallCaps/>
          <w:sz w:val="24"/>
          <w:szCs w:val="24"/>
          <w:lang w:val="it-IT"/>
        </w:rPr>
        <w:t>Panella, C.</w:t>
      </w:r>
      <w:r w:rsidRPr="0008486F">
        <w:rPr>
          <w:rFonts w:ascii="Times New Roman" w:hAnsi="Times New Roman"/>
          <w:sz w:val="24"/>
          <w:szCs w:val="24"/>
          <w:lang w:val="it-IT"/>
        </w:rPr>
        <w:t xml:space="preserve"> </w:t>
      </w:r>
      <w:r w:rsidR="00246866">
        <w:rPr>
          <w:rFonts w:ascii="Times New Roman" w:hAnsi="Times New Roman"/>
          <w:sz w:val="24"/>
          <w:szCs w:val="24"/>
          <w:lang w:val="it-IT"/>
        </w:rPr>
        <w:t>y</w:t>
      </w:r>
      <w:r w:rsidRPr="0008486F">
        <w:rPr>
          <w:rFonts w:ascii="Times New Roman" w:hAnsi="Times New Roman"/>
          <w:sz w:val="24"/>
          <w:szCs w:val="24"/>
          <w:lang w:val="it-IT"/>
        </w:rPr>
        <w:t xml:space="preserve"> </w:t>
      </w:r>
      <w:r w:rsidRPr="0008486F">
        <w:rPr>
          <w:rFonts w:ascii="Times New Roman" w:hAnsi="Times New Roman"/>
          <w:smallCaps/>
          <w:sz w:val="24"/>
          <w:szCs w:val="24"/>
          <w:lang w:val="it-IT"/>
        </w:rPr>
        <w:t xml:space="preserve">Fano, M. </w:t>
      </w:r>
      <w:r w:rsidRPr="0008486F">
        <w:rPr>
          <w:rFonts w:ascii="Times New Roman" w:hAnsi="Times New Roman"/>
          <w:sz w:val="24"/>
          <w:szCs w:val="24"/>
          <w:lang w:val="it-IT"/>
        </w:rPr>
        <w:t>(1977): “Le anfore con anse bifide conservate a Pompei: contributo ad</w:t>
      </w:r>
      <w:r w:rsidR="00246866">
        <w:rPr>
          <w:rFonts w:ascii="Times New Roman" w:hAnsi="Times New Roman"/>
          <w:sz w:val="24"/>
          <w:szCs w:val="24"/>
          <w:lang w:val="it-IT"/>
        </w:rPr>
        <w:t xml:space="preserve"> una loro classificazione”. En</w:t>
      </w:r>
      <w:r w:rsidRPr="0008486F">
        <w:rPr>
          <w:rFonts w:ascii="Times New Roman" w:hAnsi="Times New Roman"/>
          <w:sz w:val="24"/>
          <w:szCs w:val="24"/>
          <w:lang w:val="it-IT"/>
        </w:rPr>
        <w:t xml:space="preserve"> </w:t>
      </w:r>
      <w:r w:rsidRPr="0008486F">
        <w:rPr>
          <w:rFonts w:ascii="Times New Roman" w:hAnsi="Times New Roman"/>
          <w:i/>
          <w:sz w:val="24"/>
          <w:szCs w:val="24"/>
          <w:lang w:val="it-IT"/>
        </w:rPr>
        <w:t xml:space="preserve">Méthodes classiques et méthodes formelles dans l’étude typologique des amphores. </w:t>
      </w:r>
      <w:r w:rsidRPr="00622476">
        <w:rPr>
          <w:rFonts w:ascii="Times New Roman" w:hAnsi="Times New Roman"/>
          <w:i/>
          <w:sz w:val="24"/>
          <w:szCs w:val="24"/>
        </w:rPr>
        <w:t>Actes du colloque de Rome, 27-29 mai 1974</w:t>
      </w:r>
      <w:r w:rsidR="00246866" w:rsidRPr="00622476">
        <w:rPr>
          <w:rFonts w:ascii="Times New Roman" w:hAnsi="Times New Roman"/>
          <w:sz w:val="24"/>
          <w:szCs w:val="24"/>
        </w:rPr>
        <w:t>. Rome: École Française de Rome</w:t>
      </w:r>
      <w:r w:rsidRPr="00622476">
        <w:rPr>
          <w:rFonts w:ascii="Times New Roman" w:hAnsi="Times New Roman"/>
          <w:sz w:val="24"/>
          <w:szCs w:val="24"/>
        </w:rPr>
        <w:t>,</w:t>
      </w:r>
      <w:r w:rsidR="00246866" w:rsidRPr="00622476">
        <w:rPr>
          <w:rFonts w:ascii="Times New Roman" w:hAnsi="Times New Roman"/>
          <w:sz w:val="24"/>
          <w:szCs w:val="24"/>
        </w:rPr>
        <w:t xml:space="preserve"> pp.</w:t>
      </w:r>
      <w:r w:rsidRPr="00622476">
        <w:rPr>
          <w:rFonts w:ascii="Times New Roman" w:hAnsi="Times New Roman"/>
          <w:sz w:val="24"/>
          <w:szCs w:val="24"/>
        </w:rPr>
        <w:t xml:space="preserve"> 133-177.</w:t>
      </w:r>
      <w:r w:rsidR="007A61B9">
        <w:rPr>
          <w:rFonts w:ascii="Times New Roman" w:hAnsi="Times New Roman"/>
          <w:sz w:val="24"/>
          <w:szCs w:val="24"/>
        </w:rPr>
        <w:t xml:space="preserve"> </w:t>
      </w:r>
      <w:r w:rsidR="007A61B9" w:rsidRPr="00D14E6E">
        <w:rPr>
          <w:rFonts w:ascii="Times New Roman" w:hAnsi="Times New Roman"/>
          <w:sz w:val="24"/>
          <w:szCs w:val="24"/>
          <w:lang w:val="en-US"/>
        </w:rPr>
        <w:t>(</w:t>
      </w:r>
      <w:hyperlink r:id="rId18" w:history="1">
        <w:r w:rsidR="007A61B9" w:rsidRPr="00D14E6E">
          <w:rPr>
            <w:rStyle w:val="Hyperlink"/>
            <w:rFonts w:ascii="Times New Roman" w:hAnsi="Times New Roman"/>
            <w:color w:val="auto"/>
            <w:sz w:val="24"/>
            <w:szCs w:val="24"/>
            <w:lang w:val="en-US"/>
          </w:rPr>
          <w:t>http://www.persee.fr/doc/efr_0000-0000_1977_act_32_1_4690</w:t>
        </w:r>
      </w:hyperlink>
      <w:r w:rsidR="007A61B9" w:rsidRPr="00D14E6E">
        <w:rPr>
          <w:rFonts w:ascii="Times New Roman" w:hAnsi="Times New Roman"/>
          <w:sz w:val="24"/>
          <w:szCs w:val="24"/>
          <w:lang w:val="en-US"/>
        </w:rPr>
        <w:t>) (26-05-2017)</w:t>
      </w:r>
    </w:p>
    <w:p w:rsidR="00AC6755" w:rsidRPr="00D14E6E" w:rsidRDefault="00AC6755" w:rsidP="00F34854">
      <w:pPr>
        <w:pStyle w:val="BodyText"/>
        <w:spacing w:after="0" w:line="360" w:lineRule="auto"/>
        <w:ind w:firstLine="709"/>
        <w:jc w:val="both"/>
        <w:rPr>
          <w:szCs w:val="24"/>
          <w:lang w:val="en-GB"/>
        </w:rPr>
      </w:pPr>
      <w:r w:rsidRPr="0008486F">
        <w:rPr>
          <w:smallCaps/>
          <w:szCs w:val="24"/>
          <w:lang w:val="en-GB"/>
        </w:rPr>
        <w:t>Peña, J.T.</w:t>
      </w:r>
      <w:r w:rsidRPr="0008486F">
        <w:rPr>
          <w:szCs w:val="24"/>
          <w:lang w:val="en-GB"/>
        </w:rPr>
        <w:t xml:space="preserve"> (2007): “Two groups of </w:t>
      </w:r>
      <w:r w:rsidRPr="0008486F">
        <w:rPr>
          <w:i/>
          <w:szCs w:val="24"/>
          <w:lang w:val="en-GB"/>
        </w:rPr>
        <w:t>tituli picti</w:t>
      </w:r>
      <w:r w:rsidRPr="0008486F">
        <w:rPr>
          <w:szCs w:val="24"/>
          <w:lang w:val="en-GB"/>
        </w:rPr>
        <w:t xml:space="preserve"> from Pompeii and environs: Sicilian wine, not flour and hand-picked olives”, </w:t>
      </w:r>
      <w:r w:rsidRPr="0008486F">
        <w:rPr>
          <w:i/>
          <w:szCs w:val="24"/>
          <w:lang w:val="en-GB"/>
        </w:rPr>
        <w:t>Journal of Roman Archaeology</w:t>
      </w:r>
      <w:r w:rsidR="00246866">
        <w:rPr>
          <w:szCs w:val="24"/>
          <w:lang w:val="en-GB"/>
        </w:rPr>
        <w:t xml:space="preserve">, </w:t>
      </w:r>
      <w:r w:rsidRPr="0008486F">
        <w:rPr>
          <w:szCs w:val="24"/>
          <w:lang w:val="en-GB"/>
        </w:rPr>
        <w:t>20, 233-254.</w:t>
      </w:r>
      <w:r w:rsidR="00D14E6E">
        <w:rPr>
          <w:szCs w:val="24"/>
          <w:lang w:val="en-GB"/>
        </w:rPr>
        <w:t xml:space="preserve"> </w:t>
      </w:r>
      <w:r w:rsidR="00D14E6E" w:rsidRPr="00D14E6E">
        <w:rPr>
          <w:szCs w:val="24"/>
          <w:lang w:val="en-GB"/>
        </w:rPr>
        <w:t>(</w:t>
      </w:r>
      <w:hyperlink r:id="rId19" w:tgtFrame="_blank" w:history="1">
        <w:r w:rsidR="00D14E6E" w:rsidRPr="00D14E6E">
          <w:rPr>
            <w:rStyle w:val="Hyperlink"/>
            <w:color w:val="auto"/>
            <w:szCs w:val="24"/>
            <w:bdr w:val="none" w:sz="0" w:space="0" w:color="auto" w:frame="1"/>
            <w:shd w:val="clear" w:color="auto" w:fill="FFFFFF"/>
            <w:lang w:val="en-GB"/>
          </w:rPr>
          <w:t>https://doi.org/10.1017/S1047759400005390</w:t>
        </w:r>
      </w:hyperlink>
      <w:r w:rsidR="00D14E6E" w:rsidRPr="00D14E6E">
        <w:rPr>
          <w:szCs w:val="24"/>
          <w:lang w:val="en-GB"/>
        </w:rPr>
        <w:t>) (</w:t>
      </w:r>
      <w:hyperlink r:id="rId20" w:history="1">
        <w:r w:rsidR="00D14E6E" w:rsidRPr="00D14E6E">
          <w:rPr>
            <w:rStyle w:val="Hyperlink"/>
            <w:color w:val="auto"/>
            <w:szCs w:val="24"/>
            <w:lang w:val="en-GB"/>
          </w:rPr>
          <w:t>https://www.cambridge.org/core/journals/journal-of-roman-archaeology/article/two-groups-of-tituli-picti-from-pompeii-and-environs-sicilian-wine-not-flour-and-handpicked-olives/0E4751F559D70B6F519977DA376F1B13</w:t>
        </w:r>
      </w:hyperlink>
      <w:r w:rsidR="00D14E6E" w:rsidRPr="00D14E6E">
        <w:rPr>
          <w:szCs w:val="24"/>
          <w:lang w:val="en-GB"/>
        </w:rPr>
        <w:t>) (26-05-2017)</w:t>
      </w:r>
    </w:p>
    <w:p w:rsidR="00DD20D2" w:rsidRPr="00FF2ABB" w:rsidRDefault="00DD20D2" w:rsidP="00F34854">
      <w:pPr>
        <w:spacing w:after="0" w:line="360" w:lineRule="auto"/>
        <w:ind w:firstLine="709"/>
        <w:jc w:val="both"/>
        <w:rPr>
          <w:rFonts w:ascii="Times New Roman" w:hAnsi="Times New Roman"/>
          <w:sz w:val="24"/>
          <w:szCs w:val="24"/>
        </w:rPr>
      </w:pPr>
      <w:r w:rsidRPr="00DD20D2">
        <w:rPr>
          <w:rFonts w:ascii="Times New Roman" w:hAnsi="Times New Roman"/>
          <w:smallCaps/>
          <w:sz w:val="24"/>
          <w:szCs w:val="24"/>
        </w:rPr>
        <w:t>Presuhn, E.</w:t>
      </w:r>
      <w:r>
        <w:rPr>
          <w:rFonts w:ascii="Times New Roman" w:hAnsi="Times New Roman"/>
          <w:sz w:val="24"/>
          <w:szCs w:val="24"/>
        </w:rPr>
        <w:t xml:space="preserve"> (1878): </w:t>
      </w:r>
      <w:r w:rsidRPr="00DD20D2">
        <w:rPr>
          <w:rFonts w:ascii="Times New Roman" w:hAnsi="Times New Roman"/>
          <w:i/>
          <w:sz w:val="24"/>
          <w:szCs w:val="24"/>
        </w:rPr>
        <w:t>Pompeji. Die neuesten Ausgrabungen von 1874 bis 1878</w:t>
      </w:r>
      <w:r w:rsidR="00246866">
        <w:rPr>
          <w:rFonts w:ascii="Times New Roman" w:hAnsi="Times New Roman"/>
          <w:sz w:val="24"/>
          <w:szCs w:val="24"/>
        </w:rPr>
        <w:t>. Leipzig: Weigel</w:t>
      </w:r>
      <w:r>
        <w:rPr>
          <w:rFonts w:ascii="Times New Roman" w:hAnsi="Times New Roman"/>
          <w:sz w:val="24"/>
          <w:szCs w:val="24"/>
        </w:rPr>
        <w:t>.</w:t>
      </w:r>
    </w:p>
    <w:p w:rsidR="001702D2" w:rsidRPr="0008486F" w:rsidRDefault="001702D2" w:rsidP="00F34854">
      <w:pPr>
        <w:spacing w:after="0" w:line="360" w:lineRule="auto"/>
        <w:ind w:firstLine="709"/>
        <w:jc w:val="both"/>
        <w:rPr>
          <w:rFonts w:ascii="Times New Roman" w:hAnsi="Times New Roman"/>
          <w:sz w:val="24"/>
          <w:szCs w:val="24"/>
        </w:rPr>
      </w:pPr>
      <w:r w:rsidRPr="0008486F">
        <w:rPr>
          <w:rFonts w:ascii="Times New Roman" w:hAnsi="Times New Roman"/>
          <w:smallCaps/>
          <w:sz w:val="24"/>
          <w:szCs w:val="24"/>
        </w:rPr>
        <w:t>Rizzo, G.</w:t>
      </w:r>
      <w:r w:rsidR="00CE2344">
        <w:rPr>
          <w:rFonts w:ascii="Times New Roman" w:hAnsi="Times New Roman"/>
          <w:sz w:val="24"/>
          <w:szCs w:val="24"/>
        </w:rPr>
        <w:t xml:space="preserve"> (2014): “</w:t>
      </w:r>
      <w:r w:rsidRPr="0008486F">
        <w:rPr>
          <w:rFonts w:ascii="Times New Roman" w:hAnsi="Times New Roman"/>
          <w:sz w:val="24"/>
          <w:szCs w:val="24"/>
        </w:rPr>
        <w:t>Le anfore, Osti</w:t>
      </w:r>
      <w:r w:rsidR="00CE2344">
        <w:rPr>
          <w:rFonts w:ascii="Times New Roman" w:hAnsi="Times New Roman"/>
          <w:sz w:val="24"/>
          <w:szCs w:val="24"/>
        </w:rPr>
        <w:t xml:space="preserve">a e i commerci mediterranei”. En </w:t>
      </w:r>
      <w:r w:rsidR="00CE2344" w:rsidRPr="00CE2344">
        <w:rPr>
          <w:rFonts w:ascii="Times New Roman" w:hAnsi="Times New Roman"/>
          <w:smallCaps/>
          <w:sz w:val="24"/>
          <w:szCs w:val="24"/>
        </w:rPr>
        <w:t>Panella, C.</w:t>
      </w:r>
      <w:r w:rsidR="00CE2344">
        <w:rPr>
          <w:rFonts w:ascii="Times New Roman" w:hAnsi="Times New Roman"/>
          <w:sz w:val="24"/>
          <w:szCs w:val="24"/>
        </w:rPr>
        <w:t xml:space="preserve"> y </w:t>
      </w:r>
      <w:r w:rsidR="00CE2344" w:rsidRPr="00CE2344">
        <w:rPr>
          <w:rFonts w:ascii="Times New Roman" w:hAnsi="Times New Roman"/>
          <w:smallCaps/>
          <w:sz w:val="24"/>
          <w:szCs w:val="24"/>
        </w:rPr>
        <w:t>Rizzo, G.</w:t>
      </w:r>
      <w:r w:rsidR="00CE2344">
        <w:rPr>
          <w:rFonts w:ascii="Times New Roman" w:hAnsi="Times New Roman"/>
          <w:sz w:val="24"/>
          <w:szCs w:val="24"/>
        </w:rPr>
        <w:t xml:space="preserve"> (eds.):</w:t>
      </w:r>
      <w:r w:rsidRPr="0008486F">
        <w:rPr>
          <w:rFonts w:ascii="Times New Roman" w:hAnsi="Times New Roman"/>
          <w:sz w:val="24"/>
          <w:szCs w:val="24"/>
        </w:rPr>
        <w:t xml:space="preserve"> </w:t>
      </w:r>
      <w:r w:rsidRPr="0008486F">
        <w:rPr>
          <w:rFonts w:ascii="Times New Roman" w:hAnsi="Times New Roman"/>
          <w:i/>
          <w:sz w:val="24"/>
          <w:szCs w:val="24"/>
        </w:rPr>
        <w:t>Ostia VI. Le Terme del Nuotatore</w:t>
      </w:r>
      <w:r w:rsidRPr="00CE2344">
        <w:rPr>
          <w:rFonts w:ascii="Times New Roman" w:hAnsi="Times New Roman"/>
          <w:i/>
          <w:sz w:val="24"/>
          <w:szCs w:val="24"/>
        </w:rPr>
        <w:t>. Studi Miscellanei</w:t>
      </w:r>
      <w:r w:rsidR="00CE2344">
        <w:rPr>
          <w:rFonts w:ascii="Times New Roman" w:hAnsi="Times New Roman"/>
          <w:sz w:val="24"/>
          <w:szCs w:val="24"/>
        </w:rPr>
        <w:t>,</w:t>
      </w:r>
      <w:r w:rsidRPr="0008486F">
        <w:rPr>
          <w:rFonts w:ascii="Times New Roman" w:hAnsi="Times New Roman"/>
          <w:sz w:val="24"/>
          <w:szCs w:val="24"/>
        </w:rPr>
        <w:t xml:space="preserve"> 38. Roma</w:t>
      </w:r>
      <w:r w:rsidR="00CE2344">
        <w:rPr>
          <w:rFonts w:ascii="Times New Roman" w:hAnsi="Times New Roman"/>
          <w:sz w:val="24"/>
          <w:szCs w:val="24"/>
        </w:rPr>
        <w:t>: “L’Erma” di Bretschneider</w:t>
      </w:r>
      <w:r w:rsidRPr="0008486F">
        <w:rPr>
          <w:rFonts w:ascii="Times New Roman" w:hAnsi="Times New Roman"/>
          <w:sz w:val="24"/>
          <w:szCs w:val="24"/>
        </w:rPr>
        <w:t>,</w:t>
      </w:r>
      <w:r w:rsidR="00CE2344">
        <w:rPr>
          <w:rFonts w:ascii="Times New Roman" w:hAnsi="Times New Roman"/>
          <w:sz w:val="24"/>
          <w:szCs w:val="24"/>
        </w:rPr>
        <w:t xml:space="preserve"> pp.</w:t>
      </w:r>
      <w:r w:rsidRPr="0008486F">
        <w:rPr>
          <w:rFonts w:ascii="Times New Roman" w:hAnsi="Times New Roman"/>
          <w:sz w:val="24"/>
          <w:szCs w:val="24"/>
        </w:rPr>
        <w:t xml:space="preserve"> 65-481.</w:t>
      </w:r>
    </w:p>
    <w:p w:rsidR="00F52C18" w:rsidRDefault="00F52C18" w:rsidP="00F34854">
      <w:pPr>
        <w:spacing w:after="0" w:line="360" w:lineRule="auto"/>
        <w:ind w:firstLine="709"/>
        <w:jc w:val="both"/>
        <w:rPr>
          <w:rFonts w:ascii="Times New Roman" w:hAnsi="Times New Roman"/>
          <w:sz w:val="24"/>
          <w:szCs w:val="24"/>
        </w:rPr>
      </w:pPr>
      <w:r w:rsidRPr="005D5577">
        <w:rPr>
          <w:rFonts w:ascii="Times New Roman" w:hAnsi="Times New Roman"/>
          <w:smallCaps/>
          <w:sz w:val="24"/>
          <w:szCs w:val="24"/>
        </w:rPr>
        <w:t xml:space="preserve">Sogliano, </w:t>
      </w:r>
      <w:r w:rsidR="00B7043D" w:rsidRPr="005D5577">
        <w:rPr>
          <w:rFonts w:ascii="Times New Roman" w:hAnsi="Times New Roman"/>
          <w:smallCaps/>
          <w:sz w:val="24"/>
          <w:szCs w:val="24"/>
        </w:rPr>
        <w:t xml:space="preserve">A. </w:t>
      </w:r>
      <w:r w:rsidR="00B7043D">
        <w:rPr>
          <w:rFonts w:ascii="Times New Roman" w:hAnsi="Times New Roman"/>
          <w:sz w:val="24"/>
          <w:szCs w:val="24"/>
        </w:rPr>
        <w:t>(1884)</w:t>
      </w:r>
      <w:r w:rsidR="005D5577">
        <w:rPr>
          <w:rFonts w:ascii="Times New Roman" w:hAnsi="Times New Roman"/>
          <w:sz w:val="24"/>
          <w:szCs w:val="24"/>
        </w:rPr>
        <w:t>:</w:t>
      </w:r>
      <w:r w:rsidR="00B7043D">
        <w:rPr>
          <w:rFonts w:ascii="Times New Roman" w:hAnsi="Times New Roman"/>
          <w:sz w:val="24"/>
          <w:szCs w:val="24"/>
        </w:rPr>
        <w:t xml:space="preserve"> “Pompei”, </w:t>
      </w:r>
      <w:r w:rsidR="00B7043D" w:rsidRPr="00065867">
        <w:rPr>
          <w:rFonts w:ascii="Times New Roman" w:hAnsi="Times New Roman"/>
          <w:i/>
          <w:sz w:val="24"/>
          <w:szCs w:val="24"/>
        </w:rPr>
        <w:t xml:space="preserve">Notizie degli scavi di </w:t>
      </w:r>
      <w:r w:rsidR="00065867" w:rsidRPr="00065867">
        <w:rPr>
          <w:rFonts w:ascii="Times New Roman" w:hAnsi="Times New Roman"/>
          <w:i/>
          <w:sz w:val="24"/>
          <w:szCs w:val="24"/>
        </w:rPr>
        <w:t>A</w:t>
      </w:r>
      <w:r w:rsidR="00B7043D" w:rsidRPr="00065867">
        <w:rPr>
          <w:rFonts w:ascii="Times New Roman" w:hAnsi="Times New Roman"/>
          <w:i/>
          <w:sz w:val="24"/>
          <w:szCs w:val="24"/>
        </w:rPr>
        <w:t>ntichità</w:t>
      </w:r>
      <w:r w:rsidR="00B7043D">
        <w:rPr>
          <w:rFonts w:ascii="Times New Roman" w:hAnsi="Times New Roman"/>
          <w:sz w:val="24"/>
          <w:szCs w:val="24"/>
        </w:rPr>
        <w:t>, p. 432.</w:t>
      </w:r>
    </w:p>
    <w:p w:rsidR="00BD772D" w:rsidRDefault="00BD772D" w:rsidP="00F34854">
      <w:pPr>
        <w:spacing w:after="0" w:line="360" w:lineRule="auto"/>
        <w:ind w:firstLine="709"/>
        <w:jc w:val="both"/>
        <w:rPr>
          <w:rFonts w:ascii="Times New Roman" w:hAnsi="Times New Roman"/>
          <w:sz w:val="24"/>
          <w:szCs w:val="24"/>
        </w:rPr>
      </w:pPr>
      <w:r w:rsidRPr="005D5577">
        <w:rPr>
          <w:rFonts w:ascii="Times New Roman" w:hAnsi="Times New Roman"/>
          <w:smallCaps/>
          <w:sz w:val="24"/>
          <w:szCs w:val="24"/>
        </w:rPr>
        <w:t xml:space="preserve">Sogliano, A. </w:t>
      </w:r>
      <w:r>
        <w:rPr>
          <w:rFonts w:ascii="Times New Roman" w:hAnsi="Times New Roman"/>
          <w:sz w:val="24"/>
          <w:szCs w:val="24"/>
        </w:rPr>
        <w:t xml:space="preserve">(1898): “Torre Annunziata”, </w:t>
      </w:r>
      <w:r w:rsidRPr="00065867">
        <w:rPr>
          <w:rFonts w:ascii="Times New Roman" w:hAnsi="Times New Roman"/>
          <w:i/>
          <w:sz w:val="24"/>
          <w:szCs w:val="24"/>
        </w:rPr>
        <w:t>Notizie degli scavi di Antichità</w:t>
      </w:r>
      <w:r>
        <w:rPr>
          <w:rFonts w:ascii="Times New Roman" w:hAnsi="Times New Roman"/>
          <w:sz w:val="24"/>
          <w:szCs w:val="24"/>
        </w:rPr>
        <w:t>, pp. 494-503.</w:t>
      </w:r>
    </w:p>
    <w:p w:rsidR="00C76312" w:rsidRPr="002E6655" w:rsidRDefault="00C76312" w:rsidP="00F34854">
      <w:pPr>
        <w:spacing w:after="0" w:line="360" w:lineRule="auto"/>
        <w:ind w:firstLine="709"/>
        <w:jc w:val="both"/>
        <w:rPr>
          <w:rFonts w:ascii="Times New Roman" w:hAnsi="Times New Roman"/>
          <w:sz w:val="24"/>
          <w:szCs w:val="24"/>
          <w:lang w:val="en-US"/>
        </w:rPr>
      </w:pPr>
      <w:r w:rsidRPr="001C4E3C">
        <w:rPr>
          <w:rFonts w:ascii="Times New Roman" w:hAnsi="Times New Roman"/>
          <w:smallCaps/>
          <w:sz w:val="24"/>
          <w:szCs w:val="24"/>
        </w:rPr>
        <w:t xml:space="preserve">Tchernia, A. </w:t>
      </w:r>
      <w:r w:rsidRPr="001C4E3C">
        <w:rPr>
          <w:rFonts w:ascii="Times New Roman" w:hAnsi="Times New Roman"/>
          <w:sz w:val="24"/>
          <w:szCs w:val="24"/>
        </w:rPr>
        <w:t xml:space="preserve">(2007): “Entrepôt et cargaisons complementaires sur la route du blé d’Alexandrie”. </w:t>
      </w:r>
      <w:r w:rsidRPr="00C76312">
        <w:rPr>
          <w:rFonts w:ascii="Times New Roman" w:hAnsi="Times New Roman"/>
          <w:sz w:val="24"/>
          <w:szCs w:val="24"/>
        </w:rPr>
        <w:t xml:space="preserve">En </w:t>
      </w:r>
      <w:r w:rsidRPr="00C76312">
        <w:rPr>
          <w:rFonts w:ascii="Times New Roman" w:hAnsi="Times New Roman"/>
          <w:smallCaps/>
          <w:sz w:val="24"/>
          <w:szCs w:val="24"/>
        </w:rPr>
        <w:t xml:space="preserve">Pérez, J. </w:t>
      </w:r>
      <w:r w:rsidRPr="00C76312">
        <w:rPr>
          <w:rFonts w:ascii="Times New Roman" w:hAnsi="Times New Roman"/>
          <w:sz w:val="24"/>
          <w:szCs w:val="24"/>
        </w:rPr>
        <w:t xml:space="preserve">y </w:t>
      </w:r>
      <w:r w:rsidRPr="00C76312">
        <w:rPr>
          <w:rFonts w:ascii="Times New Roman" w:hAnsi="Times New Roman"/>
          <w:smallCaps/>
          <w:sz w:val="24"/>
          <w:szCs w:val="24"/>
        </w:rPr>
        <w:t>Pascual, G.</w:t>
      </w:r>
      <w:r w:rsidRPr="00C76312">
        <w:rPr>
          <w:rFonts w:ascii="Times New Roman" w:hAnsi="Times New Roman"/>
          <w:sz w:val="24"/>
          <w:szCs w:val="24"/>
        </w:rPr>
        <w:t xml:space="preserve"> (eds.): </w:t>
      </w:r>
      <w:r w:rsidRPr="002E6655">
        <w:rPr>
          <w:rFonts w:ascii="Times New Roman" w:hAnsi="Times New Roman"/>
          <w:i/>
          <w:sz w:val="24"/>
          <w:szCs w:val="24"/>
        </w:rPr>
        <w:t xml:space="preserve">Comercio, redistribución y fondeaderos. La navegación a vela en el Mediterráneo. </w:t>
      </w:r>
      <w:r w:rsidR="002E6655" w:rsidRPr="002E6655">
        <w:rPr>
          <w:rFonts w:ascii="Times New Roman" w:hAnsi="Times New Roman"/>
          <w:i/>
          <w:sz w:val="24"/>
          <w:szCs w:val="24"/>
        </w:rPr>
        <w:t>Gandía 8-10 noviembre de 2006</w:t>
      </w:r>
      <w:r w:rsidR="002E6655">
        <w:rPr>
          <w:rFonts w:ascii="Times New Roman" w:hAnsi="Times New Roman"/>
          <w:sz w:val="24"/>
          <w:szCs w:val="24"/>
        </w:rPr>
        <w:t xml:space="preserve">. </w:t>
      </w:r>
      <w:r w:rsidR="002E6655" w:rsidRPr="002E6655">
        <w:rPr>
          <w:rFonts w:ascii="Times New Roman" w:hAnsi="Times New Roman"/>
          <w:sz w:val="24"/>
          <w:szCs w:val="24"/>
          <w:lang w:val="en-US"/>
        </w:rPr>
        <w:t xml:space="preserve">València: Universitat de València, pp. </w:t>
      </w:r>
      <w:r w:rsidR="002E6655">
        <w:rPr>
          <w:rFonts w:ascii="Times New Roman" w:hAnsi="Times New Roman"/>
          <w:sz w:val="24"/>
          <w:szCs w:val="24"/>
          <w:lang w:val="en-US"/>
        </w:rPr>
        <w:t>57-64</w:t>
      </w:r>
      <w:r w:rsidR="002E6655" w:rsidRPr="002E6655">
        <w:rPr>
          <w:rFonts w:ascii="Times New Roman" w:hAnsi="Times New Roman"/>
          <w:sz w:val="24"/>
          <w:szCs w:val="24"/>
          <w:lang w:val="en-US"/>
        </w:rPr>
        <w:t>.</w:t>
      </w:r>
    </w:p>
    <w:p w:rsidR="00B80659" w:rsidRPr="002E6655" w:rsidRDefault="00B80659" w:rsidP="00F34854">
      <w:pPr>
        <w:spacing w:after="0" w:line="360" w:lineRule="auto"/>
        <w:ind w:firstLine="709"/>
        <w:jc w:val="both"/>
        <w:rPr>
          <w:rFonts w:ascii="Times New Roman" w:hAnsi="Times New Roman"/>
          <w:sz w:val="24"/>
          <w:szCs w:val="24"/>
          <w:lang w:val="en-US"/>
        </w:rPr>
      </w:pPr>
      <w:r w:rsidRPr="002E6655">
        <w:rPr>
          <w:rFonts w:ascii="Times New Roman" w:hAnsi="Times New Roman"/>
          <w:smallCaps/>
          <w:sz w:val="24"/>
          <w:szCs w:val="24"/>
          <w:lang w:val="en-US"/>
        </w:rPr>
        <w:t>Timby, J.</w:t>
      </w:r>
      <w:r w:rsidR="008F67F3">
        <w:rPr>
          <w:rFonts w:ascii="Times New Roman" w:hAnsi="Times New Roman"/>
          <w:sz w:val="24"/>
          <w:szCs w:val="24"/>
          <w:lang w:val="en-US"/>
        </w:rPr>
        <w:t xml:space="preserve"> (2004): “</w:t>
      </w:r>
      <w:r w:rsidRPr="002E6655">
        <w:rPr>
          <w:rFonts w:ascii="Times New Roman" w:hAnsi="Times New Roman"/>
          <w:sz w:val="24"/>
          <w:szCs w:val="24"/>
          <w:lang w:val="en-US"/>
        </w:rPr>
        <w:t>Amphorae from Excavations at Pompeii by the University of Reading</w:t>
      </w:r>
      <w:r w:rsidR="008F67F3">
        <w:rPr>
          <w:rFonts w:ascii="Times New Roman" w:hAnsi="Times New Roman"/>
          <w:sz w:val="24"/>
          <w:szCs w:val="24"/>
          <w:lang w:val="en-US"/>
        </w:rPr>
        <w:t>”. En</w:t>
      </w:r>
      <w:r w:rsidRPr="002E6655">
        <w:rPr>
          <w:rFonts w:ascii="Times New Roman" w:hAnsi="Times New Roman"/>
          <w:sz w:val="24"/>
          <w:szCs w:val="24"/>
          <w:lang w:val="en-US"/>
        </w:rPr>
        <w:t xml:space="preserve"> </w:t>
      </w:r>
      <w:r w:rsidR="008F67F3">
        <w:rPr>
          <w:rFonts w:ascii="Times New Roman" w:hAnsi="Times New Roman"/>
          <w:smallCaps/>
          <w:sz w:val="24"/>
          <w:szCs w:val="24"/>
          <w:lang w:val="en-US"/>
        </w:rPr>
        <w:t xml:space="preserve">Eiring, </w:t>
      </w:r>
      <w:r w:rsidR="008F67F3" w:rsidRPr="002E6655">
        <w:rPr>
          <w:rFonts w:ascii="Times New Roman" w:hAnsi="Times New Roman"/>
          <w:smallCaps/>
          <w:sz w:val="24"/>
          <w:szCs w:val="24"/>
          <w:lang w:val="en-US"/>
        </w:rPr>
        <w:t>J.</w:t>
      </w:r>
      <w:r w:rsidR="008F67F3">
        <w:rPr>
          <w:rFonts w:ascii="Times New Roman" w:hAnsi="Times New Roman"/>
          <w:smallCaps/>
          <w:sz w:val="24"/>
          <w:szCs w:val="24"/>
          <w:lang w:val="en-US"/>
        </w:rPr>
        <w:t xml:space="preserve"> </w:t>
      </w:r>
      <w:r w:rsidR="008F67F3" w:rsidRPr="008F67F3">
        <w:rPr>
          <w:rFonts w:ascii="Times New Roman" w:hAnsi="Times New Roman"/>
          <w:sz w:val="24"/>
          <w:szCs w:val="24"/>
          <w:lang w:val="en-US"/>
        </w:rPr>
        <w:t>y</w:t>
      </w:r>
      <w:r w:rsidRPr="002E6655">
        <w:rPr>
          <w:rFonts w:ascii="Times New Roman" w:hAnsi="Times New Roman"/>
          <w:smallCaps/>
          <w:sz w:val="24"/>
          <w:szCs w:val="24"/>
          <w:lang w:val="en-US"/>
        </w:rPr>
        <w:t xml:space="preserve"> Lund</w:t>
      </w:r>
      <w:r w:rsidR="008F67F3">
        <w:rPr>
          <w:rFonts w:ascii="Times New Roman" w:hAnsi="Times New Roman"/>
          <w:smallCaps/>
          <w:sz w:val="24"/>
          <w:szCs w:val="24"/>
          <w:lang w:val="en-US"/>
        </w:rPr>
        <w:t xml:space="preserve">, </w:t>
      </w:r>
      <w:r w:rsidR="008F67F3" w:rsidRPr="002E6655">
        <w:rPr>
          <w:rFonts w:ascii="Times New Roman" w:hAnsi="Times New Roman"/>
          <w:smallCaps/>
          <w:sz w:val="24"/>
          <w:szCs w:val="24"/>
          <w:lang w:val="en-US"/>
        </w:rPr>
        <w:t>J.</w:t>
      </w:r>
      <w:r w:rsidRPr="002E6655">
        <w:rPr>
          <w:rFonts w:ascii="Times New Roman" w:hAnsi="Times New Roman"/>
          <w:smallCaps/>
          <w:sz w:val="24"/>
          <w:szCs w:val="24"/>
          <w:lang w:val="en-US"/>
        </w:rPr>
        <w:t xml:space="preserve"> </w:t>
      </w:r>
      <w:r w:rsidR="008F67F3">
        <w:rPr>
          <w:rFonts w:ascii="Times New Roman" w:hAnsi="Times New Roman"/>
          <w:sz w:val="24"/>
          <w:szCs w:val="24"/>
          <w:lang w:val="en-US"/>
        </w:rPr>
        <w:t>(eds.):</w:t>
      </w:r>
      <w:r w:rsidRPr="002E6655">
        <w:rPr>
          <w:rFonts w:ascii="Times New Roman" w:hAnsi="Times New Roman"/>
          <w:sz w:val="24"/>
          <w:szCs w:val="24"/>
          <w:lang w:val="en-US"/>
        </w:rPr>
        <w:t xml:space="preserve"> </w:t>
      </w:r>
      <w:r w:rsidRPr="008F67F3">
        <w:rPr>
          <w:rFonts w:ascii="Times New Roman" w:hAnsi="Times New Roman"/>
          <w:i/>
          <w:sz w:val="24"/>
          <w:szCs w:val="24"/>
          <w:lang w:val="en-US"/>
        </w:rPr>
        <w:t>Transport of Amphorae and Trade in the Eastern Mediterranean. Acts of the International Colloquium at the Danish Institute at Athens, September 26-29, 2002</w:t>
      </w:r>
      <w:r w:rsidRPr="002E6655">
        <w:rPr>
          <w:rFonts w:ascii="Times New Roman" w:hAnsi="Times New Roman"/>
          <w:sz w:val="24"/>
          <w:szCs w:val="24"/>
          <w:lang w:val="en-US"/>
        </w:rPr>
        <w:t>. Aarhus</w:t>
      </w:r>
      <w:r w:rsidR="008F67F3">
        <w:rPr>
          <w:rFonts w:ascii="Times New Roman" w:hAnsi="Times New Roman"/>
          <w:sz w:val="24"/>
          <w:szCs w:val="24"/>
          <w:lang w:val="en-US"/>
        </w:rPr>
        <w:t>: Aarhus University Press</w:t>
      </w:r>
      <w:r w:rsidRPr="002E6655">
        <w:rPr>
          <w:rFonts w:ascii="Times New Roman" w:hAnsi="Times New Roman"/>
          <w:sz w:val="24"/>
          <w:szCs w:val="24"/>
          <w:lang w:val="en-US"/>
        </w:rPr>
        <w:t>,</w:t>
      </w:r>
      <w:r w:rsidR="008F67F3">
        <w:rPr>
          <w:rFonts w:ascii="Times New Roman" w:hAnsi="Times New Roman"/>
          <w:sz w:val="24"/>
          <w:szCs w:val="24"/>
          <w:lang w:val="en-US"/>
        </w:rPr>
        <w:t xml:space="preserve"> pp.</w:t>
      </w:r>
      <w:r w:rsidRPr="002E6655">
        <w:rPr>
          <w:rFonts w:ascii="Times New Roman" w:hAnsi="Times New Roman"/>
          <w:sz w:val="24"/>
          <w:szCs w:val="24"/>
          <w:lang w:val="en-US"/>
        </w:rPr>
        <w:t xml:space="preserve"> 383-392.</w:t>
      </w:r>
    </w:p>
    <w:p w:rsidR="00C41478" w:rsidRPr="0008486F" w:rsidRDefault="00C41478" w:rsidP="00F34854">
      <w:pPr>
        <w:spacing w:after="0" w:line="360" w:lineRule="auto"/>
        <w:ind w:firstLine="709"/>
        <w:jc w:val="both"/>
        <w:rPr>
          <w:rFonts w:ascii="Times New Roman" w:hAnsi="Times New Roman"/>
          <w:sz w:val="24"/>
          <w:szCs w:val="24"/>
        </w:rPr>
      </w:pPr>
      <w:r w:rsidRPr="005E40ED">
        <w:rPr>
          <w:rFonts w:ascii="Times New Roman" w:hAnsi="Times New Roman"/>
          <w:smallCaps/>
          <w:sz w:val="24"/>
          <w:szCs w:val="24"/>
          <w:lang w:val="en-US"/>
        </w:rPr>
        <w:t>V</w:t>
      </w:r>
      <w:r w:rsidR="00CE2344" w:rsidRPr="005E40ED">
        <w:rPr>
          <w:rFonts w:ascii="Times New Roman" w:hAnsi="Times New Roman"/>
          <w:smallCaps/>
          <w:sz w:val="24"/>
          <w:szCs w:val="24"/>
          <w:lang w:val="en-US"/>
        </w:rPr>
        <w:t>ipard</w:t>
      </w:r>
      <w:r w:rsidRPr="005E40ED">
        <w:rPr>
          <w:rFonts w:ascii="Times New Roman" w:hAnsi="Times New Roman"/>
          <w:smallCaps/>
          <w:sz w:val="24"/>
          <w:szCs w:val="24"/>
          <w:lang w:val="en-US"/>
        </w:rPr>
        <w:t xml:space="preserve">, P. </w:t>
      </w:r>
      <w:r w:rsidRPr="005E40ED">
        <w:rPr>
          <w:rFonts w:ascii="Times New Roman" w:hAnsi="Times New Roman"/>
          <w:sz w:val="24"/>
          <w:szCs w:val="24"/>
          <w:lang w:val="en-US"/>
        </w:rPr>
        <w:t>(1995)</w:t>
      </w:r>
      <w:r w:rsidR="00CE2344" w:rsidRPr="005E40ED">
        <w:rPr>
          <w:rFonts w:ascii="Times New Roman" w:hAnsi="Times New Roman"/>
          <w:sz w:val="24"/>
          <w:szCs w:val="24"/>
          <w:lang w:val="en-US"/>
        </w:rPr>
        <w:t>:</w:t>
      </w:r>
      <w:r w:rsidRPr="005E40ED">
        <w:rPr>
          <w:rFonts w:ascii="Times New Roman" w:hAnsi="Times New Roman"/>
          <w:sz w:val="24"/>
          <w:szCs w:val="24"/>
          <w:lang w:val="en-US"/>
        </w:rPr>
        <w:t xml:space="preserve"> “Les amphores carottes (forme Schöene-Mau XV). Etat de</w:t>
      </w:r>
      <w:r w:rsidR="00710228" w:rsidRPr="005E40ED">
        <w:rPr>
          <w:rFonts w:ascii="Times New Roman" w:hAnsi="Times New Roman"/>
          <w:sz w:val="24"/>
          <w:szCs w:val="24"/>
          <w:lang w:val="en-US"/>
        </w:rPr>
        <w:t xml:space="preserve"> la question”. </w:t>
      </w:r>
      <w:r w:rsidR="00710228" w:rsidRPr="00710228">
        <w:rPr>
          <w:rFonts w:ascii="Times New Roman" w:hAnsi="Times New Roman"/>
          <w:sz w:val="24"/>
          <w:szCs w:val="24"/>
          <w:lang w:val="en-US"/>
        </w:rPr>
        <w:t xml:space="preserve">En </w:t>
      </w:r>
      <w:r w:rsidR="00710228" w:rsidRPr="00710228">
        <w:rPr>
          <w:rFonts w:ascii="Times New Roman" w:hAnsi="Times New Roman"/>
          <w:smallCaps/>
          <w:sz w:val="24"/>
          <w:szCs w:val="24"/>
          <w:lang w:val="en-US"/>
        </w:rPr>
        <w:t>Rivet, L.</w:t>
      </w:r>
      <w:r w:rsidR="00710228" w:rsidRPr="00710228">
        <w:rPr>
          <w:rFonts w:ascii="Times New Roman" w:hAnsi="Times New Roman"/>
          <w:sz w:val="24"/>
          <w:szCs w:val="24"/>
          <w:lang w:val="en-US"/>
        </w:rPr>
        <w:t xml:space="preserve"> (ed.):</w:t>
      </w:r>
      <w:r w:rsidRPr="00710228">
        <w:rPr>
          <w:rFonts w:ascii="Times New Roman" w:hAnsi="Times New Roman"/>
          <w:i/>
          <w:sz w:val="24"/>
          <w:szCs w:val="24"/>
          <w:lang w:val="en-US"/>
        </w:rPr>
        <w:t xml:space="preserve"> </w:t>
      </w:r>
      <w:r w:rsidR="00710228" w:rsidRPr="00710228">
        <w:rPr>
          <w:rFonts w:ascii="Times New Roman" w:hAnsi="Times New Roman"/>
          <w:i/>
          <w:sz w:val="24"/>
          <w:szCs w:val="24"/>
          <w:shd w:val="clear" w:color="auto" w:fill="FFFFFF"/>
          <w:lang w:val="en-US"/>
        </w:rPr>
        <w:t>Productions et importations dans le nord-ouest de la Gaule et rela</w:t>
      </w:r>
      <w:r w:rsidR="00710228">
        <w:rPr>
          <w:rFonts w:ascii="Times New Roman" w:hAnsi="Times New Roman"/>
          <w:i/>
          <w:sz w:val="24"/>
          <w:szCs w:val="24"/>
          <w:shd w:val="clear" w:color="auto" w:fill="FFFFFF"/>
          <w:lang w:val="en-US"/>
        </w:rPr>
        <w:t>tions avec la Bretagne romaine.</w:t>
      </w:r>
      <w:r w:rsidR="00710228" w:rsidRPr="00710228">
        <w:rPr>
          <w:rFonts w:ascii="Times New Roman" w:hAnsi="Times New Roman"/>
          <w:i/>
          <w:sz w:val="24"/>
          <w:szCs w:val="24"/>
          <w:shd w:val="clear" w:color="auto" w:fill="FFFFFF"/>
          <w:lang w:val="en-US"/>
        </w:rPr>
        <w:t xml:space="preserve"> </w:t>
      </w:r>
      <w:r w:rsidR="00710228" w:rsidRPr="00622476">
        <w:rPr>
          <w:rFonts w:ascii="Times New Roman" w:hAnsi="Times New Roman"/>
          <w:i/>
          <w:sz w:val="24"/>
          <w:szCs w:val="24"/>
          <w:shd w:val="clear" w:color="auto" w:fill="FFFFFF"/>
        </w:rPr>
        <w:t>Actualité des recherches céramiques.</w:t>
      </w:r>
      <w:r w:rsidR="00710228" w:rsidRPr="00622476">
        <w:rPr>
          <w:rFonts w:ascii="Verdana" w:hAnsi="Verdana"/>
          <w:color w:val="000000"/>
          <w:sz w:val="18"/>
          <w:szCs w:val="18"/>
          <w:shd w:val="clear" w:color="auto" w:fill="FFFFFF"/>
        </w:rPr>
        <w:t xml:space="preserve"> </w:t>
      </w:r>
      <w:r w:rsidRPr="0008486F">
        <w:rPr>
          <w:rFonts w:ascii="Times New Roman" w:hAnsi="Times New Roman"/>
          <w:i/>
          <w:sz w:val="24"/>
          <w:szCs w:val="24"/>
        </w:rPr>
        <w:t>Actes du Congrès de Rouen</w:t>
      </w:r>
      <w:r w:rsidRPr="00710228">
        <w:rPr>
          <w:rFonts w:ascii="Times New Roman" w:hAnsi="Times New Roman"/>
          <w:i/>
          <w:sz w:val="24"/>
          <w:szCs w:val="24"/>
        </w:rPr>
        <w:t xml:space="preserve">, </w:t>
      </w:r>
      <w:r w:rsidR="00710228" w:rsidRPr="00710228">
        <w:rPr>
          <w:rFonts w:ascii="Times New Roman" w:hAnsi="Times New Roman"/>
          <w:i/>
          <w:sz w:val="24"/>
          <w:szCs w:val="24"/>
        </w:rPr>
        <w:t xml:space="preserve">25-28 mai </w:t>
      </w:r>
      <w:r w:rsidRPr="00710228">
        <w:rPr>
          <w:rFonts w:ascii="Times New Roman" w:hAnsi="Times New Roman"/>
          <w:i/>
          <w:sz w:val="24"/>
          <w:szCs w:val="24"/>
        </w:rPr>
        <w:t>1995</w:t>
      </w:r>
      <w:r w:rsidRPr="0008486F">
        <w:rPr>
          <w:rFonts w:ascii="Times New Roman" w:hAnsi="Times New Roman"/>
          <w:sz w:val="24"/>
          <w:szCs w:val="24"/>
        </w:rPr>
        <w:t xml:space="preserve">. </w:t>
      </w:r>
      <w:r w:rsidRPr="00CE2344">
        <w:rPr>
          <w:rFonts w:ascii="Times New Roman" w:hAnsi="Times New Roman"/>
          <w:sz w:val="24"/>
          <w:szCs w:val="24"/>
        </w:rPr>
        <w:t>Marse</w:t>
      </w:r>
      <w:r w:rsidR="00710228">
        <w:rPr>
          <w:rFonts w:ascii="Times New Roman" w:hAnsi="Times New Roman"/>
          <w:sz w:val="24"/>
          <w:szCs w:val="24"/>
        </w:rPr>
        <w:t>i</w:t>
      </w:r>
      <w:r w:rsidRPr="00CE2344">
        <w:rPr>
          <w:rFonts w:ascii="Times New Roman" w:hAnsi="Times New Roman"/>
          <w:sz w:val="24"/>
          <w:szCs w:val="24"/>
        </w:rPr>
        <w:t>ll</w:t>
      </w:r>
      <w:r w:rsidR="00710228">
        <w:rPr>
          <w:rFonts w:ascii="Times New Roman" w:hAnsi="Times New Roman"/>
          <w:sz w:val="24"/>
          <w:szCs w:val="24"/>
        </w:rPr>
        <w:t xml:space="preserve">e: </w:t>
      </w:r>
      <w:r w:rsidR="00710228" w:rsidRPr="00710228">
        <w:rPr>
          <w:rFonts w:ascii="Times New Roman" w:hAnsi="Times New Roman"/>
          <w:sz w:val="24"/>
          <w:szCs w:val="24"/>
        </w:rPr>
        <w:t>Société Française d’Étude de la Céramique Antique en Gaule</w:t>
      </w:r>
      <w:r w:rsidRPr="00CE2344">
        <w:rPr>
          <w:rFonts w:ascii="Times New Roman" w:hAnsi="Times New Roman"/>
          <w:sz w:val="24"/>
          <w:szCs w:val="24"/>
        </w:rPr>
        <w:t>, pp. 51-77.</w:t>
      </w:r>
    </w:p>
    <w:sectPr w:rsidR="00C41478" w:rsidRPr="0008486F" w:rsidSect="004D3A8E">
      <w:foot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743D" w:rsidRDefault="00D8743D" w:rsidP="0092782C">
      <w:pPr>
        <w:spacing w:after="0" w:line="240" w:lineRule="auto"/>
      </w:pPr>
      <w:r>
        <w:separator/>
      </w:r>
    </w:p>
  </w:endnote>
  <w:endnote w:type="continuationSeparator" w:id="0">
    <w:p w:rsidR="00D8743D" w:rsidRDefault="00D8743D" w:rsidP="00927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4549" w:rsidRDefault="00457718">
    <w:pPr>
      <w:pStyle w:val="Footer"/>
      <w:jc w:val="right"/>
    </w:pPr>
    <w:r>
      <w:fldChar w:fldCharType="begin"/>
    </w:r>
    <w:r w:rsidR="006E4549">
      <w:instrText>PAGE   \* MERGEFORMAT</w:instrText>
    </w:r>
    <w:r>
      <w:fldChar w:fldCharType="separate"/>
    </w:r>
    <w:r w:rsidR="001C08FE">
      <w:rPr>
        <w:noProof/>
      </w:rPr>
      <w:t>1</w:t>
    </w:r>
    <w:r>
      <w:rPr>
        <w:noProof/>
      </w:rPr>
      <w:fldChar w:fldCharType="end"/>
    </w:r>
  </w:p>
  <w:p w:rsidR="006E4549" w:rsidRDefault="006E454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743D" w:rsidRDefault="00D8743D" w:rsidP="0092782C">
      <w:pPr>
        <w:spacing w:after="0" w:line="240" w:lineRule="auto"/>
      </w:pPr>
      <w:r>
        <w:separator/>
      </w:r>
    </w:p>
  </w:footnote>
  <w:footnote w:type="continuationSeparator" w:id="0">
    <w:p w:rsidR="00D8743D" w:rsidRDefault="00D8743D" w:rsidP="0092782C">
      <w:pPr>
        <w:spacing w:after="0" w:line="240" w:lineRule="auto"/>
      </w:pPr>
      <w:r>
        <w:continuationSeparator/>
      </w:r>
    </w:p>
  </w:footnote>
  <w:footnote w:id="1">
    <w:p w:rsidR="006E4549" w:rsidRPr="003159AE" w:rsidRDefault="006E4549" w:rsidP="00C07D47">
      <w:pPr>
        <w:pStyle w:val="FootnoteText"/>
        <w:jc w:val="both"/>
        <w:rPr>
          <w:lang w:val="en-GB"/>
        </w:rPr>
      </w:pPr>
      <w:r>
        <w:rPr>
          <w:rStyle w:val="FootnoteReference"/>
        </w:rPr>
        <w:footnoteRef/>
      </w:r>
      <w:r>
        <w:rPr>
          <w:lang w:val="en-US"/>
        </w:rPr>
        <w:t xml:space="preserve"> </w:t>
      </w:r>
      <w:r w:rsidR="00060C0E" w:rsidRPr="00060C0E">
        <w:t>Este trabajo se publica con la autorización de José Remesal Rodríguez, I.P. del Proyecto EPNet</w:t>
      </w:r>
      <w:r w:rsidR="00060C0E">
        <w:rPr>
          <w:lang w:val="en-US"/>
        </w:rPr>
        <w:t xml:space="preserve">: </w:t>
      </w:r>
      <w:r>
        <w:rPr>
          <w:lang w:val="en-GB"/>
        </w:rPr>
        <w:t xml:space="preserve">European Research Council – 2013 – Advanced Grant 340828 EPNet (Production and Distribution of Food during the Roman Empire: Economics and Political Dynamics) </w:t>
      </w:r>
      <w:hyperlink r:id="rId1" w:history="1">
        <w:r>
          <w:rPr>
            <w:rStyle w:val="Hyperlink"/>
            <w:lang w:val="en-GB"/>
          </w:rPr>
          <w:t>http://www.roman-ep.net/</w:t>
        </w:r>
      </w:hyperlink>
    </w:p>
  </w:footnote>
  <w:footnote w:id="2">
    <w:p w:rsidR="006E4549" w:rsidRPr="007C11F7" w:rsidRDefault="006E4549" w:rsidP="00C07D47">
      <w:pPr>
        <w:pStyle w:val="BodyText"/>
        <w:spacing w:after="0"/>
        <w:jc w:val="both"/>
      </w:pPr>
      <w:r w:rsidRPr="003412C2">
        <w:rPr>
          <w:rStyle w:val="FootnoteReference"/>
          <w:sz w:val="20"/>
        </w:rPr>
        <w:footnoteRef/>
      </w:r>
      <w:r w:rsidRPr="006307AA">
        <w:rPr>
          <w:sz w:val="20"/>
          <w:lang w:val="fr-FR"/>
        </w:rPr>
        <w:t xml:space="preserve"> </w:t>
      </w:r>
      <w:r>
        <w:rPr>
          <w:sz w:val="20"/>
          <w:lang w:val="fr-FR"/>
        </w:rPr>
        <w:t xml:space="preserve">Marangou-Lerat, 1995; Martín-Arroyo </w:t>
      </w:r>
      <w:r w:rsidRPr="005E6CFB">
        <w:rPr>
          <w:i/>
          <w:sz w:val="20"/>
          <w:lang w:val="fr-FR"/>
        </w:rPr>
        <w:t>et al</w:t>
      </w:r>
      <w:r>
        <w:rPr>
          <w:sz w:val="20"/>
          <w:lang w:val="fr-FR"/>
        </w:rPr>
        <w:t>. 2017</w:t>
      </w:r>
      <w:r w:rsidRPr="007C11F7">
        <w:rPr>
          <w:sz w:val="20"/>
        </w:rPr>
        <w:t>.</w:t>
      </w:r>
    </w:p>
  </w:footnote>
  <w:footnote w:id="3">
    <w:p w:rsidR="006E4549" w:rsidRDefault="006E4549" w:rsidP="00C07D47">
      <w:pPr>
        <w:pStyle w:val="FootnoteText"/>
        <w:jc w:val="both"/>
      </w:pPr>
      <w:r>
        <w:rPr>
          <w:rStyle w:val="FootnoteReference"/>
        </w:rPr>
        <w:footnoteRef/>
      </w:r>
      <w:r>
        <w:t xml:space="preserve"> Aguilera</w:t>
      </w:r>
      <w:r w:rsidR="00607F00">
        <w:t>,</w:t>
      </w:r>
      <w:r>
        <w:t xml:space="preserve"> 2000: 1232.</w:t>
      </w:r>
    </w:p>
  </w:footnote>
  <w:footnote w:id="4">
    <w:p w:rsidR="006E4549" w:rsidRDefault="006E4549">
      <w:pPr>
        <w:pStyle w:val="FootnoteText"/>
      </w:pPr>
      <w:r>
        <w:rPr>
          <w:rStyle w:val="FootnoteReference"/>
        </w:rPr>
        <w:footnoteRef/>
      </w:r>
      <w:r>
        <w:t xml:space="preserve"> </w:t>
      </w:r>
      <w:r w:rsidRPr="00D101E7">
        <w:rPr>
          <w:i/>
        </w:rPr>
        <w:t>CIL</w:t>
      </w:r>
      <w:r>
        <w:t>, 6474.</w:t>
      </w:r>
    </w:p>
  </w:footnote>
  <w:footnote w:id="5">
    <w:p w:rsidR="006E4549" w:rsidRDefault="006E4549" w:rsidP="00C07D47">
      <w:pPr>
        <w:pStyle w:val="FootnoteText"/>
        <w:jc w:val="both"/>
      </w:pPr>
      <w:r>
        <w:rPr>
          <w:rStyle w:val="FootnoteReference"/>
        </w:rPr>
        <w:footnoteRef/>
      </w:r>
      <w:r>
        <w:t xml:space="preserve"> La denominación Conceptum se toma a partir de la expresión </w:t>
      </w:r>
      <w:r w:rsidRPr="004032DF">
        <w:rPr>
          <w:i/>
        </w:rPr>
        <w:t xml:space="preserve">mente concepta </w:t>
      </w:r>
      <w:r>
        <w:t xml:space="preserve">de </w:t>
      </w:r>
      <w:r w:rsidRPr="004032DF">
        <w:rPr>
          <w:smallCaps/>
        </w:rPr>
        <w:t>Quint</w:t>
      </w:r>
      <w:r>
        <w:t>.</w:t>
      </w:r>
      <w:r w:rsidRPr="004032DF">
        <w:rPr>
          <w:i/>
        </w:rPr>
        <w:t>Inst</w:t>
      </w:r>
      <w:r>
        <w:t>.8.5.2.</w:t>
      </w:r>
    </w:p>
  </w:footnote>
  <w:footnote w:id="6">
    <w:p w:rsidR="006E4549" w:rsidRDefault="006E4549" w:rsidP="00EF682D">
      <w:pPr>
        <w:pStyle w:val="FootnoteText"/>
        <w:jc w:val="both"/>
      </w:pPr>
      <w:r>
        <w:rPr>
          <w:rStyle w:val="FootnoteReference"/>
        </w:rPr>
        <w:footnoteRef/>
      </w:r>
      <w:r>
        <w:t xml:space="preserve"> Por ejemplo: </w:t>
      </w:r>
      <w:r w:rsidRPr="0061174F">
        <w:rPr>
          <w:i/>
        </w:rPr>
        <w:t>οινοϲ</w:t>
      </w:r>
      <w:r>
        <w:t xml:space="preserve"> en </w:t>
      </w:r>
      <w:r>
        <w:rPr>
          <w:i/>
        </w:rPr>
        <w:t>CIL,</w:t>
      </w:r>
      <w:r>
        <w:t xml:space="preserve"> 6505; </w:t>
      </w:r>
      <w:r w:rsidRPr="00AB4362">
        <w:rPr>
          <w:i/>
        </w:rPr>
        <w:t>Cret</w:t>
      </w:r>
      <w:r w:rsidRPr="00AB4362">
        <w:t>(icum)</w:t>
      </w:r>
      <w:r w:rsidRPr="00AB4362">
        <w:rPr>
          <w:i/>
        </w:rPr>
        <w:t xml:space="preserve"> </w:t>
      </w:r>
      <w:r w:rsidRPr="00AB4362">
        <w:t>/</w:t>
      </w:r>
      <w:r w:rsidRPr="00AB4362">
        <w:rPr>
          <w:i/>
        </w:rPr>
        <w:t xml:space="preserve"> exc</w:t>
      </w:r>
      <w:r w:rsidRPr="00AB4362">
        <w:t>(ellens)</w:t>
      </w:r>
      <w:r>
        <w:t xml:space="preserve"> en 5526; </w:t>
      </w:r>
      <w:r w:rsidRPr="0061174F">
        <w:rPr>
          <w:i/>
        </w:rPr>
        <w:t>Λυττιοϲ</w:t>
      </w:r>
      <w:r w:rsidRPr="0061174F">
        <w:t xml:space="preserve"> </w:t>
      </w:r>
      <w:r>
        <w:t>en 5596.</w:t>
      </w:r>
    </w:p>
  </w:footnote>
  <w:footnote w:id="7">
    <w:p w:rsidR="006E4549" w:rsidRDefault="006E4549">
      <w:pPr>
        <w:pStyle w:val="FootnoteText"/>
      </w:pPr>
      <w:r>
        <w:rPr>
          <w:rStyle w:val="FootnoteReference"/>
        </w:rPr>
        <w:footnoteRef/>
      </w:r>
      <w:r>
        <w:t xml:space="preserve"> </w:t>
      </w:r>
      <w:r w:rsidRPr="00D7062C">
        <w:rPr>
          <w:i/>
        </w:rPr>
        <w:t>CIL</w:t>
      </w:r>
      <w:r>
        <w:t>, 5804 y 10334. Panella</w:t>
      </w:r>
      <w:r w:rsidR="00521C7E">
        <w:t>,</w:t>
      </w:r>
      <w:r>
        <w:t xml:space="preserve"> 1976: 156 manifiesta dudas sobre la primera de estas inscripciones.</w:t>
      </w:r>
    </w:p>
  </w:footnote>
  <w:footnote w:id="8">
    <w:p w:rsidR="006E4549" w:rsidRDefault="006E4549">
      <w:pPr>
        <w:pStyle w:val="FootnoteText"/>
      </w:pPr>
      <w:r>
        <w:rPr>
          <w:rStyle w:val="FootnoteReference"/>
        </w:rPr>
        <w:footnoteRef/>
      </w:r>
      <w:r>
        <w:t xml:space="preserve"> </w:t>
      </w:r>
      <w:r w:rsidRPr="00033013">
        <w:rPr>
          <w:i/>
        </w:rPr>
        <w:t>CIL</w:t>
      </w:r>
      <w:r w:rsidRPr="00033013">
        <w:t>, 10414.</w:t>
      </w:r>
    </w:p>
  </w:footnote>
  <w:footnote w:id="9">
    <w:p w:rsidR="006E4549" w:rsidRDefault="006E4549" w:rsidP="00C07D47">
      <w:pPr>
        <w:pStyle w:val="FootnoteText"/>
        <w:jc w:val="both"/>
      </w:pPr>
      <w:r>
        <w:rPr>
          <w:rStyle w:val="FootnoteReference"/>
        </w:rPr>
        <w:footnoteRef/>
      </w:r>
      <w:r>
        <w:t xml:space="preserve"> Para los nombres griegos se ha empleado la versión web del </w:t>
      </w:r>
      <w:bookmarkStart w:id="1" w:name="OLE_LINK1"/>
      <w:r w:rsidRPr="00BB2AE6">
        <w:rPr>
          <w:i/>
        </w:rPr>
        <w:t>Lexico of Greek Personal Names</w:t>
      </w:r>
      <w:bookmarkEnd w:id="1"/>
      <w:r>
        <w:t xml:space="preserve"> (</w:t>
      </w:r>
      <w:r w:rsidRPr="006439EC">
        <w:rPr>
          <w:i/>
        </w:rPr>
        <w:t>LGPN</w:t>
      </w:r>
      <w:r>
        <w:t xml:space="preserve">). Para los nombres latinos se han empleado el </w:t>
      </w:r>
      <w:r w:rsidRPr="009447A5">
        <w:rPr>
          <w:i/>
        </w:rPr>
        <w:t>Onomasticon provinciarum Europae Latinae</w:t>
      </w:r>
      <w:r>
        <w:t xml:space="preserve"> (</w:t>
      </w:r>
      <w:r w:rsidRPr="00090A68">
        <w:rPr>
          <w:i/>
        </w:rPr>
        <w:t>OPEL</w:t>
      </w:r>
      <w:r>
        <w:t xml:space="preserve">), la Epigraphik-Datenbank Clauss-Slaby y la Epigraphic Database Heidelberg. Particularmente en el caso de los </w:t>
      </w:r>
      <w:r w:rsidRPr="009447A5">
        <w:rPr>
          <w:i/>
        </w:rPr>
        <w:t>praenomina</w:t>
      </w:r>
      <w:r>
        <w:t xml:space="preserve"> abreviados, se siguen las lecturas del listado ofrecido a tal efecto en el sitio web de Heidelberg.</w:t>
      </w:r>
    </w:p>
  </w:footnote>
  <w:footnote w:id="10">
    <w:p w:rsidR="006E4549" w:rsidRDefault="006E4549">
      <w:pPr>
        <w:pStyle w:val="FootnoteText"/>
      </w:pPr>
      <w:r>
        <w:rPr>
          <w:rStyle w:val="FootnoteReference"/>
        </w:rPr>
        <w:footnoteRef/>
      </w:r>
      <w:r>
        <w:t xml:space="preserve"> </w:t>
      </w:r>
      <w:r w:rsidRPr="006B51DE">
        <w:rPr>
          <w:i/>
        </w:rPr>
        <w:t>CIL</w:t>
      </w:r>
      <w:r>
        <w:t>, 9451 y 9549.</w:t>
      </w:r>
    </w:p>
  </w:footnote>
  <w:footnote w:id="11">
    <w:p w:rsidR="006E4549" w:rsidRDefault="006E4549" w:rsidP="00C07D47">
      <w:pPr>
        <w:pStyle w:val="FootnoteText"/>
        <w:jc w:val="both"/>
      </w:pPr>
      <w:r>
        <w:rPr>
          <w:rStyle w:val="FootnoteReference"/>
        </w:rPr>
        <w:footnoteRef/>
      </w:r>
      <w:r>
        <w:t xml:space="preserve"> La denominación Regestum se toma de la raíz etimológica del término “registro”, según la 23ª edición del </w:t>
      </w:r>
      <w:r w:rsidRPr="00614570">
        <w:rPr>
          <w:i/>
        </w:rPr>
        <w:t>Diccionario de la lengua española</w:t>
      </w:r>
      <w:r>
        <w:t>.</w:t>
      </w:r>
    </w:p>
  </w:footnote>
  <w:footnote w:id="12">
    <w:p w:rsidR="006E4549" w:rsidRPr="003A775D" w:rsidRDefault="006E4549" w:rsidP="00C07D47">
      <w:pPr>
        <w:pStyle w:val="FootnoteText"/>
        <w:jc w:val="both"/>
        <w:rPr>
          <w:lang w:val="es-ES_tradnl"/>
        </w:rPr>
      </w:pPr>
      <w:r>
        <w:rPr>
          <w:rStyle w:val="FootnoteReference"/>
        </w:rPr>
        <w:footnoteRef/>
      </w:r>
      <w:r>
        <w:t xml:space="preserve"> </w:t>
      </w:r>
      <w:r>
        <w:rPr>
          <w:i/>
          <w:lang w:val="es-ES_tradnl"/>
        </w:rPr>
        <w:t>CIL,</w:t>
      </w:r>
      <w:r>
        <w:rPr>
          <w:lang w:val="es-ES_tradnl"/>
        </w:rPr>
        <w:t xml:space="preserve"> 5957.</w:t>
      </w:r>
    </w:p>
  </w:footnote>
  <w:footnote w:id="13">
    <w:p w:rsidR="006E4549" w:rsidRDefault="006E4549" w:rsidP="00C07D47">
      <w:pPr>
        <w:pStyle w:val="FootnoteText"/>
        <w:jc w:val="both"/>
      </w:pPr>
      <w:r>
        <w:rPr>
          <w:rStyle w:val="FootnoteReference"/>
        </w:rPr>
        <w:footnoteRef/>
      </w:r>
      <w:r>
        <w:t xml:space="preserve"> Tipos anfóricos: AMP (ánfora indeterminada): </w:t>
      </w:r>
      <w:r>
        <w:rPr>
          <w:i/>
          <w:lang w:val="es-ES_tradnl"/>
        </w:rPr>
        <w:t>CIL,</w:t>
      </w:r>
      <w:r>
        <w:rPr>
          <w:lang w:val="es-ES_tradnl"/>
        </w:rPr>
        <w:t xml:space="preserve"> </w:t>
      </w:r>
      <w:r>
        <w:t xml:space="preserve">6942 y 9620-9621; PO008: 5955 y 5961; PO10: 5963; PO11: 5959; PO12: 5956 (una de dos ánforas), 5958, 5960, 5962, 5965-5966 y Giordano y Casale, 1991: n. 415-416 (un ánfora); PO12?: 5956 (una de dos ánforas); PO13: 5601; PO28: 5964. Colores asociados a las inscripciones: </w:t>
      </w:r>
      <w:r>
        <w:rPr>
          <w:i/>
        </w:rPr>
        <w:t>albus</w:t>
      </w:r>
      <w:r>
        <w:t xml:space="preserve"> (blanco): </w:t>
      </w:r>
      <w:r>
        <w:rPr>
          <w:i/>
          <w:lang w:val="es-ES_tradnl"/>
        </w:rPr>
        <w:t>CIL,</w:t>
      </w:r>
      <w:r>
        <w:rPr>
          <w:lang w:val="es-ES_tradnl"/>
        </w:rPr>
        <w:t xml:space="preserve"> </w:t>
      </w:r>
      <w:r>
        <w:t xml:space="preserve">5965; </w:t>
      </w:r>
      <w:r w:rsidRPr="00572718">
        <w:rPr>
          <w:i/>
        </w:rPr>
        <w:t>gilvus</w:t>
      </w:r>
      <w:r>
        <w:t xml:space="preserve"> (amarillo): 5957; </w:t>
      </w:r>
      <w:r w:rsidRPr="00572718">
        <w:rPr>
          <w:i/>
        </w:rPr>
        <w:t>nigrum</w:t>
      </w:r>
      <w:r>
        <w:t xml:space="preserve"> (negro): 9620-9621; </w:t>
      </w:r>
      <w:r w:rsidRPr="00572718">
        <w:rPr>
          <w:i/>
        </w:rPr>
        <w:t>rubrum</w:t>
      </w:r>
      <w:r>
        <w:t xml:space="preserve"> (rojo): 5958 y Giordano y Casale, 1991: n. 415-416 (un ánfora). En relación a la grafía, obsérvense las cinco diferentes representaciones de la letra </w:t>
      </w:r>
      <w:r w:rsidRPr="00572718">
        <w:t>A</w:t>
      </w:r>
      <w:r>
        <w:t xml:space="preserve"> en las transcripciones de </w:t>
      </w:r>
      <w:r>
        <w:rPr>
          <w:i/>
          <w:lang w:val="es-ES_tradnl"/>
        </w:rPr>
        <w:t>CIL,</w:t>
      </w:r>
      <w:r>
        <w:rPr>
          <w:lang w:val="es-ES_tradnl"/>
        </w:rPr>
        <w:t xml:space="preserve"> 5957-5960 y 5963.</w:t>
      </w:r>
    </w:p>
  </w:footnote>
  <w:footnote w:id="14">
    <w:p w:rsidR="006E4549" w:rsidRDefault="006E4549" w:rsidP="00833DFA">
      <w:pPr>
        <w:pStyle w:val="FootnoteText"/>
      </w:pPr>
      <w:r>
        <w:rPr>
          <w:rStyle w:val="FootnoteReference"/>
        </w:rPr>
        <w:footnoteRef/>
      </w:r>
      <w:r>
        <w:t xml:space="preserve"> </w:t>
      </w:r>
      <w:r w:rsidRPr="00103B93">
        <w:rPr>
          <w:i/>
        </w:rPr>
        <w:t>CIL</w:t>
      </w:r>
      <w:r>
        <w:t>, 5956 (una de dos ánforas), 5959, 6942, 6920-6921 y Giordano y Casale, 1991: n. 415-416 (un ánfora).</w:t>
      </w:r>
    </w:p>
  </w:footnote>
  <w:footnote w:id="15">
    <w:p w:rsidR="006E4549" w:rsidRDefault="006E4549" w:rsidP="00C07D47">
      <w:pPr>
        <w:pStyle w:val="FootnoteText"/>
        <w:jc w:val="both"/>
      </w:pPr>
      <w:r>
        <w:rPr>
          <w:rStyle w:val="FootnoteReference"/>
        </w:rPr>
        <w:footnoteRef/>
      </w:r>
      <w:r>
        <w:t xml:space="preserve"> </w:t>
      </w:r>
      <w:r w:rsidRPr="00103B93">
        <w:rPr>
          <w:i/>
        </w:rPr>
        <w:t>CIL</w:t>
      </w:r>
      <w:r>
        <w:t>, 5956 (dos ánforas), 5958-5960, 5962-5963 y 9621.</w:t>
      </w:r>
    </w:p>
  </w:footnote>
  <w:footnote w:id="16">
    <w:p w:rsidR="006E4549" w:rsidRDefault="006E4549" w:rsidP="00C07D47">
      <w:pPr>
        <w:pStyle w:val="FootnoteText"/>
        <w:jc w:val="both"/>
      </w:pPr>
      <w:r>
        <w:rPr>
          <w:rStyle w:val="FootnoteReference"/>
        </w:rPr>
        <w:footnoteRef/>
      </w:r>
      <w:r>
        <w:t xml:space="preserve"> </w:t>
      </w:r>
      <w:r>
        <w:rPr>
          <w:i/>
          <w:lang w:val="es-ES_tradnl"/>
        </w:rPr>
        <w:t>CIL,</w:t>
      </w:r>
      <w:r>
        <w:rPr>
          <w:lang w:val="es-ES_tradnl"/>
        </w:rPr>
        <w:t xml:space="preserve"> 5955.</w:t>
      </w:r>
    </w:p>
  </w:footnote>
  <w:footnote w:id="17">
    <w:p w:rsidR="006E4549" w:rsidRPr="00D86DEA" w:rsidRDefault="006E4549" w:rsidP="00C07D47">
      <w:pPr>
        <w:pStyle w:val="BodyText"/>
        <w:spacing w:after="0"/>
        <w:jc w:val="both"/>
        <w:rPr>
          <w:sz w:val="20"/>
        </w:rPr>
      </w:pPr>
      <w:r w:rsidRPr="00076E57">
        <w:rPr>
          <w:rStyle w:val="FootnoteReference"/>
          <w:sz w:val="20"/>
        </w:rPr>
        <w:footnoteRef/>
      </w:r>
      <w:r>
        <w:rPr>
          <w:sz w:val="20"/>
        </w:rPr>
        <w:t xml:space="preserve"> Andreau,</w:t>
      </w:r>
      <w:r w:rsidR="004E5005">
        <w:rPr>
          <w:sz w:val="20"/>
        </w:rPr>
        <w:t xml:space="preserve"> </w:t>
      </w:r>
      <w:r>
        <w:rPr>
          <w:sz w:val="20"/>
        </w:rPr>
        <w:t>1974: 238. No se han encontrado otras correspondencias en Castrén, 1983.</w:t>
      </w:r>
    </w:p>
  </w:footnote>
  <w:footnote w:id="18">
    <w:p w:rsidR="006E4549" w:rsidRDefault="006E4549" w:rsidP="00C07D47">
      <w:pPr>
        <w:pStyle w:val="FootnoteText"/>
        <w:jc w:val="both"/>
      </w:pPr>
      <w:r>
        <w:rPr>
          <w:rStyle w:val="FootnoteReference"/>
        </w:rPr>
        <w:footnoteRef/>
      </w:r>
      <w:r>
        <w:t xml:space="preserve"> </w:t>
      </w:r>
      <w:r w:rsidRPr="00103B93">
        <w:rPr>
          <w:i/>
        </w:rPr>
        <w:t>CIL</w:t>
      </w:r>
      <w:r>
        <w:t xml:space="preserve">, </w:t>
      </w:r>
      <w:r w:rsidRPr="00103B93">
        <w:rPr>
          <w:i/>
        </w:rPr>
        <w:t>Tabulae ceratae</w:t>
      </w:r>
      <w:r>
        <w:t>, CIV, 6 y CXIII, 10.</w:t>
      </w:r>
    </w:p>
  </w:footnote>
  <w:footnote w:id="19">
    <w:p w:rsidR="006E4549" w:rsidRPr="006E2C13" w:rsidRDefault="006E4549" w:rsidP="00C07D47">
      <w:pPr>
        <w:pStyle w:val="FootnoteText"/>
        <w:jc w:val="both"/>
      </w:pPr>
      <w:r>
        <w:rPr>
          <w:rStyle w:val="FootnoteReference"/>
        </w:rPr>
        <w:footnoteRef/>
      </w:r>
      <w:r>
        <w:t xml:space="preserve"> Una recopilación de los </w:t>
      </w:r>
      <w:r w:rsidRPr="00201ED9">
        <w:rPr>
          <w:i/>
        </w:rPr>
        <w:t>tituli picti</w:t>
      </w:r>
      <w:r>
        <w:t xml:space="preserve"> sobre </w:t>
      </w:r>
      <w:r w:rsidRPr="00201ED9">
        <w:rPr>
          <w:i/>
        </w:rPr>
        <w:t>urcei</w:t>
      </w:r>
      <w:r>
        <w:t xml:space="preserve"> y la bibliografía previa de R. I. Curtis en: Etienne y Mayet, 1991. Sobre la </w:t>
      </w:r>
      <w:r w:rsidRPr="0026286A">
        <w:rPr>
          <w:i/>
        </w:rPr>
        <w:t>gens</w:t>
      </w:r>
      <w:r>
        <w:t xml:space="preserve"> </w:t>
      </w:r>
      <w:r w:rsidRPr="00CC129E">
        <w:rPr>
          <w:i/>
        </w:rPr>
        <w:t>Umbricia</w:t>
      </w:r>
      <w:r>
        <w:t xml:space="preserve">: Berdowski, </w:t>
      </w:r>
      <w:r w:rsidRPr="00201ED9">
        <w:t>2008</w:t>
      </w:r>
      <w:r>
        <w:t>:</w:t>
      </w:r>
      <w:r w:rsidRPr="006E2C13">
        <w:t xml:space="preserve"> 253-255.</w:t>
      </w:r>
    </w:p>
  </w:footnote>
  <w:footnote w:id="20">
    <w:p w:rsidR="006E4549" w:rsidRPr="006E2C13" w:rsidRDefault="006E4549" w:rsidP="00C07D47">
      <w:pPr>
        <w:pStyle w:val="FootnoteText"/>
        <w:jc w:val="both"/>
      </w:pPr>
      <w:r>
        <w:rPr>
          <w:rStyle w:val="FootnoteReference"/>
        </w:rPr>
        <w:footnoteRef/>
      </w:r>
      <w:r w:rsidRPr="006E2C13">
        <w:t xml:space="preserve"> Curtis, 1984.</w:t>
      </w:r>
    </w:p>
  </w:footnote>
  <w:footnote w:id="21">
    <w:p w:rsidR="006E4549" w:rsidRDefault="006E4549" w:rsidP="00C07D47">
      <w:pPr>
        <w:pStyle w:val="FootnoteText"/>
        <w:jc w:val="both"/>
      </w:pPr>
      <w:r>
        <w:rPr>
          <w:rStyle w:val="FootnoteReference"/>
        </w:rPr>
        <w:footnoteRef/>
      </w:r>
      <w:r>
        <w:t xml:space="preserve"> </w:t>
      </w:r>
      <w:r>
        <w:rPr>
          <w:i/>
          <w:lang w:val="es-ES_tradnl"/>
        </w:rPr>
        <w:t>CIL,</w:t>
      </w:r>
      <w:r>
        <w:rPr>
          <w:lang w:val="es-ES_tradnl"/>
        </w:rPr>
        <w:t xml:space="preserve"> 5712.</w:t>
      </w:r>
    </w:p>
  </w:footnote>
  <w:footnote w:id="22">
    <w:p w:rsidR="006E4549" w:rsidRDefault="006E4549" w:rsidP="00C07D47">
      <w:pPr>
        <w:pStyle w:val="FootnoteText"/>
        <w:jc w:val="both"/>
      </w:pPr>
      <w:r>
        <w:rPr>
          <w:rStyle w:val="FootnoteReference"/>
        </w:rPr>
        <w:footnoteRef/>
      </w:r>
      <w:r>
        <w:t xml:space="preserve"> </w:t>
      </w:r>
      <w:r>
        <w:rPr>
          <w:i/>
          <w:lang w:val="es-ES_tradnl"/>
        </w:rPr>
        <w:t>CIL,</w:t>
      </w:r>
      <w:r>
        <w:rPr>
          <w:lang w:val="es-ES_tradnl"/>
        </w:rPr>
        <w:t xml:space="preserve"> 5959-5964.</w:t>
      </w:r>
    </w:p>
  </w:footnote>
  <w:footnote w:id="23">
    <w:p w:rsidR="006E4549" w:rsidRDefault="006E4549" w:rsidP="00C07D47">
      <w:pPr>
        <w:pStyle w:val="FootnoteText"/>
        <w:jc w:val="both"/>
      </w:pPr>
      <w:r>
        <w:rPr>
          <w:rStyle w:val="FootnoteReference"/>
        </w:rPr>
        <w:footnoteRef/>
      </w:r>
      <w:r>
        <w:t xml:space="preserve"> </w:t>
      </w:r>
      <w:r>
        <w:rPr>
          <w:i/>
          <w:lang w:val="es-ES_tradnl"/>
        </w:rPr>
        <w:t>CIL,</w:t>
      </w:r>
      <w:r>
        <w:rPr>
          <w:lang w:val="es-ES_tradnl"/>
        </w:rPr>
        <w:t xml:space="preserve"> 5960-5964. Véanse Παίων en </w:t>
      </w:r>
      <w:r w:rsidRPr="006439EC">
        <w:rPr>
          <w:i/>
          <w:lang w:val="es-ES_tradnl"/>
        </w:rPr>
        <w:t>LGPN</w:t>
      </w:r>
      <w:r w:rsidR="00160EFE">
        <w:rPr>
          <w:lang w:val="es-ES_tradnl"/>
        </w:rPr>
        <w:t>, entre otras variantes</w:t>
      </w:r>
      <w:r>
        <w:rPr>
          <w:lang w:val="es-ES_tradnl"/>
        </w:rPr>
        <w:t>.</w:t>
      </w:r>
    </w:p>
  </w:footnote>
  <w:footnote w:id="24">
    <w:p w:rsidR="006E4549" w:rsidRDefault="006E4549" w:rsidP="00C07D47">
      <w:pPr>
        <w:pStyle w:val="FootnoteText"/>
        <w:jc w:val="both"/>
      </w:pPr>
      <w:r>
        <w:rPr>
          <w:rStyle w:val="FootnoteReference"/>
        </w:rPr>
        <w:footnoteRef/>
      </w:r>
      <w:r>
        <w:t xml:space="preserve"> </w:t>
      </w:r>
      <w:r>
        <w:rPr>
          <w:i/>
          <w:lang w:val="es-ES_tradnl"/>
        </w:rPr>
        <w:t>CIL,</w:t>
      </w:r>
      <w:r>
        <w:rPr>
          <w:lang w:val="es-ES_tradnl"/>
        </w:rPr>
        <w:t xml:space="preserve"> 5959-5962. En 5961 aparece como </w:t>
      </w:r>
      <w:r w:rsidRPr="00091CFB">
        <w:rPr>
          <w:i/>
          <w:lang w:val="es-ES_tradnl"/>
        </w:rPr>
        <w:t>recentior</w:t>
      </w:r>
      <w:r>
        <w:rPr>
          <w:lang w:val="es-ES_tradnl"/>
        </w:rPr>
        <w:t xml:space="preserve"> </w:t>
      </w:r>
      <w:r w:rsidR="00160EFE">
        <w:rPr>
          <w:lang w:val="es-ES_tradnl"/>
        </w:rPr>
        <w:t>sobre</w:t>
      </w:r>
      <w:r>
        <w:rPr>
          <w:lang w:val="es-ES_tradnl"/>
        </w:rPr>
        <w:t xml:space="preserve"> </w:t>
      </w:r>
      <w:r w:rsidRPr="00CC129E">
        <w:rPr>
          <w:lang w:val="es-ES_tradnl"/>
        </w:rPr>
        <w:t>A V M</w:t>
      </w:r>
      <w:r>
        <w:rPr>
          <w:lang w:val="es-ES_tradnl"/>
        </w:rPr>
        <w:t>.</w:t>
      </w:r>
    </w:p>
  </w:footnote>
  <w:footnote w:id="25">
    <w:p w:rsidR="006E4549" w:rsidRDefault="006E4549" w:rsidP="00C07D47">
      <w:pPr>
        <w:pStyle w:val="FootnoteText"/>
        <w:jc w:val="both"/>
      </w:pPr>
      <w:r>
        <w:rPr>
          <w:rStyle w:val="FootnoteReference"/>
        </w:rPr>
        <w:footnoteRef/>
      </w:r>
      <w:r>
        <w:t xml:space="preserve"> Como ejemplo, obsérvese la reproducción de la titulatura del ánfora 10 en el </w:t>
      </w:r>
      <w:r w:rsidRPr="00E80044">
        <w:rPr>
          <w:i/>
        </w:rPr>
        <w:t>CIL</w:t>
      </w:r>
      <w:r>
        <w:t>.</w:t>
      </w:r>
    </w:p>
  </w:footnote>
  <w:footnote w:id="26">
    <w:p w:rsidR="006E4549" w:rsidRDefault="006E4549">
      <w:pPr>
        <w:pStyle w:val="FootnoteText"/>
      </w:pPr>
      <w:r>
        <w:rPr>
          <w:rStyle w:val="FootnoteReference"/>
        </w:rPr>
        <w:footnoteRef/>
      </w:r>
      <w:r>
        <w:t xml:space="preserve"> Panellla, 1976: 155; Giordano y Casale, 1991; Marangou-Lerat, 1995; Berry, 1997: 122; Timby, 2004: figs. 6.3 y 6.6; Ehmig, 2007: 227, abb. 2a-b; Casaramona </w:t>
      </w:r>
      <w:r w:rsidRPr="00577C55">
        <w:rPr>
          <w:i/>
        </w:rPr>
        <w:t>et al</w:t>
      </w:r>
      <w:r>
        <w:t>., 2010: 116 y 120; Rizzo, 2014: 325-326.</w:t>
      </w:r>
    </w:p>
  </w:footnote>
  <w:footnote w:id="27">
    <w:p w:rsidR="006E4549" w:rsidRDefault="006E4549" w:rsidP="00C07D47">
      <w:pPr>
        <w:pStyle w:val="FootnoteText"/>
        <w:jc w:val="both"/>
      </w:pPr>
      <w:r>
        <w:rPr>
          <w:rStyle w:val="FootnoteReference"/>
        </w:rPr>
        <w:footnoteRef/>
      </w:r>
      <w:r>
        <w:t xml:space="preserve"> </w:t>
      </w:r>
      <w:r>
        <w:rPr>
          <w:i/>
          <w:lang w:val="es-ES_tradnl"/>
        </w:rPr>
        <w:t>CIL,</w:t>
      </w:r>
      <w:r>
        <w:rPr>
          <w:lang w:val="es-ES_tradnl"/>
        </w:rPr>
        <w:t xml:space="preserve"> 2630, 2648 y 10331.</w:t>
      </w:r>
    </w:p>
  </w:footnote>
  <w:footnote w:id="28">
    <w:p w:rsidR="006E4549" w:rsidRDefault="006E4549" w:rsidP="00C07D47">
      <w:pPr>
        <w:pStyle w:val="FootnoteText"/>
        <w:jc w:val="both"/>
      </w:pPr>
      <w:r>
        <w:rPr>
          <w:rStyle w:val="FootnoteReference"/>
        </w:rPr>
        <w:footnoteRef/>
      </w:r>
      <w:r>
        <w:t xml:space="preserve"> </w:t>
      </w:r>
      <w:r>
        <w:rPr>
          <w:i/>
          <w:lang w:val="es-ES_tradnl"/>
        </w:rPr>
        <w:t>CIL,</w:t>
      </w:r>
      <w:r>
        <w:rPr>
          <w:lang w:val="es-ES_tradnl"/>
        </w:rPr>
        <w:t xml:space="preserve"> 6151, donde otra posible transcripción es </w:t>
      </w:r>
      <w:r w:rsidRPr="00CC129E">
        <w:rPr>
          <w:lang w:val="es-ES_tradnl"/>
        </w:rPr>
        <w:t>ϹΛΑ</w:t>
      </w:r>
      <w:r>
        <w:rPr>
          <w:lang w:val="es-ES_tradnl"/>
        </w:rPr>
        <w:t xml:space="preserve">, estando impresa la A de manera inequívoca en la edición </w:t>
      </w:r>
      <w:r w:rsidRPr="007877AE">
        <w:rPr>
          <w:i/>
          <w:lang w:val="es-ES_tradnl"/>
        </w:rPr>
        <w:t>CIL</w:t>
      </w:r>
      <w:r>
        <w:rPr>
          <w:lang w:val="es-ES_tradnl"/>
        </w:rPr>
        <w:t xml:space="preserve">. La presencia de otras cifras latinas asociadas decanta la lectura hacia una versión latina de estas letras. Otra posible lectura es </w:t>
      </w:r>
      <w:r w:rsidRPr="00CC129E">
        <w:rPr>
          <w:lang w:val="es-ES_tradnl"/>
        </w:rPr>
        <w:t>CM</w:t>
      </w:r>
      <w:r>
        <w:rPr>
          <w:lang w:val="es-ES_tradnl"/>
        </w:rPr>
        <w:t>.</w:t>
      </w:r>
    </w:p>
  </w:footnote>
  <w:footnote w:id="29">
    <w:p w:rsidR="006E4549" w:rsidRDefault="006E4549" w:rsidP="00C07D47">
      <w:pPr>
        <w:pStyle w:val="FootnoteText"/>
        <w:jc w:val="both"/>
      </w:pPr>
      <w:r>
        <w:rPr>
          <w:rStyle w:val="FootnoteReference"/>
        </w:rPr>
        <w:footnoteRef/>
      </w:r>
      <w:r>
        <w:t xml:space="preserve"> Panella 1976: 155, nota 29: “Esemplare 1099 della Casa del Citarista [I, 4, 5 y 25] (…) Esemplare I</w:t>
      </w:r>
      <w:r w:rsidRPr="0066559F">
        <w:t>scrizione in bianco a grosse lettere (h. lettere 7 cm) sulla spalla, da leggere probabilmente C Λ A. Non trova confronti precisi sul C.I.L., IV</w:t>
      </w:r>
      <w:r>
        <w:t>”</w:t>
      </w:r>
      <w:r w:rsidRPr="0066559F">
        <w:t>.</w:t>
      </w:r>
      <w:r>
        <w:t xml:space="preserve"> En esta misma obra se presentan imágenes del ánfora (</w:t>
      </w:r>
      <w:r w:rsidRPr="00532D60">
        <w:rPr>
          <w:i/>
        </w:rPr>
        <w:t>tav</w:t>
      </w:r>
      <w:r>
        <w:t xml:space="preserve">. XLIII,1), posteriormente clasificada como AC2a en Marangou-Lerat 1995: 79 y fig. 58g. El </w:t>
      </w:r>
      <w:r w:rsidRPr="00532D60">
        <w:rPr>
          <w:i/>
        </w:rPr>
        <w:t>titulus</w:t>
      </w:r>
      <w:r>
        <w:t xml:space="preserve"> podría leerse como la cifra griega </w:t>
      </w:r>
      <w:r w:rsidRPr="00CC129E">
        <w:t>ϹΛΑ</w:t>
      </w:r>
      <w:r>
        <w:t xml:space="preserve"> {231}. En ausencia de una copia de la inscripción, no se propone transcripción alternativa.</w:t>
      </w:r>
    </w:p>
  </w:footnote>
  <w:footnote w:id="30">
    <w:p w:rsidR="006E4549" w:rsidRPr="006E2C13" w:rsidRDefault="006E4549" w:rsidP="00C07D47">
      <w:pPr>
        <w:pStyle w:val="FootnoteText"/>
        <w:jc w:val="both"/>
      </w:pPr>
      <w:r>
        <w:rPr>
          <w:rStyle w:val="FootnoteReference"/>
        </w:rPr>
        <w:footnoteRef/>
      </w:r>
      <w:r w:rsidRPr="006E2C13">
        <w:t xml:space="preserve"> </w:t>
      </w:r>
      <w:r>
        <w:rPr>
          <w:i/>
        </w:rPr>
        <w:t>CIL,</w:t>
      </w:r>
      <w:r w:rsidRPr="006E2C13">
        <w:t xml:space="preserve"> 5585.</w:t>
      </w:r>
    </w:p>
  </w:footnote>
  <w:footnote w:id="31">
    <w:p w:rsidR="006E4549" w:rsidRPr="006E2C13" w:rsidRDefault="006E4549" w:rsidP="00C07D47">
      <w:pPr>
        <w:spacing w:after="0"/>
        <w:jc w:val="both"/>
        <w:rPr>
          <w:rFonts w:ascii="Times New Roman" w:hAnsi="Times New Roman"/>
          <w:sz w:val="20"/>
          <w:szCs w:val="20"/>
        </w:rPr>
      </w:pPr>
      <w:r w:rsidRPr="00BD7E11">
        <w:rPr>
          <w:rStyle w:val="FootnoteReference"/>
          <w:rFonts w:ascii="Times New Roman" w:hAnsi="Times New Roman"/>
          <w:sz w:val="20"/>
          <w:szCs w:val="20"/>
        </w:rPr>
        <w:footnoteRef/>
      </w:r>
      <w:r w:rsidRPr="00BD7E11">
        <w:rPr>
          <w:rFonts w:ascii="Times New Roman" w:hAnsi="Times New Roman"/>
          <w:sz w:val="20"/>
          <w:szCs w:val="20"/>
        </w:rPr>
        <w:t xml:space="preserve"> </w:t>
      </w:r>
      <w:r w:rsidRPr="006E2C13">
        <w:rPr>
          <w:rFonts w:ascii="Times New Roman" w:hAnsi="Times New Roman"/>
          <w:sz w:val="20"/>
          <w:szCs w:val="20"/>
        </w:rPr>
        <w:t>Day, 1932: 206.</w:t>
      </w:r>
    </w:p>
  </w:footnote>
  <w:footnote w:id="32">
    <w:p w:rsidR="006E4549" w:rsidRPr="006E2C13" w:rsidRDefault="006E4549" w:rsidP="00C07D47">
      <w:pPr>
        <w:pStyle w:val="FootnoteText"/>
        <w:jc w:val="both"/>
      </w:pPr>
      <w:r w:rsidRPr="002B1798">
        <w:rPr>
          <w:rStyle w:val="FootnoteReference"/>
        </w:rPr>
        <w:footnoteRef/>
      </w:r>
      <w:r>
        <w:t xml:space="preserve"> Castrén, 1983: n. 35, 1-8</w:t>
      </w:r>
      <w:r w:rsidRPr="006E2C13">
        <w:t>.</w:t>
      </w:r>
    </w:p>
  </w:footnote>
  <w:footnote w:id="33">
    <w:p w:rsidR="006E4549" w:rsidRPr="006E2C13" w:rsidRDefault="006E4549" w:rsidP="00C07D47">
      <w:pPr>
        <w:pStyle w:val="FootnoteText"/>
        <w:jc w:val="both"/>
      </w:pPr>
      <w:r>
        <w:rPr>
          <w:rStyle w:val="FootnoteReference"/>
        </w:rPr>
        <w:footnoteRef/>
      </w:r>
      <w:r w:rsidRPr="006E2C13">
        <w:t xml:space="preserve"> Peña, 2007: 241.</w:t>
      </w:r>
    </w:p>
  </w:footnote>
  <w:footnote w:id="34">
    <w:p w:rsidR="006E4549" w:rsidRDefault="006E4549" w:rsidP="00C07D47">
      <w:pPr>
        <w:pStyle w:val="FootnoteText"/>
        <w:jc w:val="both"/>
      </w:pPr>
      <w:r>
        <w:rPr>
          <w:rStyle w:val="FootnoteReference"/>
        </w:rPr>
        <w:footnoteRef/>
      </w:r>
      <w:r>
        <w:t xml:space="preserve"> Sogliano,</w:t>
      </w:r>
      <w:r w:rsidRPr="00790AD5">
        <w:rPr>
          <w:i/>
        </w:rPr>
        <w:t xml:space="preserve"> </w:t>
      </w:r>
      <w:r>
        <w:t xml:space="preserve">1884: 432 propone la </w:t>
      </w:r>
      <w:r w:rsidR="0055717A">
        <w:t>transcripción</w:t>
      </w:r>
      <w:r>
        <w:t xml:space="preserve"> TILO?</w:t>
      </w:r>
    </w:p>
  </w:footnote>
  <w:footnote w:id="35">
    <w:p w:rsidR="006E4549" w:rsidRDefault="006E4549" w:rsidP="00C07D47">
      <w:pPr>
        <w:pStyle w:val="FootnoteText"/>
        <w:jc w:val="both"/>
      </w:pPr>
      <w:r>
        <w:rPr>
          <w:rStyle w:val="FootnoteReference"/>
        </w:rPr>
        <w:footnoteRef/>
      </w:r>
      <w:r>
        <w:t xml:space="preserve"> Brizio, 1872: 162, n. 181 propone la </w:t>
      </w:r>
      <w:r w:rsidR="0055717A">
        <w:t>transcripción</w:t>
      </w:r>
      <w:r>
        <w:t xml:space="preserve"> T I C T, al igual que COM para la siguiente línea.</w:t>
      </w:r>
    </w:p>
  </w:footnote>
  <w:footnote w:id="36">
    <w:p w:rsidR="006E4549" w:rsidRDefault="006E4549" w:rsidP="00C07D47">
      <w:pPr>
        <w:pStyle w:val="FootnoteText"/>
        <w:jc w:val="both"/>
      </w:pPr>
      <w:r>
        <w:rPr>
          <w:rStyle w:val="FootnoteReference"/>
        </w:rPr>
        <w:footnoteRef/>
      </w:r>
      <w:r>
        <w:t xml:space="preserve"> </w:t>
      </w:r>
      <w:r w:rsidRPr="000C7149">
        <w:rPr>
          <w:i/>
        </w:rPr>
        <w:t>OPEL</w:t>
      </w:r>
      <w:r>
        <w:t xml:space="preserve">, IV, p. 122 ofrece la referencia </w:t>
      </w:r>
      <w:r w:rsidRPr="000C7149">
        <w:rPr>
          <w:i/>
        </w:rPr>
        <w:t>Tic</w:t>
      </w:r>
      <w:r>
        <w:t xml:space="preserve">[] como cognomen masculino a partir de </w:t>
      </w:r>
      <w:r w:rsidRPr="000C7149">
        <w:rPr>
          <w:i/>
        </w:rPr>
        <w:t>CIL</w:t>
      </w:r>
      <w:r>
        <w:t xml:space="preserve">, III, 14214. Por otro lado, el </w:t>
      </w:r>
      <w:r w:rsidRPr="0055717A">
        <w:rPr>
          <w:i/>
        </w:rPr>
        <w:t>nomen Ticconia</w:t>
      </w:r>
      <w:r>
        <w:t xml:space="preserve"> (</w:t>
      </w:r>
      <w:r w:rsidRPr="000C7149">
        <w:rPr>
          <w:i/>
        </w:rPr>
        <w:t>CIL</w:t>
      </w:r>
      <w:r>
        <w:t>, II, 2874) podría relacionarse con la sigla del ejemplar 11.</w:t>
      </w:r>
    </w:p>
  </w:footnote>
  <w:footnote w:id="37">
    <w:p w:rsidR="006E4549" w:rsidRDefault="006E4549" w:rsidP="00C07D47">
      <w:pPr>
        <w:pStyle w:val="FootnoteText"/>
        <w:jc w:val="both"/>
      </w:pPr>
      <w:r>
        <w:rPr>
          <w:rStyle w:val="FootnoteReference"/>
        </w:rPr>
        <w:footnoteRef/>
      </w:r>
      <w:r>
        <w:t xml:space="preserve"> Castrén, 1983: n. 124, 4 (</w:t>
      </w:r>
      <w:r w:rsidRPr="00103B93">
        <w:rPr>
          <w:i/>
        </w:rPr>
        <w:t>CIL</w:t>
      </w:r>
      <w:r>
        <w:t xml:space="preserve"> 4051). Se trata de uno de los cinco miembros reconocidos de los </w:t>
      </w:r>
      <w:r w:rsidRPr="005426CF">
        <w:rPr>
          <w:i/>
        </w:rPr>
        <w:t>Cominii</w:t>
      </w:r>
      <w:r>
        <w:t xml:space="preserve">, documentado a partir de un grafito parietal en V, 1, 18. En </w:t>
      </w:r>
      <w:r w:rsidRPr="008E6DC8">
        <w:rPr>
          <w:i/>
        </w:rPr>
        <w:t>OPEL</w:t>
      </w:r>
      <w:r>
        <w:t xml:space="preserve">, II, p. 70, </w:t>
      </w:r>
      <w:r w:rsidRPr="005426CF">
        <w:rPr>
          <w:i/>
        </w:rPr>
        <w:t>Cominius</w:t>
      </w:r>
      <w:r>
        <w:t xml:space="preserve"> aparece como </w:t>
      </w:r>
      <w:r w:rsidRPr="008E6DC8">
        <w:rPr>
          <w:i/>
        </w:rPr>
        <w:t>nomen</w:t>
      </w:r>
      <w:r>
        <w:t xml:space="preserve"> y </w:t>
      </w:r>
      <w:r w:rsidRPr="008E6DC8">
        <w:rPr>
          <w:i/>
        </w:rPr>
        <w:t>cognomen</w:t>
      </w:r>
      <w:r>
        <w:t xml:space="preserve"> en múltiples casos. </w:t>
      </w:r>
      <w:r w:rsidRPr="005426CF">
        <w:rPr>
          <w:i/>
        </w:rPr>
        <w:t>Olithus</w:t>
      </w:r>
      <w:r>
        <w:t xml:space="preserve"> aparece en una segunda línea del epígrafe. </w:t>
      </w:r>
      <w:r w:rsidRPr="00023117">
        <w:rPr>
          <w:i/>
        </w:rPr>
        <w:t>OPEL</w:t>
      </w:r>
      <w:r>
        <w:t xml:space="preserve">, III, p. 112, recoge el </w:t>
      </w:r>
      <w:r w:rsidRPr="005426CF">
        <w:rPr>
          <w:i/>
        </w:rPr>
        <w:t>Olitius</w:t>
      </w:r>
      <w:r>
        <w:t xml:space="preserve"> como </w:t>
      </w:r>
      <w:r w:rsidRPr="008E6DC8">
        <w:rPr>
          <w:i/>
        </w:rPr>
        <w:t>nomen</w:t>
      </w:r>
      <w:r>
        <w:t xml:space="preserve"> (</w:t>
      </w:r>
      <w:r w:rsidRPr="00023117">
        <w:rPr>
          <w:i/>
        </w:rPr>
        <w:t>CIL</w:t>
      </w:r>
      <w:r>
        <w:t>, XII, 4406 y 4515; Gallia Narbonense).</w:t>
      </w:r>
    </w:p>
  </w:footnote>
  <w:footnote w:id="38">
    <w:p w:rsidR="006E4549" w:rsidRDefault="006E4549" w:rsidP="00C07D47">
      <w:pPr>
        <w:pStyle w:val="FootnoteText"/>
        <w:jc w:val="both"/>
      </w:pPr>
      <w:r>
        <w:rPr>
          <w:rStyle w:val="FootnoteReference"/>
        </w:rPr>
        <w:footnoteRef/>
      </w:r>
      <w:r>
        <w:t xml:space="preserve"> </w:t>
      </w:r>
      <w:r>
        <w:rPr>
          <w:i/>
        </w:rPr>
        <w:t>CIL,</w:t>
      </w:r>
      <w:r>
        <w:t xml:space="preserve"> 5894.</w:t>
      </w:r>
    </w:p>
  </w:footnote>
  <w:footnote w:id="39">
    <w:p w:rsidR="006E4549" w:rsidRPr="001914AC" w:rsidRDefault="006E4549" w:rsidP="00C07D47">
      <w:pPr>
        <w:pStyle w:val="FootnoteText"/>
        <w:jc w:val="both"/>
      </w:pPr>
      <w:r>
        <w:rPr>
          <w:rStyle w:val="FootnoteReference"/>
        </w:rPr>
        <w:footnoteRef/>
      </w:r>
      <w:r>
        <w:t xml:space="preserve"> Este nombre aparece transcrito de esta forma en </w:t>
      </w:r>
      <w:r w:rsidRPr="00891B60">
        <w:rPr>
          <w:rFonts w:eastAsia="Times New Roman"/>
          <w:i/>
          <w:color w:val="000000"/>
        </w:rPr>
        <w:t>ILS</w:t>
      </w:r>
      <w:r>
        <w:rPr>
          <w:rFonts w:eastAsia="Times New Roman"/>
          <w:color w:val="000000"/>
        </w:rPr>
        <w:t>, 9447</w:t>
      </w:r>
      <w:r w:rsidRPr="001914AC">
        <w:rPr>
          <w:rFonts w:eastAsia="Times New Roman"/>
          <w:color w:val="000000"/>
        </w:rPr>
        <w:t xml:space="preserve"> y </w:t>
      </w:r>
      <w:r w:rsidRPr="001914AC">
        <w:rPr>
          <w:rFonts w:eastAsia="Times New Roman"/>
          <w:i/>
          <w:color w:val="000000"/>
        </w:rPr>
        <w:t>AE</w:t>
      </w:r>
      <w:r w:rsidRPr="001914AC">
        <w:rPr>
          <w:rFonts w:eastAsia="Times New Roman"/>
          <w:color w:val="000000"/>
        </w:rPr>
        <w:t>, 1906, 77.</w:t>
      </w:r>
      <w:r>
        <w:rPr>
          <w:rFonts w:eastAsia="Times New Roman"/>
          <w:color w:val="000000"/>
        </w:rPr>
        <w:t xml:space="preserve"> Los </w:t>
      </w:r>
      <w:r w:rsidRPr="005426CF">
        <w:rPr>
          <w:rFonts w:eastAsia="Times New Roman"/>
          <w:i/>
          <w:color w:val="000000"/>
        </w:rPr>
        <w:t>Terentii</w:t>
      </w:r>
      <w:r>
        <w:rPr>
          <w:rFonts w:eastAsia="Times New Roman"/>
          <w:color w:val="000000"/>
        </w:rPr>
        <w:t xml:space="preserve"> están bien representados en el registro pompeyano: Castrén, 1983: 402, 1-15.</w:t>
      </w:r>
    </w:p>
  </w:footnote>
  <w:footnote w:id="40">
    <w:p w:rsidR="006E4549" w:rsidRPr="00851433" w:rsidRDefault="006E4549" w:rsidP="00C07D47">
      <w:pPr>
        <w:pStyle w:val="FootnoteText"/>
        <w:jc w:val="both"/>
      </w:pPr>
      <w:r w:rsidRPr="00851433">
        <w:rPr>
          <w:rStyle w:val="FootnoteReference"/>
        </w:rPr>
        <w:footnoteRef/>
      </w:r>
      <w:r>
        <w:t xml:space="preserve"> Marangou-Lerat, 1995: 154;</w:t>
      </w:r>
      <w:r w:rsidRPr="00851433">
        <w:t xml:space="preserve"> </w:t>
      </w:r>
      <w:r w:rsidRPr="00851433">
        <w:rPr>
          <w:lang w:val="fr-FR"/>
        </w:rPr>
        <w:t>Ƚ</w:t>
      </w:r>
      <w:r>
        <w:rPr>
          <w:lang w:val="fr-FR"/>
        </w:rPr>
        <w:t xml:space="preserve">os, </w:t>
      </w:r>
      <w:r w:rsidRPr="00851433">
        <w:rPr>
          <w:lang w:val="fr-FR"/>
        </w:rPr>
        <w:t>1997</w:t>
      </w:r>
      <w:r>
        <w:rPr>
          <w:lang w:val="fr-FR"/>
        </w:rPr>
        <w:t>:</w:t>
      </w:r>
      <w:r>
        <w:t xml:space="preserve"> 66. Otros </w:t>
      </w:r>
      <w:r w:rsidRPr="00CC129E">
        <w:rPr>
          <w:i/>
        </w:rPr>
        <w:t>Ti. Ti. Claudii</w:t>
      </w:r>
      <w:r>
        <w:t xml:space="preserve"> de </w:t>
      </w:r>
      <w:r w:rsidRPr="009746B4">
        <w:rPr>
          <w:i/>
        </w:rPr>
        <w:t>Pompeii</w:t>
      </w:r>
      <w:r>
        <w:t xml:space="preserve"> en Della Corte, 1954: 341-343.</w:t>
      </w:r>
    </w:p>
  </w:footnote>
  <w:footnote w:id="41">
    <w:p w:rsidR="006E4549" w:rsidRPr="00065590" w:rsidRDefault="006E4549" w:rsidP="00C07D47">
      <w:pPr>
        <w:pStyle w:val="FootnoteText"/>
        <w:jc w:val="both"/>
      </w:pPr>
      <w:r>
        <w:rPr>
          <w:rStyle w:val="FootnoteReference"/>
        </w:rPr>
        <w:footnoteRef/>
      </w:r>
      <w:r>
        <w:t xml:space="preserve"> </w:t>
      </w:r>
      <w:r w:rsidRPr="00065590">
        <w:t>Τι. Κ. Ἐπαφρό</w:t>
      </w:r>
      <w:r>
        <w:t xml:space="preserve">διτος se ha identificado como posible habitante de la </w:t>
      </w:r>
      <w:r w:rsidRPr="00881BE6">
        <w:rPr>
          <w:i/>
        </w:rPr>
        <w:t>caupona</w:t>
      </w:r>
      <w:r>
        <w:t xml:space="preserve"> IX, 7, 23 a partir del hallazgo del sello </w:t>
      </w:r>
      <w:r w:rsidRPr="00BA2E71">
        <w:rPr>
          <w:bCs/>
          <w:i/>
          <w:color w:val="000000"/>
          <w:lang w:val="it-IT"/>
        </w:rPr>
        <w:t>Ti. C</w:t>
      </w:r>
      <w:r w:rsidRPr="000B2F85">
        <w:rPr>
          <w:bCs/>
          <w:color w:val="000000"/>
          <w:lang w:val="it-IT"/>
        </w:rPr>
        <w:t>(laudius)</w:t>
      </w:r>
      <w:r w:rsidRPr="00BA2E71">
        <w:rPr>
          <w:bCs/>
          <w:i/>
          <w:color w:val="000000"/>
          <w:lang w:val="it-IT"/>
        </w:rPr>
        <w:t xml:space="preserve"> Ep</w:t>
      </w:r>
      <w:r w:rsidRPr="000B2F85">
        <w:rPr>
          <w:bCs/>
          <w:color w:val="000000"/>
          <w:lang w:val="it-IT"/>
        </w:rPr>
        <w:t>(aphroditus)</w:t>
      </w:r>
      <w:r w:rsidRPr="00065590">
        <w:rPr>
          <w:bCs/>
          <w:color w:val="000000"/>
          <w:lang w:val="it-IT"/>
        </w:rPr>
        <w:t> </w:t>
      </w:r>
      <w:r>
        <w:rPr>
          <w:rStyle w:val="apple-converted-space"/>
          <w:bCs/>
          <w:color w:val="000000"/>
          <w:lang w:val="it-IT"/>
        </w:rPr>
        <w:t>(</w:t>
      </w:r>
      <w:r w:rsidRPr="00BA2E71">
        <w:rPr>
          <w:bCs/>
          <w:i/>
          <w:color w:val="000000"/>
          <w:lang w:val="it-IT"/>
        </w:rPr>
        <w:t>CIL</w:t>
      </w:r>
      <w:r>
        <w:rPr>
          <w:bCs/>
          <w:color w:val="000000"/>
          <w:lang w:val="it-IT"/>
        </w:rPr>
        <w:t xml:space="preserve">, X, 8058,9) y una inscripción sobre un ánfora (no referida por Della Corte). Véase </w:t>
      </w:r>
      <w:r>
        <w:t xml:space="preserve">Della Corte, </w:t>
      </w:r>
      <w:r w:rsidRPr="00065590">
        <w:rPr>
          <w:color w:val="000000"/>
        </w:rPr>
        <w:t>1954</w:t>
      </w:r>
      <w:r>
        <w:rPr>
          <w:color w:val="000000"/>
        </w:rPr>
        <w:t xml:space="preserve">: p. 163, S. 27. </w:t>
      </w:r>
      <w:r>
        <w:rPr>
          <w:bCs/>
          <w:color w:val="000000"/>
          <w:lang w:val="it-IT"/>
        </w:rPr>
        <w:t>Este n</w:t>
      </w:r>
      <w:r w:rsidR="000B2F85">
        <w:rPr>
          <w:bCs/>
          <w:color w:val="000000"/>
          <w:lang w:val="it-IT"/>
        </w:rPr>
        <w:t>ombre está presente en 1</w:t>
      </w:r>
      <w:r w:rsidR="00D936D5">
        <w:rPr>
          <w:bCs/>
          <w:color w:val="000000"/>
          <w:lang w:val="it-IT"/>
        </w:rPr>
        <w:t>2</w:t>
      </w:r>
      <w:r w:rsidR="000B2F85">
        <w:rPr>
          <w:bCs/>
          <w:color w:val="000000"/>
          <w:lang w:val="it-IT"/>
        </w:rPr>
        <w:t xml:space="preserve"> PO08 en </w:t>
      </w:r>
      <w:r>
        <w:rPr>
          <w:bCs/>
          <w:i/>
          <w:color w:val="000000"/>
          <w:lang w:val="it-IT"/>
        </w:rPr>
        <w:t>CIL,</w:t>
      </w:r>
      <w:r>
        <w:rPr>
          <w:bCs/>
          <w:color w:val="000000"/>
          <w:lang w:val="it-IT"/>
        </w:rPr>
        <w:t xml:space="preserve"> 6408</w:t>
      </w:r>
      <w:r w:rsidR="000B2F85">
        <w:rPr>
          <w:bCs/>
          <w:color w:val="000000"/>
          <w:lang w:val="it-IT"/>
        </w:rPr>
        <w:t xml:space="preserve"> (7 ánforas)</w:t>
      </w:r>
      <w:r>
        <w:rPr>
          <w:bCs/>
          <w:color w:val="000000"/>
          <w:lang w:val="it-IT"/>
        </w:rPr>
        <w:t>, 104</w:t>
      </w:r>
      <w:r w:rsidR="00D936D5">
        <w:rPr>
          <w:bCs/>
          <w:color w:val="000000"/>
          <w:lang w:val="it-IT"/>
        </w:rPr>
        <w:t>43, 1044</w:t>
      </w:r>
      <w:r>
        <w:rPr>
          <w:bCs/>
          <w:color w:val="000000"/>
          <w:lang w:val="it-IT"/>
        </w:rPr>
        <w:t>4</w:t>
      </w:r>
      <w:r w:rsidR="000B2F85">
        <w:rPr>
          <w:bCs/>
          <w:color w:val="000000"/>
          <w:lang w:val="it-IT"/>
        </w:rPr>
        <w:t xml:space="preserve"> (3 ánforas)</w:t>
      </w:r>
      <w:r w:rsidR="00D936D5">
        <w:rPr>
          <w:bCs/>
          <w:color w:val="000000"/>
          <w:lang w:val="it-IT"/>
        </w:rPr>
        <w:t>, 1088</w:t>
      </w:r>
      <w:r w:rsidR="000B2F85">
        <w:rPr>
          <w:bCs/>
          <w:color w:val="000000"/>
          <w:lang w:val="it-IT"/>
        </w:rPr>
        <w:t>9</w:t>
      </w:r>
      <w:r w:rsidR="00880B57">
        <w:rPr>
          <w:bCs/>
          <w:color w:val="000000"/>
          <w:lang w:val="it-IT"/>
        </w:rPr>
        <w:t xml:space="preserve"> (</w:t>
      </w:r>
      <w:r w:rsidR="00880B57" w:rsidRPr="00880B57">
        <w:rPr>
          <w:bCs/>
          <w:i/>
          <w:color w:val="000000"/>
          <w:lang w:val="it-IT"/>
        </w:rPr>
        <w:t>Herculanum</w:t>
      </w:r>
      <w:r w:rsidR="00880B57">
        <w:rPr>
          <w:bCs/>
          <w:color w:val="000000"/>
          <w:lang w:val="it-IT"/>
        </w:rPr>
        <w:t>)</w:t>
      </w:r>
      <w:r>
        <w:rPr>
          <w:bCs/>
          <w:color w:val="000000"/>
          <w:lang w:val="it-IT"/>
        </w:rPr>
        <w:t xml:space="preserve"> </w:t>
      </w:r>
      <w:r w:rsidR="00D936D5">
        <w:rPr>
          <w:bCs/>
          <w:color w:val="000000"/>
          <w:lang w:val="it-IT"/>
        </w:rPr>
        <w:t>y otra ánfora de tipo incierto en 10890</w:t>
      </w:r>
      <w:r w:rsidR="00880B57">
        <w:rPr>
          <w:bCs/>
          <w:color w:val="000000"/>
          <w:lang w:val="it-IT"/>
        </w:rPr>
        <w:t xml:space="preserve"> (</w:t>
      </w:r>
      <w:r w:rsidR="00880B57" w:rsidRPr="00880B57">
        <w:rPr>
          <w:bCs/>
          <w:i/>
          <w:color w:val="000000"/>
          <w:lang w:val="it-IT"/>
        </w:rPr>
        <w:t>Herculanum</w:t>
      </w:r>
      <w:r w:rsidR="00880B57">
        <w:rPr>
          <w:bCs/>
          <w:color w:val="000000"/>
          <w:lang w:val="it-IT"/>
        </w:rPr>
        <w:t>)</w:t>
      </w:r>
      <w:r>
        <w:rPr>
          <w:bCs/>
          <w:color w:val="000000"/>
          <w:lang w:val="it-IT"/>
        </w:rPr>
        <w:t>.</w:t>
      </w:r>
    </w:p>
  </w:footnote>
  <w:footnote w:id="42">
    <w:p w:rsidR="006E4549" w:rsidRDefault="006E4549" w:rsidP="00C07D47">
      <w:pPr>
        <w:pStyle w:val="FootnoteText"/>
        <w:jc w:val="both"/>
      </w:pPr>
      <w:r>
        <w:rPr>
          <w:rStyle w:val="FootnoteReference"/>
        </w:rPr>
        <w:footnoteRef/>
      </w:r>
      <w:r>
        <w:t xml:space="preserve"> Los </w:t>
      </w:r>
      <w:r w:rsidRPr="00B335F9">
        <w:rPr>
          <w:i/>
        </w:rPr>
        <w:t>exemplaria</w:t>
      </w:r>
      <w:r>
        <w:t xml:space="preserve"> se utilizaron en el comercio de cereales a muy diversas escalas. La brevedad del epígrafe </w:t>
      </w:r>
      <w:r>
        <w:rPr>
          <w:i/>
        </w:rPr>
        <w:t>CIL,</w:t>
      </w:r>
      <w:r>
        <w:t xml:space="preserve"> 5894 contrasta con </w:t>
      </w:r>
      <w:r>
        <w:rPr>
          <w:i/>
        </w:rPr>
        <w:t>CIL,</w:t>
      </w:r>
      <w:r>
        <w:t xml:space="preserve"> 9591, otra muestra de un cargamento que procedería de África. Para una lectura crítica del último documento, véase Marichal, 1975: 524-527, fig. 2 y pl. II. Sobre los </w:t>
      </w:r>
      <w:r w:rsidRPr="004B7668">
        <w:rPr>
          <w:i/>
        </w:rPr>
        <w:t>exemplaria</w:t>
      </w:r>
      <w:r>
        <w:t xml:space="preserve"> y la interpretación de </w:t>
      </w:r>
      <w:r>
        <w:rPr>
          <w:i/>
        </w:rPr>
        <w:t>CIL,</w:t>
      </w:r>
      <w:r>
        <w:t xml:space="preserve"> 9591, véase: Liou y Morel, 1977: 195. Los anteriores autores transmiten una lectura errónea de 25.200 </w:t>
      </w:r>
      <w:r w:rsidRPr="004B7668">
        <w:rPr>
          <w:i/>
        </w:rPr>
        <w:t>modii</w:t>
      </w:r>
      <w:r>
        <w:t xml:space="preserve"> para </w:t>
      </w:r>
      <w:r>
        <w:rPr>
          <w:i/>
        </w:rPr>
        <w:t>CIL,</w:t>
      </w:r>
      <w:r>
        <w:t xml:space="preserve"> 9591. No obstante, la cantidad de 15.200 </w:t>
      </w:r>
      <w:r w:rsidRPr="004B7668">
        <w:rPr>
          <w:i/>
        </w:rPr>
        <w:t>modii</w:t>
      </w:r>
      <w:r>
        <w:t xml:space="preserve"> también podría ser evidencia de un comercio transmarino, dado el tipo y volumen de la embarcación que requeriría. Se añade además el argumento de la </w:t>
      </w:r>
      <w:r w:rsidRPr="004B7668">
        <w:rPr>
          <w:i/>
        </w:rPr>
        <w:t>domo Clupeis</w:t>
      </w:r>
      <w:r>
        <w:t xml:space="preserve"> del </w:t>
      </w:r>
      <w:r w:rsidRPr="004B7668">
        <w:rPr>
          <w:i/>
        </w:rPr>
        <w:t>mag</w:t>
      </w:r>
      <w:r w:rsidRPr="000B2F85">
        <w:t>(ister navis)</w:t>
      </w:r>
      <w:r>
        <w:t xml:space="preserve">. Por su parte, el soporte de </w:t>
      </w:r>
      <w:r>
        <w:rPr>
          <w:i/>
        </w:rPr>
        <w:t>CIL,</w:t>
      </w:r>
      <w:r>
        <w:t xml:space="preserve"> 5894 es una PO31, similar a la forma Dressel 35, que remite a las formas anfóricas egeas. </w:t>
      </w:r>
    </w:p>
  </w:footnote>
  <w:footnote w:id="43">
    <w:p w:rsidR="006E4549" w:rsidRDefault="006E4549" w:rsidP="00C07D47">
      <w:pPr>
        <w:pStyle w:val="FootnoteText"/>
        <w:jc w:val="both"/>
      </w:pPr>
      <w:r>
        <w:rPr>
          <w:rStyle w:val="FootnoteReference"/>
        </w:rPr>
        <w:footnoteRef/>
      </w:r>
      <w:r>
        <w:t xml:space="preserve"> Véanse las formas AC3 y 4 de Marangou-Lerat, 1995: 82 y 84.</w:t>
      </w:r>
    </w:p>
  </w:footnote>
  <w:footnote w:id="44">
    <w:p w:rsidR="006E4549" w:rsidRPr="007732D8" w:rsidRDefault="006E4549" w:rsidP="00C07D47">
      <w:pPr>
        <w:autoSpaceDE w:val="0"/>
        <w:autoSpaceDN w:val="0"/>
        <w:adjustRightInd w:val="0"/>
        <w:spacing w:after="0" w:line="240" w:lineRule="auto"/>
        <w:jc w:val="both"/>
        <w:rPr>
          <w:rFonts w:ascii="Times New Roman" w:hAnsi="Times New Roman"/>
          <w:sz w:val="20"/>
          <w:szCs w:val="20"/>
        </w:rPr>
      </w:pPr>
      <w:r w:rsidRPr="007732D8">
        <w:rPr>
          <w:rStyle w:val="FootnoteReference"/>
          <w:rFonts w:ascii="Times New Roman" w:hAnsi="Times New Roman"/>
          <w:sz w:val="20"/>
          <w:szCs w:val="20"/>
        </w:rPr>
        <w:footnoteRef/>
      </w:r>
      <w:r w:rsidRPr="007732D8">
        <w:rPr>
          <w:rFonts w:ascii="Times New Roman" w:hAnsi="Times New Roman"/>
          <w:sz w:val="20"/>
          <w:szCs w:val="20"/>
        </w:rPr>
        <w:t xml:space="preserve"> </w:t>
      </w:r>
      <w:r>
        <w:rPr>
          <w:rFonts w:ascii="Times New Roman" w:hAnsi="Times New Roman"/>
          <w:sz w:val="20"/>
          <w:szCs w:val="20"/>
        </w:rPr>
        <w:t xml:space="preserve">Véanse las particularidades de la propuesta sobre las formas asociadas a esta </w:t>
      </w:r>
      <w:r w:rsidR="00743C4B">
        <w:rPr>
          <w:rFonts w:ascii="Times New Roman" w:hAnsi="Times New Roman"/>
          <w:sz w:val="20"/>
          <w:szCs w:val="20"/>
        </w:rPr>
        <w:t xml:space="preserve">última </w:t>
      </w:r>
      <w:r>
        <w:rPr>
          <w:rFonts w:ascii="Times New Roman" w:hAnsi="Times New Roman"/>
          <w:sz w:val="20"/>
          <w:szCs w:val="20"/>
        </w:rPr>
        <w:t xml:space="preserve">zona productora en </w:t>
      </w:r>
      <w:r w:rsidRPr="007732D8">
        <w:rPr>
          <w:rFonts w:ascii="Times New Roman" w:hAnsi="Times New Roman"/>
          <w:sz w:val="20"/>
          <w:szCs w:val="20"/>
        </w:rPr>
        <w:t>Empereur</w:t>
      </w:r>
      <w:r>
        <w:rPr>
          <w:rFonts w:ascii="Times New Roman" w:hAnsi="Times New Roman"/>
          <w:sz w:val="20"/>
          <w:szCs w:val="20"/>
        </w:rPr>
        <w:t xml:space="preserve"> y Picon, </w:t>
      </w:r>
      <w:r w:rsidRPr="007732D8">
        <w:rPr>
          <w:rFonts w:ascii="Times New Roman" w:hAnsi="Times New Roman"/>
          <w:sz w:val="20"/>
          <w:szCs w:val="20"/>
        </w:rPr>
        <w:t>1989</w:t>
      </w:r>
      <w:r>
        <w:rPr>
          <w:rFonts w:ascii="Times New Roman" w:hAnsi="Times New Roman"/>
          <w:sz w:val="20"/>
          <w:szCs w:val="20"/>
        </w:rPr>
        <w:t>: 230-232; Rizzo, 2014:</w:t>
      </w:r>
      <w:r w:rsidR="00743C4B">
        <w:rPr>
          <w:rFonts w:ascii="Times New Roman" w:hAnsi="Times New Roman"/>
          <w:sz w:val="20"/>
          <w:szCs w:val="20"/>
        </w:rPr>
        <w:t xml:space="preserve"> 339; Komar, 2016: 158-160.</w:t>
      </w:r>
    </w:p>
  </w:footnote>
  <w:footnote w:id="45">
    <w:p w:rsidR="006E4549" w:rsidRDefault="006E4549" w:rsidP="00C07D47">
      <w:pPr>
        <w:pStyle w:val="FootnoteText"/>
        <w:jc w:val="both"/>
      </w:pPr>
      <w:r>
        <w:rPr>
          <w:rStyle w:val="FootnoteReference"/>
        </w:rPr>
        <w:footnoteRef/>
      </w:r>
      <w:r>
        <w:t xml:space="preserve"> Peña 2007: tab. 5, incluye esta ánfora en su grupo 5. La sigla </w:t>
      </w:r>
      <w:r w:rsidRPr="005426CF">
        <w:rPr>
          <w:i/>
        </w:rPr>
        <w:t>L. A. A.</w:t>
      </w:r>
      <w:r>
        <w:t xml:space="preserve"> aparece junto a otros </w:t>
      </w:r>
      <w:r w:rsidRPr="0098773B">
        <w:rPr>
          <w:i/>
        </w:rPr>
        <w:t>tria nomina</w:t>
      </w:r>
      <w:r>
        <w:t xml:space="preserve"> abreviados en 17 casos (tab. 6), sobre todo en PO11 (tab. 1-5). Este contexto refuerza la interpretación de </w:t>
      </w:r>
      <w:r w:rsidRPr="00E452E3">
        <w:rPr>
          <w:i/>
        </w:rPr>
        <w:t>CAR</w:t>
      </w:r>
      <w:r>
        <w:t xml:space="preserve"> como </w:t>
      </w:r>
      <w:r w:rsidRPr="00E452E3">
        <w:rPr>
          <w:i/>
        </w:rPr>
        <w:t>tria nomina</w:t>
      </w:r>
      <w:r>
        <w:t>.</w:t>
      </w:r>
    </w:p>
  </w:footnote>
  <w:footnote w:id="46">
    <w:p w:rsidR="006E4549" w:rsidRPr="006E2C13" w:rsidRDefault="006E4549" w:rsidP="00C07D47">
      <w:pPr>
        <w:pStyle w:val="FootnoteText"/>
        <w:jc w:val="both"/>
      </w:pPr>
      <w:r>
        <w:rPr>
          <w:rStyle w:val="FootnoteReference"/>
        </w:rPr>
        <w:footnoteRef/>
      </w:r>
      <w:r w:rsidRPr="006E2C13">
        <w:t xml:space="preserve"> </w:t>
      </w:r>
      <w:r>
        <w:t xml:space="preserve">Brizio, 1872: </w:t>
      </w:r>
      <w:r w:rsidRPr="006E2C13">
        <w:t xml:space="preserve">162, n. 181. </w:t>
      </w:r>
    </w:p>
  </w:footnote>
  <w:footnote w:id="47">
    <w:p w:rsidR="006E4549" w:rsidRDefault="006E4549" w:rsidP="00C07D47">
      <w:pPr>
        <w:pStyle w:val="FootnoteText"/>
        <w:jc w:val="both"/>
      </w:pPr>
      <w:r>
        <w:rPr>
          <w:rStyle w:val="FootnoteReference"/>
        </w:rPr>
        <w:footnoteRef/>
      </w:r>
      <w:r>
        <w:t xml:space="preserve"> Existen algunos </w:t>
      </w:r>
      <w:r w:rsidRPr="00413D84">
        <w:rPr>
          <w:i/>
        </w:rPr>
        <w:t>concepta</w:t>
      </w:r>
      <w:r>
        <w:t xml:space="preserve"> iniciados por </w:t>
      </w:r>
      <w:r w:rsidRPr="00743C4B">
        <w:t>COM</w:t>
      </w:r>
      <w:r>
        <w:t xml:space="preserve">, ninguno se ha estimado como posible paralelo. </w:t>
      </w:r>
      <w:r>
        <w:rPr>
          <w:i/>
        </w:rPr>
        <w:t>CIL,</w:t>
      </w:r>
      <w:r>
        <w:t xml:space="preserve"> 5575-5576, 5814, 9322 y 9492.</w:t>
      </w:r>
    </w:p>
  </w:footnote>
  <w:footnote w:id="48">
    <w:p w:rsidR="006E4549" w:rsidRDefault="006E4549" w:rsidP="00C07D47">
      <w:pPr>
        <w:pStyle w:val="FootnoteText"/>
        <w:jc w:val="both"/>
      </w:pPr>
      <w:r>
        <w:rPr>
          <w:rStyle w:val="FootnoteReference"/>
        </w:rPr>
        <w:footnoteRef/>
      </w:r>
      <w:r>
        <w:t xml:space="preserve"> Forma AMP: </w:t>
      </w:r>
      <w:r>
        <w:rPr>
          <w:i/>
        </w:rPr>
        <w:t>CIL,</w:t>
      </w:r>
      <w:r>
        <w:t xml:space="preserve"> 2725 y </w:t>
      </w:r>
      <w:r w:rsidR="00743C4B">
        <w:t xml:space="preserve">2849; PO08: 9811 y 10463-10465; </w:t>
      </w:r>
      <w:r>
        <w:t>PO10: 6546 (cinco ánforas)-6550, 7006 y 9812 (dos ánforas).</w:t>
      </w:r>
    </w:p>
  </w:footnote>
  <w:footnote w:id="49">
    <w:p w:rsidR="006E4549" w:rsidRDefault="006E4549" w:rsidP="00C07D47">
      <w:pPr>
        <w:pStyle w:val="FootnoteText"/>
        <w:jc w:val="both"/>
      </w:pPr>
      <w:r>
        <w:rPr>
          <w:rStyle w:val="FootnoteReference"/>
        </w:rPr>
        <w:footnoteRef/>
      </w:r>
      <w:r>
        <w:t xml:space="preserve"> La lectura exacta de estos </w:t>
      </w:r>
      <w:r w:rsidRPr="00E35881">
        <w:rPr>
          <w:i/>
        </w:rPr>
        <w:t>tituli</w:t>
      </w:r>
      <w:r>
        <w:t xml:space="preserve"> depende de las posibilidades ofrecidas por la declinación de las distintas variantes de los nombres femeninos Σεραπίς y Δώρα. En este último caso, las ofrecidas por el masculino Δωρας. Véanse las variantes e inscripciones asociadas en </w:t>
      </w:r>
      <w:r w:rsidRPr="00592702">
        <w:rPr>
          <w:i/>
        </w:rPr>
        <w:t>LGPN</w:t>
      </w:r>
      <w:r>
        <w:t xml:space="preserve">. Debe destacarse que esta base de datos remite a dos inscripciones para el femenino Σεραπίς, ambas del ámbito de </w:t>
      </w:r>
      <w:r w:rsidRPr="00F12D14">
        <w:rPr>
          <w:i/>
        </w:rPr>
        <w:t>Puteoli</w:t>
      </w:r>
      <w:r>
        <w:t>-</w:t>
      </w:r>
      <w:r w:rsidRPr="00F12D14">
        <w:rPr>
          <w:i/>
        </w:rPr>
        <w:t>Misenum</w:t>
      </w:r>
      <w:r>
        <w:t xml:space="preserve"> (</w:t>
      </w:r>
      <w:r w:rsidRPr="00592702">
        <w:rPr>
          <w:i/>
        </w:rPr>
        <w:t>CIL</w:t>
      </w:r>
      <w:r>
        <w:t xml:space="preserve">, X, 2107 y 3507). La importancia portuaria de este entorno debe relacionarse con el abastecimiento de </w:t>
      </w:r>
      <w:r w:rsidRPr="00592702">
        <w:rPr>
          <w:i/>
        </w:rPr>
        <w:t>Pompeii</w:t>
      </w:r>
      <w:r>
        <w:t xml:space="preserve"> y, por tanto, con la epigrafía anfórica. Por otro lado, el </w:t>
      </w:r>
      <w:r w:rsidRPr="00592702">
        <w:rPr>
          <w:i/>
        </w:rPr>
        <w:t>cognomen</w:t>
      </w:r>
      <w:r>
        <w:t xml:space="preserve"> Δώρα aparece asociado a la </w:t>
      </w:r>
      <w:r w:rsidRPr="00C34CB3">
        <w:rPr>
          <w:i/>
        </w:rPr>
        <w:t>gens</w:t>
      </w:r>
      <w:r>
        <w:t xml:space="preserve"> </w:t>
      </w:r>
      <w:r w:rsidRPr="005426CF">
        <w:rPr>
          <w:i/>
        </w:rPr>
        <w:t>Sentia</w:t>
      </w:r>
      <w:r>
        <w:t xml:space="preserve"> (</w:t>
      </w:r>
      <w:r w:rsidRPr="00592702">
        <w:rPr>
          <w:i/>
        </w:rPr>
        <w:t>CIL</w:t>
      </w:r>
      <w:r>
        <w:t xml:space="preserve">, X, 3507), implicada en el comercio de ultramar según el aludido caso de </w:t>
      </w:r>
      <w:r w:rsidRPr="005426CF">
        <w:rPr>
          <w:i/>
        </w:rPr>
        <w:t>Cn. Sentius Homerus</w:t>
      </w:r>
      <w:r>
        <w:t xml:space="preserve"> (</w:t>
      </w:r>
      <w:r>
        <w:rPr>
          <w:i/>
        </w:rPr>
        <w:t>CIL,</w:t>
      </w:r>
      <w:r>
        <w:t xml:space="preserve"> 5894).</w:t>
      </w:r>
    </w:p>
  </w:footnote>
  <w:footnote w:id="50">
    <w:p w:rsidR="006E4549" w:rsidRDefault="006E4549" w:rsidP="00C07D47">
      <w:pPr>
        <w:pStyle w:val="FootnoteText"/>
        <w:jc w:val="both"/>
      </w:pPr>
      <w:r>
        <w:rPr>
          <w:rStyle w:val="FootnoteReference"/>
        </w:rPr>
        <w:footnoteRef/>
      </w:r>
      <w:r>
        <w:t xml:space="preserve"> </w:t>
      </w:r>
      <w:r>
        <w:rPr>
          <w:i/>
        </w:rPr>
        <w:t>CIL,</w:t>
      </w:r>
      <w:r>
        <w:t xml:space="preserve"> 2725 y 2849.</w:t>
      </w:r>
    </w:p>
  </w:footnote>
  <w:footnote w:id="51">
    <w:p w:rsidR="006E4549" w:rsidRDefault="006E4549" w:rsidP="00C07D47">
      <w:pPr>
        <w:pStyle w:val="FootnoteText"/>
        <w:jc w:val="both"/>
      </w:pPr>
      <w:r>
        <w:rPr>
          <w:rStyle w:val="FootnoteReference"/>
        </w:rPr>
        <w:footnoteRef/>
      </w:r>
      <w:r>
        <w:t xml:space="preserve"> </w:t>
      </w:r>
      <w:r>
        <w:rPr>
          <w:i/>
        </w:rPr>
        <w:t>CIL,</w:t>
      </w:r>
      <w:r>
        <w:t xml:space="preserve"> 2725 y 6550. Véase el caso de Λιχμέας en </w:t>
      </w:r>
      <w:r w:rsidRPr="00311A54">
        <w:rPr>
          <w:i/>
        </w:rPr>
        <w:t>LGPN</w:t>
      </w:r>
      <w:r>
        <w:t>, V3a-6831.</w:t>
      </w:r>
    </w:p>
  </w:footnote>
  <w:footnote w:id="52">
    <w:p w:rsidR="006E4549" w:rsidRPr="00391066" w:rsidRDefault="006E4549" w:rsidP="00391066">
      <w:pPr>
        <w:pStyle w:val="FootnoteText"/>
      </w:pPr>
      <w:r>
        <w:rPr>
          <w:rStyle w:val="FootnoteReference"/>
        </w:rPr>
        <w:footnoteRef/>
      </w:r>
      <w:r>
        <w:t xml:space="preserve"> </w:t>
      </w:r>
      <w:r>
        <w:rPr>
          <w:i/>
        </w:rPr>
        <w:t>CIL,</w:t>
      </w:r>
      <w:r>
        <w:t xml:space="preserve"> 9812.</w:t>
      </w:r>
    </w:p>
  </w:footnote>
  <w:footnote w:id="53">
    <w:p w:rsidR="006E4549" w:rsidRDefault="006E4549" w:rsidP="00C07D47">
      <w:pPr>
        <w:pStyle w:val="FootnoteText"/>
        <w:jc w:val="both"/>
      </w:pPr>
      <w:r>
        <w:rPr>
          <w:rStyle w:val="FootnoteReference"/>
        </w:rPr>
        <w:footnoteRef/>
      </w:r>
      <w:r>
        <w:t xml:space="preserve"> </w:t>
      </w:r>
      <w:r>
        <w:rPr>
          <w:i/>
        </w:rPr>
        <w:t>CIL,</w:t>
      </w:r>
      <w:r>
        <w:t xml:space="preserve"> 2725 y 7006. Otras posibles siglas </w:t>
      </w:r>
      <w:r w:rsidRPr="00341280">
        <w:rPr>
          <w:i/>
        </w:rPr>
        <w:t>P. A. C.</w:t>
      </w:r>
      <w:r>
        <w:t xml:space="preserve"> sobre PO10 en 6132 (</w:t>
      </w:r>
      <w:r>
        <w:rPr>
          <w:i/>
        </w:rPr>
        <w:t>albus</w:t>
      </w:r>
      <w:r>
        <w:t>) y 10423 (</w:t>
      </w:r>
      <w:r w:rsidRPr="008418A5">
        <w:rPr>
          <w:i/>
        </w:rPr>
        <w:t>atramentum</w:t>
      </w:r>
      <w:r>
        <w:t xml:space="preserve">). Posible </w:t>
      </w:r>
      <w:r w:rsidRPr="00341280">
        <w:rPr>
          <w:i/>
        </w:rPr>
        <w:t>P. A. Co.</w:t>
      </w:r>
      <w:r>
        <w:t xml:space="preserve"> (</w:t>
      </w:r>
      <w:r w:rsidRPr="0043542D">
        <w:rPr>
          <w:i/>
        </w:rPr>
        <w:t>nigrum</w:t>
      </w:r>
      <w:r>
        <w:t>) sobre PO12 en 9487.</w:t>
      </w:r>
    </w:p>
  </w:footnote>
  <w:footnote w:id="54">
    <w:p w:rsidR="006E4549" w:rsidRPr="006E2C13" w:rsidRDefault="006E4549" w:rsidP="00C07D47">
      <w:pPr>
        <w:pStyle w:val="FootnoteText"/>
        <w:jc w:val="both"/>
      </w:pPr>
      <w:r>
        <w:rPr>
          <w:rStyle w:val="FootnoteReference"/>
        </w:rPr>
        <w:footnoteRef/>
      </w:r>
      <w:r w:rsidRPr="006E2C13">
        <w:t xml:space="preserve"> Sogliano, 1898: 501.</w:t>
      </w:r>
    </w:p>
  </w:footnote>
  <w:footnote w:id="55">
    <w:p w:rsidR="006E4549" w:rsidRPr="00CE547D" w:rsidRDefault="006E4549" w:rsidP="00CE547D">
      <w:pPr>
        <w:pStyle w:val="FootnoteText"/>
      </w:pPr>
      <w:r>
        <w:rPr>
          <w:rStyle w:val="FootnoteReference"/>
        </w:rPr>
        <w:footnoteRef/>
      </w:r>
      <w:r>
        <w:t xml:space="preserve"> Forma AMP: </w:t>
      </w:r>
      <w:r w:rsidRPr="00CE547D">
        <w:rPr>
          <w:i/>
        </w:rPr>
        <w:t>CIL</w:t>
      </w:r>
      <w:r>
        <w:t>, 7005; PO04: 5938; PO08: 5979 (dos ánforas), 6303, 6943, 10475 y 10895</w:t>
      </w:r>
      <w:r w:rsidR="00880B57">
        <w:t xml:space="preserve"> (</w:t>
      </w:r>
      <w:r w:rsidR="00880B57" w:rsidRPr="00880B57">
        <w:rPr>
          <w:i/>
        </w:rPr>
        <w:t>Herculanum</w:t>
      </w:r>
      <w:r w:rsidR="00880B57">
        <w:t>)</w:t>
      </w:r>
      <w:r>
        <w:t>; PO08-10: 9539 (una de tres ánforas); PO09: 9473; PO11: 6363; PO12: 6005 y 7002; PO13: 10403 (una de dos ánforas) y 10442; PO36: 6385.</w:t>
      </w:r>
    </w:p>
  </w:footnote>
  <w:footnote w:id="56">
    <w:p w:rsidR="006E4549" w:rsidRPr="00FB4CEB" w:rsidRDefault="006E4549">
      <w:pPr>
        <w:pStyle w:val="FootnoteText"/>
      </w:pPr>
      <w:r>
        <w:rPr>
          <w:rStyle w:val="FootnoteReference"/>
        </w:rPr>
        <w:footnoteRef/>
      </w:r>
      <w:r>
        <w:t xml:space="preserve"> </w:t>
      </w:r>
      <w:r w:rsidRPr="00CE547D">
        <w:rPr>
          <w:i/>
        </w:rPr>
        <w:t>CIL</w:t>
      </w:r>
      <w:r>
        <w:t>, 5979 (dos ánforas) y 6943.</w:t>
      </w:r>
    </w:p>
  </w:footnote>
  <w:footnote w:id="57">
    <w:p w:rsidR="006E4549" w:rsidRDefault="006E4549" w:rsidP="00C07D47">
      <w:pPr>
        <w:pStyle w:val="FootnoteText"/>
        <w:jc w:val="both"/>
      </w:pPr>
      <w:r>
        <w:rPr>
          <w:rStyle w:val="FootnoteReference"/>
        </w:rPr>
        <w:footnoteRef/>
      </w:r>
      <w:r>
        <w:t xml:space="preserve"> Véanse las copias de los </w:t>
      </w:r>
      <w:r w:rsidRPr="00F97E52">
        <w:rPr>
          <w:i/>
        </w:rPr>
        <w:t>tituli</w:t>
      </w:r>
      <w:r>
        <w:t xml:space="preserve"> en </w:t>
      </w:r>
      <w:r>
        <w:rPr>
          <w:i/>
        </w:rPr>
        <w:t>CIL,</w:t>
      </w:r>
      <w:r>
        <w:t xml:space="preserve"> 5978-5979, 6354-6355, 6941 y 6943.</w:t>
      </w:r>
    </w:p>
  </w:footnote>
  <w:footnote w:id="58">
    <w:p w:rsidR="006E4549" w:rsidRDefault="006E4549" w:rsidP="00C07D47">
      <w:pPr>
        <w:pStyle w:val="FootnoteText"/>
        <w:jc w:val="both"/>
      </w:pPr>
      <w:r>
        <w:rPr>
          <w:rStyle w:val="FootnoteReference"/>
        </w:rPr>
        <w:footnoteRef/>
      </w:r>
      <w:r>
        <w:t xml:space="preserve"> Forma AMP: </w:t>
      </w:r>
      <w:r w:rsidRPr="008634A2">
        <w:rPr>
          <w:i/>
        </w:rPr>
        <w:t>CIL</w:t>
      </w:r>
      <w:r>
        <w:t xml:space="preserve">, 5975 (3 ánforas) y 6942; PO04: 9379; PO08: 5976, 5978, 5979 (dos ánforas), 6043, 6354-6355, 6396 y 6943; PO10: 6941. </w:t>
      </w:r>
    </w:p>
  </w:footnote>
  <w:footnote w:id="59">
    <w:p w:rsidR="006E4549" w:rsidRDefault="006E4549" w:rsidP="00C07D47">
      <w:pPr>
        <w:pStyle w:val="FootnoteText"/>
        <w:jc w:val="both"/>
      </w:pPr>
      <w:r>
        <w:rPr>
          <w:rStyle w:val="FootnoteReference"/>
        </w:rPr>
        <w:footnoteRef/>
      </w:r>
      <w:r>
        <w:t xml:space="preserve"> </w:t>
      </w:r>
      <w:r>
        <w:rPr>
          <w:i/>
        </w:rPr>
        <w:t>CIL,</w:t>
      </w:r>
      <w:r>
        <w:t xml:space="preserve"> 5976.</w:t>
      </w:r>
    </w:p>
  </w:footnote>
  <w:footnote w:id="60">
    <w:p w:rsidR="006E4549" w:rsidRDefault="006E4549" w:rsidP="00C07D47">
      <w:pPr>
        <w:pStyle w:val="FootnoteText"/>
        <w:jc w:val="both"/>
      </w:pPr>
      <w:r>
        <w:rPr>
          <w:rStyle w:val="FootnoteReference"/>
        </w:rPr>
        <w:footnoteRef/>
      </w:r>
      <w:r>
        <w:t xml:space="preserve"> </w:t>
      </w:r>
      <w:r>
        <w:rPr>
          <w:i/>
        </w:rPr>
        <w:t>CIL,</w:t>
      </w:r>
      <w:r>
        <w:t xml:space="preserve"> 5978 y 6043.</w:t>
      </w:r>
    </w:p>
  </w:footnote>
  <w:footnote w:id="61">
    <w:p w:rsidR="006E4549" w:rsidRDefault="006E4549" w:rsidP="00C07D47">
      <w:pPr>
        <w:pStyle w:val="FootnoteText"/>
        <w:jc w:val="both"/>
      </w:pPr>
      <w:r>
        <w:rPr>
          <w:rStyle w:val="FootnoteReference"/>
        </w:rPr>
        <w:footnoteRef/>
      </w:r>
      <w:r>
        <w:t xml:space="preserve"> </w:t>
      </w:r>
      <w:r>
        <w:rPr>
          <w:i/>
        </w:rPr>
        <w:t>CIL,</w:t>
      </w:r>
      <w:r>
        <w:t xml:space="preserve"> 5976.</w:t>
      </w:r>
    </w:p>
  </w:footnote>
  <w:footnote w:id="62">
    <w:p w:rsidR="006E4549" w:rsidRDefault="006E4549" w:rsidP="00C07D47">
      <w:pPr>
        <w:pStyle w:val="FootnoteText"/>
        <w:jc w:val="both"/>
      </w:pPr>
      <w:r>
        <w:rPr>
          <w:rStyle w:val="FootnoteReference"/>
        </w:rPr>
        <w:footnoteRef/>
      </w:r>
      <w:r>
        <w:t xml:space="preserve"> </w:t>
      </w:r>
      <w:r>
        <w:rPr>
          <w:i/>
        </w:rPr>
        <w:t>CIL,</w:t>
      </w:r>
      <w:r>
        <w:t xml:space="preserve"> 5979 (dos ánforas) y 6943.</w:t>
      </w:r>
    </w:p>
  </w:footnote>
  <w:footnote w:id="63">
    <w:p w:rsidR="006E4549" w:rsidRDefault="006E4549" w:rsidP="00C07D47">
      <w:pPr>
        <w:pStyle w:val="FootnoteText"/>
        <w:jc w:val="both"/>
      </w:pPr>
      <w:r>
        <w:rPr>
          <w:rStyle w:val="FootnoteReference"/>
        </w:rPr>
        <w:footnoteRef/>
      </w:r>
      <w:r>
        <w:t xml:space="preserve"> </w:t>
      </w:r>
      <w:r>
        <w:rPr>
          <w:i/>
        </w:rPr>
        <w:t>CIL,</w:t>
      </w:r>
      <w:r>
        <w:t xml:space="preserve"> 5975 (una de tres ánforas).</w:t>
      </w:r>
    </w:p>
  </w:footnote>
  <w:footnote w:id="64">
    <w:p w:rsidR="006E4549" w:rsidRDefault="006E4549" w:rsidP="00C07D47">
      <w:pPr>
        <w:pStyle w:val="FootnoteText"/>
        <w:jc w:val="both"/>
      </w:pPr>
      <w:r>
        <w:rPr>
          <w:rStyle w:val="FootnoteReference"/>
        </w:rPr>
        <w:footnoteRef/>
      </w:r>
      <w:r>
        <w:t xml:space="preserve"> </w:t>
      </w:r>
      <w:r>
        <w:rPr>
          <w:i/>
        </w:rPr>
        <w:t>CIL,</w:t>
      </w:r>
      <w:r>
        <w:t xml:space="preserve"> 6942 y 5975 (una de tres ánforas) respectivamente.</w:t>
      </w:r>
    </w:p>
  </w:footnote>
  <w:footnote w:id="65">
    <w:p w:rsidR="006E4549" w:rsidRDefault="006E4549" w:rsidP="00C07D47">
      <w:pPr>
        <w:pStyle w:val="FootnoteText"/>
        <w:jc w:val="both"/>
      </w:pPr>
      <w:r>
        <w:rPr>
          <w:rStyle w:val="FootnoteReference"/>
        </w:rPr>
        <w:footnoteRef/>
      </w:r>
      <w:r>
        <w:t xml:space="preserve"> </w:t>
      </w:r>
      <w:r>
        <w:rPr>
          <w:i/>
        </w:rPr>
        <w:t>CIL,</w:t>
      </w:r>
      <w:r>
        <w:t xml:space="preserve"> 5976 y 6396 respectivamente</w:t>
      </w:r>
      <w:r w:rsidRPr="00B760DE">
        <w:t xml:space="preserve">. El cognomen </w:t>
      </w:r>
      <w:r w:rsidRPr="005426CF">
        <w:rPr>
          <w:i/>
        </w:rPr>
        <w:t>Leucus</w:t>
      </w:r>
      <w:r w:rsidRPr="00B760DE">
        <w:t xml:space="preserve"> en </w:t>
      </w:r>
      <w:r w:rsidRPr="00B760DE">
        <w:rPr>
          <w:i/>
        </w:rPr>
        <w:t>OPEL</w:t>
      </w:r>
      <w:r w:rsidRPr="00B760DE">
        <w:t xml:space="preserve">, III, p. 24. </w:t>
      </w:r>
      <w:r>
        <w:t xml:space="preserve">Para las posibles lecturas de </w:t>
      </w:r>
      <w:r w:rsidRPr="005426CF">
        <w:t>Κιϲϲ</w:t>
      </w:r>
      <w:r w:rsidRPr="00E7230D">
        <w:t>(---),</w:t>
      </w:r>
      <w:r>
        <w:t xml:space="preserve"> véase el </w:t>
      </w:r>
      <w:r w:rsidRPr="00E7230D">
        <w:rPr>
          <w:i/>
        </w:rPr>
        <w:t>LGPN</w:t>
      </w:r>
      <w:r>
        <w:t>.</w:t>
      </w:r>
    </w:p>
  </w:footnote>
  <w:footnote w:id="66">
    <w:p w:rsidR="006E4549" w:rsidRPr="008610F8" w:rsidRDefault="006E4549" w:rsidP="00C07D47">
      <w:pPr>
        <w:pStyle w:val="FootnoteText"/>
        <w:jc w:val="both"/>
      </w:pPr>
      <w:r>
        <w:rPr>
          <w:rStyle w:val="FootnoteReference"/>
        </w:rPr>
        <w:footnoteRef/>
      </w:r>
      <w:r w:rsidRPr="008610F8">
        <w:t xml:space="preserve"> Sogliano, 1884</w:t>
      </w:r>
      <w:r>
        <w:t>:</w:t>
      </w:r>
      <w:r w:rsidRPr="008610F8">
        <w:t xml:space="preserve"> </w:t>
      </w:r>
      <w:r>
        <w:t>43</w:t>
      </w:r>
      <w:r w:rsidRPr="008610F8">
        <w:t>2.</w:t>
      </w:r>
    </w:p>
  </w:footnote>
  <w:footnote w:id="67">
    <w:p w:rsidR="006E4549" w:rsidRDefault="006E4549" w:rsidP="00C07D47">
      <w:pPr>
        <w:pStyle w:val="FootnoteText"/>
        <w:jc w:val="both"/>
      </w:pPr>
      <w:r>
        <w:rPr>
          <w:rStyle w:val="FootnoteReference"/>
        </w:rPr>
        <w:footnoteRef/>
      </w:r>
      <w:r>
        <w:t xml:space="preserve"> Véase, por ejemplo, </w:t>
      </w:r>
      <w:r>
        <w:rPr>
          <w:i/>
        </w:rPr>
        <w:t>CIL,</w:t>
      </w:r>
      <w:r>
        <w:t xml:space="preserve"> 2853-2880.</w:t>
      </w:r>
    </w:p>
  </w:footnote>
  <w:footnote w:id="68">
    <w:p w:rsidR="006E4549" w:rsidRDefault="006E4549" w:rsidP="00C07D47">
      <w:pPr>
        <w:pStyle w:val="FootnoteText"/>
        <w:jc w:val="both"/>
      </w:pPr>
      <w:r>
        <w:rPr>
          <w:rStyle w:val="FootnoteReference"/>
        </w:rPr>
        <w:footnoteRef/>
      </w:r>
      <w:r>
        <w:t xml:space="preserve"> </w:t>
      </w:r>
      <w:r w:rsidR="006A682C">
        <w:rPr>
          <w:i/>
        </w:rPr>
        <w:t>CIL,</w:t>
      </w:r>
      <w:r w:rsidR="006A682C">
        <w:t xml:space="preserve"> 6344-6345 (PO13). De la misma </w:t>
      </w:r>
      <w:r w:rsidR="006A682C" w:rsidRPr="00164D9A">
        <w:rPr>
          <w:i/>
        </w:rPr>
        <w:t>Insula</w:t>
      </w:r>
      <w:r w:rsidR="006A682C">
        <w:t xml:space="preserve">, 2 PO05 con la inscripción ΧΡΕ / ΔΙ en 6346. Véase también la abreviatura </w:t>
      </w:r>
      <w:r w:rsidR="006A682C" w:rsidRPr="005426CF">
        <w:t>Χρε</w:t>
      </w:r>
      <w:r w:rsidR="006A682C">
        <w:t xml:space="preserve">(---) sobre PO14 en Giordano y Casale, 1991: n. </w:t>
      </w:r>
      <w:r w:rsidR="006A682C" w:rsidRPr="00164D9A">
        <w:t>318</w:t>
      </w:r>
      <w:r w:rsidR="006A682C">
        <w:t xml:space="preserve">. Resulta particularmente interesante la relación entre estas PO05 y 13, pues ambas formas procederían de Cilicia o su entorno: Rizzo, 2014: 340; Komar, 2016: 159. </w:t>
      </w:r>
      <w:r>
        <w:t xml:space="preserve">El nombre </w:t>
      </w:r>
      <w:r w:rsidRPr="005426CF">
        <w:t>Δίονυ</w:t>
      </w:r>
      <w:r w:rsidR="006A682C">
        <w:t>σ</w:t>
      </w:r>
      <w:r w:rsidRPr="005426CF">
        <w:t>ο</w:t>
      </w:r>
      <w:r w:rsidR="006A682C">
        <w:t>ς</w:t>
      </w:r>
      <w:r>
        <w:t xml:space="preserve"> aparece desarrollado sobre </w:t>
      </w:r>
      <w:r>
        <w:rPr>
          <w:i/>
        </w:rPr>
        <w:t>CIL,</w:t>
      </w:r>
      <w:r>
        <w:t xml:space="preserve"> 6342 (PO13), con lagunas en 6503 (PO08) y abreviado como </w:t>
      </w:r>
      <w:r w:rsidRPr="005426CF">
        <w:t>Διονυ</w:t>
      </w:r>
      <w:r>
        <w:t xml:space="preserve">(---) en 6343-6344 y 10410 (PO13) o </w:t>
      </w:r>
      <w:r w:rsidRPr="005426CF">
        <w:t>Διον</w:t>
      </w:r>
      <w:r>
        <w:t xml:space="preserve">(---) en 9733 (PO11). Véanse las variantes de este nombre en </w:t>
      </w:r>
      <w:r w:rsidRPr="00A4789A">
        <w:rPr>
          <w:i/>
        </w:rPr>
        <w:t>LGPN</w:t>
      </w:r>
      <w:r>
        <w:t>, así como Δῖον.</w:t>
      </w:r>
    </w:p>
  </w:footnote>
  <w:footnote w:id="69">
    <w:p w:rsidR="006E4549" w:rsidRDefault="006E4549" w:rsidP="00C07D47">
      <w:pPr>
        <w:pStyle w:val="FootnoteText"/>
        <w:jc w:val="both"/>
      </w:pPr>
      <w:r>
        <w:rPr>
          <w:rStyle w:val="FootnoteReference"/>
        </w:rPr>
        <w:footnoteRef/>
      </w:r>
      <w:r>
        <w:t xml:space="preserve"> Forma AC4: Marangou-Lerat, 1995: P90-92 y P96; AMP: </w:t>
      </w:r>
      <w:r>
        <w:rPr>
          <w:i/>
        </w:rPr>
        <w:t>CIL,</w:t>
      </w:r>
      <w:r>
        <w:t xml:space="preserve"> 10877 </w:t>
      </w:r>
      <w:r w:rsidR="00880B57">
        <w:t>(</w:t>
      </w:r>
      <w:r w:rsidR="00880B57" w:rsidRPr="00880B57">
        <w:rPr>
          <w:i/>
        </w:rPr>
        <w:t>Herculanum</w:t>
      </w:r>
      <w:r w:rsidR="00880B57">
        <w:t xml:space="preserve">) </w:t>
      </w:r>
      <w:r>
        <w:t>y P100; PO07: 9730 (3 ánforas); PO08: 2654, 6060, 6469 y 10454; PO10: 6453; PO12: 6534, 973</w:t>
      </w:r>
      <w:r w:rsidR="006A682C">
        <w:t xml:space="preserve">1, 9732 (dos ánforas) y 7000; </w:t>
      </w:r>
      <w:r>
        <w:t>PO13: 6223, 6341 (dos ánforas), 6500 y 10412.</w:t>
      </w:r>
    </w:p>
  </w:footnote>
  <w:footnote w:id="70">
    <w:p w:rsidR="006E4549" w:rsidRDefault="006E4549" w:rsidP="00C07D47">
      <w:pPr>
        <w:pStyle w:val="FootnoteText"/>
        <w:jc w:val="both"/>
      </w:pPr>
      <w:r>
        <w:rPr>
          <w:rStyle w:val="FootnoteReference"/>
        </w:rPr>
        <w:footnoteRef/>
      </w:r>
      <w:r>
        <w:t xml:space="preserve"> </w:t>
      </w:r>
      <w:r>
        <w:rPr>
          <w:i/>
        </w:rPr>
        <w:t>CIL,</w:t>
      </w:r>
      <w:r>
        <w:t xml:space="preserve"> 6060 y Marangou-Lerat, 1995: P90 y 92. Con dudas sobre el nombre en genitivo: </w:t>
      </w:r>
      <w:r>
        <w:rPr>
          <w:i/>
        </w:rPr>
        <w:t>CIL,</w:t>
      </w:r>
      <w:r w:rsidR="00880B57">
        <w:t xml:space="preserve"> 6453 y 10877 (</w:t>
      </w:r>
      <w:r w:rsidR="00880B57" w:rsidRPr="00880B57">
        <w:rPr>
          <w:i/>
        </w:rPr>
        <w:t>Herculanum</w:t>
      </w:r>
      <w:r w:rsidR="00880B57">
        <w:t>).</w:t>
      </w:r>
    </w:p>
  </w:footnote>
  <w:footnote w:id="71">
    <w:p w:rsidR="006E4549" w:rsidRDefault="006E4549" w:rsidP="00C07D47">
      <w:pPr>
        <w:pStyle w:val="FootnoteText"/>
        <w:jc w:val="both"/>
      </w:pPr>
      <w:r>
        <w:rPr>
          <w:rStyle w:val="FootnoteReference"/>
        </w:rPr>
        <w:footnoteRef/>
      </w:r>
      <w:r>
        <w:t xml:space="preserve"> </w:t>
      </w:r>
      <w:r>
        <w:rPr>
          <w:i/>
        </w:rPr>
        <w:t>CIL,</w:t>
      </w:r>
      <w:r w:rsidR="00844098">
        <w:t xml:space="preserve"> 7000 y 10454</w:t>
      </w:r>
      <w:r>
        <w:t>.</w:t>
      </w:r>
    </w:p>
  </w:footnote>
  <w:footnote w:id="72">
    <w:p w:rsidR="006E4549" w:rsidRDefault="006E4549" w:rsidP="00C07D47">
      <w:pPr>
        <w:pStyle w:val="FootnoteText"/>
        <w:jc w:val="both"/>
      </w:pPr>
      <w:r>
        <w:rPr>
          <w:rStyle w:val="FootnoteReference"/>
        </w:rPr>
        <w:footnoteRef/>
      </w:r>
      <w:r>
        <w:t xml:space="preserve"> </w:t>
      </w:r>
      <w:r>
        <w:rPr>
          <w:i/>
        </w:rPr>
        <w:t>CIL,</w:t>
      </w:r>
      <w:r>
        <w:t xml:space="preserve"> 2828, 6332-6337, 6342-6347, 6503, 6555, 9561, 9733, 10402 y 10410-10411; Giordano y Casale, 1991: n. 268, 326 y 337.</w:t>
      </w:r>
    </w:p>
  </w:footnote>
  <w:footnote w:id="73">
    <w:p w:rsidR="006E4549" w:rsidRDefault="006E4549" w:rsidP="00C07D47">
      <w:pPr>
        <w:pStyle w:val="FootnoteText"/>
        <w:jc w:val="both"/>
      </w:pPr>
      <w:r>
        <w:rPr>
          <w:rStyle w:val="FootnoteReference"/>
        </w:rPr>
        <w:footnoteRef/>
      </w:r>
      <w:r>
        <w:t xml:space="preserve"> Forma PO12: </w:t>
      </w:r>
      <w:r>
        <w:rPr>
          <w:i/>
        </w:rPr>
        <w:t>CIL,</w:t>
      </w:r>
      <w:r>
        <w:t xml:space="preserve"> 6338-6340 y 9372 (cuatro ánforas); PO12-13: 2853-2879; PO13: 6276 (seis ánforas) y 6341.</w:t>
      </w:r>
    </w:p>
  </w:footnote>
  <w:footnote w:id="74">
    <w:p w:rsidR="006E4549" w:rsidRDefault="006E4549" w:rsidP="00C07D47">
      <w:pPr>
        <w:pStyle w:val="FootnoteText"/>
        <w:jc w:val="both"/>
      </w:pPr>
      <w:r>
        <w:rPr>
          <w:rStyle w:val="FootnoteReference"/>
        </w:rPr>
        <w:footnoteRef/>
      </w:r>
      <w:r>
        <w:t xml:space="preserve"> Forma PO12: </w:t>
      </w:r>
      <w:r>
        <w:rPr>
          <w:i/>
        </w:rPr>
        <w:t>CIL,</w:t>
      </w:r>
      <w:r>
        <w:t xml:space="preserve"> 6338-6340; PO12-13: 2853-2874.</w:t>
      </w:r>
    </w:p>
  </w:footnote>
  <w:footnote w:id="75">
    <w:p w:rsidR="006E4549" w:rsidRPr="00BE2CD9" w:rsidRDefault="006E4549" w:rsidP="00C07D47">
      <w:pPr>
        <w:pStyle w:val="FootnoteText"/>
        <w:jc w:val="both"/>
      </w:pPr>
      <w:r>
        <w:rPr>
          <w:rStyle w:val="FootnoteReference"/>
        </w:rPr>
        <w:footnoteRef/>
      </w:r>
      <w:r>
        <w:t xml:space="preserve"> Panella y Fano, 1977: 160-161, fig. 34 y 38; Empereur y Picon, 1989: 227-228; Dixneuf, 2011: 132-133 (AE 4-I Variante D), fig. 116. </w:t>
      </w:r>
    </w:p>
  </w:footnote>
  <w:footnote w:id="76">
    <w:p w:rsidR="006E4549" w:rsidRDefault="006E4549">
      <w:pPr>
        <w:pStyle w:val="FootnoteText"/>
      </w:pPr>
      <w:r>
        <w:rPr>
          <w:rStyle w:val="FootnoteReference"/>
        </w:rPr>
        <w:footnoteRef/>
      </w:r>
      <w:r>
        <w:t xml:space="preserve"> Empereur y </w:t>
      </w:r>
      <w:r w:rsidRPr="00BE2CD9">
        <w:t>Picon, 1989</w:t>
      </w:r>
      <w:r>
        <w:t>: 228 y 237, nº10, fig. 18-19.</w:t>
      </w:r>
    </w:p>
  </w:footnote>
  <w:footnote w:id="77">
    <w:p w:rsidR="006E4549" w:rsidRDefault="006E4549">
      <w:pPr>
        <w:pStyle w:val="FootnoteText"/>
      </w:pPr>
      <w:r>
        <w:rPr>
          <w:rStyle w:val="FootnoteReference"/>
        </w:rPr>
        <w:footnoteRef/>
      </w:r>
      <w:r>
        <w:t xml:space="preserve"> Panella y Fano, 1977: 153-154.</w:t>
      </w:r>
    </w:p>
  </w:footnote>
  <w:footnote w:id="78">
    <w:p w:rsidR="00193D34" w:rsidRDefault="00193D34">
      <w:pPr>
        <w:pStyle w:val="FootnoteText"/>
      </w:pPr>
      <w:r>
        <w:rPr>
          <w:rStyle w:val="FootnoteReference"/>
        </w:rPr>
        <w:footnoteRef/>
      </w:r>
      <w:r>
        <w:t xml:space="preserve"> Forma AMP: </w:t>
      </w:r>
      <w:r>
        <w:rPr>
          <w:i/>
        </w:rPr>
        <w:t>CIL,</w:t>
      </w:r>
      <w:r>
        <w:t xml:space="preserve"> 6489; PO12: 6066; PO13: 6118.</w:t>
      </w:r>
    </w:p>
  </w:footnote>
  <w:footnote w:id="79">
    <w:p w:rsidR="00193D34" w:rsidRDefault="00193D34" w:rsidP="00193D34">
      <w:pPr>
        <w:pStyle w:val="FootnoteText"/>
      </w:pPr>
      <w:r>
        <w:rPr>
          <w:rStyle w:val="FootnoteReference"/>
        </w:rPr>
        <w:footnoteRef/>
      </w:r>
      <w:r>
        <w:t xml:space="preserve"> Forma PO12: </w:t>
      </w:r>
      <w:r>
        <w:rPr>
          <w:i/>
        </w:rPr>
        <w:t>CIL,</w:t>
      </w:r>
      <w:r>
        <w:t xml:space="preserve"> 6364; PO13: 6393-6394.</w:t>
      </w:r>
    </w:p>
  </w:footnote>
  <w:footnote w:id="80">
    <w:p w:rsidR="00296322" w:rsidRDefault="00296322" w:rsidP="00296322">
      <w:pPr>
        <w:pStyle w:val="FootnoteText"/>
      </w:pPr>
      <w:r>
        <w:rPr>
          <w:rStyle w:val="FootnoteReference"/>
        </w:rPr>
        <w:footnoteRef/>
      </w:r>
      <w:r>
        <w:t xml:space="preserve"> Forma PO12: </w:t>
      </w:r>
      <w:r>
        <w:rPr>
          <w:i/>
        </w:rPr>
        <w:t>CIL,</w:t>
      </w:r>
      <w:r>
        <w:t xml:space="preserve"> 6340; PO13: 6276 (3 ánforas).</w:t>
      </w:r>
    </w:p>
  </w:footnote>
  <w:footnote w:id="81">
    <w:p w:rsidR="006E4549" w:rsidRDefault="006E4549" w:rsidP="00C07D47">
      <w:pPr>
        <w:pStyle w:val="FootnoteText"/>
        <w:jc w:val="both"/>
      </w:pPr>
      <w:r>
        <w:rPr>
          <w:rStyle w:val="FootnoteReference"/>
        </w:rPr>
        <w:footnoteRef/>
      </w:r>
      <w:r>
        <w:t xml:space="preserve"> Panella y Fano, 1977: 160, ejemplares 507 (fig. 33) y 624 (</w:t>
      </w:r>
      <w:r>
        <w:rPr>
          <w:i/>
        </w:rPr>
        <w:t>CIL,</w:t>
      </w:r>
      <w:r>
        <w:t xml:space="preserve"> 5941).</w:t>
      </w:r>
      <w:r w:rsidR="00296322">
        <w:t xml:space="preserve"> Este último ejemplar y los </w:t>
      </w:r>
      <w:r w:rsidR="00296322" w:rsidRPr="00296322">
        <w:rPr>
          <w:i/>
        </w:rPr>
        <w:t>tituli gilvi</w:t>
      </w:r>
      <w:r w:rsidR="00296322">
        <w:t xml:space="preserve"> de las notas precedentes </w:t>
      </w:r>
      <w:r w:rsidR="00EB23F5">
        <w:t>pertenecen a un gran conjunto anfórico hallado en VIII 5-6, 15.</w:t>
      </w:r>
    </w:p>
  </w:footnote>
  <w:footnote w:id="82">
    <w:p w:rsidR="006E4549" w:rsidRPr="00444284" w:rsidRDefault="006E4549" w:rsidP="00C07D47">
      <w:pPr>
        <w:pStyle w:val="FootnoteText"/>
        <w:jc w:val="both"/>
      </w:pPr>
      <w:r>
        <w:rPr>
          <w:rStyle w:val="FootnoteReference"/>
        </w:rPr>
        <w:footnoteRef/>
      </w:r>
      <w:r>
        <w:t xml:space="preserve"> Forma PO12-13: </w:t>
      </w:r>
      <w:r>
        <w:rPr>
          <w:i/>
        </w:rPr>
        <w:t>CIL,</w:t>
      </w:r>
      <w:r>
        <w:t xml:space="preserve"> 2876-2877. En el segun</w:t>
      </w:r>
      <w:r w:rsidR="005E40ED">
        <w:t>do caso falta la Σ final</w:t>
      </w:r>
      <w:r>
        <w:t>. Podría tratarse de la declinación al dativo de este mismo nombre. Véase también Ἀ</w:t>
      </w:r>
      <w:r w:rsidRPr="00444284">
        <w:t xml:space="preserve">γαθῆ </w:t>
      </w:r>
      <w:r>
        <w:t xml:space="preserve">en </w:t>
      </w:r>
      <w:r w:rsidRPr="00444284">
        <w:rPr>
          <w:i/>
        </w:rPr>
        <w:t>LGPN</w:t>
      </w:r>
      <w:r w:rsidRPr="00444284">
        <w:t>.</w:t>
      </w:r>
    </w:p>
  </w:footnote>
  <w:footnote w:id="83">
    <w:p w:rsidR="006E4549" w:rsidRDefault="006E4549" w:rsidP="00C07D47">
      <w:pPr>
        <w:pStyle w:val="FootnoteText"/>
        <w:jc w:val="both"/>
      </w:pPr>
      <w:r>
        <w:rPr>
          <w:rStyle w:val="FootnoteReference"/>
        </w:rPr>
        <w:footnoteRef/>
      </w:r>
      <w:r>
        <w:t xml:space="preserve"> Forma PO13: </w:t>
      </w:r>
      <w:r>
        <w:rPr>
          <w:i/>
        </w:rPr>
        <w:t>CIL,</w:t>
      </w:r>
      <w:r>
        <w:t xml:space="preserve"> 6276 (seis ánforas). En tres de ellas aparece el </w:t>
      </w:r>
      <w:r w:rsidRPr="005A3DC4">
        <w:rPr>
          <w:i/>
        </w:rPr>
        <w:t>titulus gilvus ΑΠ</w:t>
      </w:r>
      <w:r>
        <w:t>.</w:t>
      </w:r>
    </w:p>
  </w:footnote>
  <w:footnote w:id="84">
    <w:p w:rsidR="006E4549" w:rsidRDefault="006E4549" w:rsidP="00C07D47">
      <w:pPr>
        <w:pStyle w:val="FootnoteText"/>
        <w:jc w:val="both"/>
      </w:pPr>
      <w:r>
        <w:rPr>
          <w:rStyle w:val="FootnoteReference"/>
        </w:rPr>
        <w:footnoteRef/>
      </w:r>
      <w:r>
        <w:t xml:space="preserve"> Forma AMP: </w:t>
      </w:r>
      <w:r>
        <w:rPr>
          <w:i/>
        </w:rPr>
        <w:t>CIL,</w:t>
      </w:r>
      <w:r>
        <w:t xml:space="preserve"> 9702 (dos ánforas). Véanse también Ἀ</w:t>
      </w:r>
      <w:r w:rsidRPr="00775F0E">
        <w:t>γαθ</w:t>
      </w:r>
      <w:r>
        <w:t xml:space="preserve">(---) en </w:t>
      </w:r>
      <w:r w:rsidRPr="005A3DC4">
        <w:rPr>
          <w:i/>
        </w:rPr>
        <w:t>nigrum</w:t>
      </w:r>
      <w:r>
        <w:t xml:space="preserve"> sobre PO10 en 9704 y Ἀγα(---) en </w:t>
      </w:r>
      <w:r w:rsidRPr="005A3DC4">
        <w:rPr>
          <w:i/>
        </w:rPr>
        <w:t>atramentum</w:t>
      </w:r>
      <w:r>
        <w:t xml:space="preserve"> sobre 9701.</w:t>
      </w:r>
    </w:p>
  </w:footnote>
  <w:footnote w:id="85">
    <w:p w:rsidR="006E4549" w:rsidRDefault="006E4549" w:rsidP="00C07D47">
      <w:pPr>
        <w:pStyle w:val="FootnoteText"/>
        <w:jc w:val="both"/>
      </w:pPr>
      <w:r>
        <w:rPr>
          <w:rStyle w:val="FootnoteReference"/>
        </w:rPr>
        <w:footnoteRef/>
      </w:r>
      <w:r>
        <w:t xml:space="preserve"> Véase a modo de ejemplo: </w:t>
      </w:r>
      <w:r>
        <w:rPr>
          <w:i/>
        </w:rPr>
        <w:t>CIL,</w:t>
      </w:r>
      <w:r>
        <w:t xml:space="preserve"> 2873-2880 en Tab. XLVII.</w:t>
      </w:r>
    </w:p>
  </w:footnote>
  <w:footnote w:id="86">
    <w:p w:rsidR="006E4549" w:rsidRPr="006B68E2" w:rsidRDefault="006E4549" w:rsidP="00C07D47">
      <w:pPr>
        <w:pStyle w:val="FootnoteText"/>
        <w:jc w:val="both"/>
      </w:pPr>
      <w:r>
        <w:rPr>
          <w:rStyle w:val="FootnoteReference"/>
        </w:rPr>
        <w:footnoteRef/>
      </w:r>
      <w:r>
        <w:t xml:space="preserve"> Véanse otros nombres con raíz Δίδυμ- en </w:t>
      </w:r>
      <w:r w:rsidRPr="006B68E2">
        <w:rPr>
          <w:i/>
        </w:rPr>
        <w:t>LGPN</w:t>
      </w:r>
      <w:r>
        <w:t xml:space="preserve">. </w:t>
      </w:r>
      <w:r w:rsidRPr="006B68E2">
        <w:t>Δ</w:t>
      </w:r>
      <w:r>
        <w:t>ί</w:t>
      </w:r>
      <w:r w:rsidRPr="006B68E2">
        <w:t>δυμος</w:t>
      </w:r>
      <w:r>
        <w:t xml:space="preserve"> es el más frecuente de ellos.</w:t>
      </w:r>
    </w:p>
  </w:footnote>
  <w:footnote w:id="87">
    <w:p w:rsidR="006E4549" w:rsidRDefault="006E4549" w:rsidP="00C07D47">
      <w:pPr>
        <w:pStyle w:val="FootnoteText"/>
        <w:jc w:val="both"/>
      </w:pPr>
      <w:r>
        <w:rPr>
          <w:rStyle w:val="FootnoteReference"/>
        </w:rPr>
        <w:footnoteRef/>
      </w:r>
      <w:r>
        <w:t xml:space="preserve"> </w:t>
      </w:r>
      <w:r>
        <w:rPr>
          <w:i/>
        </w:rPr>
        <w:t>CIL,</w:t>
      </w:r>
      <w:r>
        <w:t xml:space="preserve"> 6332-6333.</w:t>
      </w:r>
    </w:p>
  </w:footnote>
  <w:footnote w:id="88">
    <w:p w:rsidR="006E4549" w:rsidRDefault="006E4549" w:rsidP="00C07D47">
      <w:pPr>
        <w:pStyle w:val="FootnoteText"/>
        <w:jc w:val="both"/>
      </w:pPr>
      <w:r>
        <w:rPr>
          <w:rStyle w:val="FootnoteReference"/>
        </w:rPr>
        <w:footnoteRef/>
      </w:r>
      <w:r>
        <w:t xml:space="preserve"> </w:t>
      </w:r>
      <w:r>
        <w:rPr>
          <w:i/>
        </w:rPr>
        <w:t>CIL,</w:t>
      </w:r>
      <w:r>
        <w:t xml:space="preserve"> 6334.</w:t>
      </w:r>
    </w:p>
  </w:footnote>
  <w:footnote w:id="89">
    <w:p w:rsidR="006E4549" w:rsidRDefault="006E4549" w:rsidP="00C07D47">
      <w:pPr>
        <w:pStyle w:val="FootnoteText"/>
        <w:jc w:val="both"/>
      </w:pPr>
      <w:r>
        <w:rPr>
          <w:rStyle w:val="FootnoteReference"/>
        </w:rPr>
        <w:footnoteRef/>
      </w:r>
      <w:r>
        <w:t xml:space="preserve"> Esta partícula también se halla en </w:t>
      </w:r>
      <w:r>
        <w:rPr>
          <w:i/>
        </w:rPr>
        <w:t>CIL,</w:t>
      </w:r>
      <w:r>
        <w:t xml:space="preserve"> 6957 (AMP) y 9744 (2 PO13).</w:t>
      </w:r>
    </w:p>
  </w:footnote>
  <w:footnote w:id="90">
    <w:p w:rsidR="006E4549" w:rsidRDefault="006E4549" w:rsidP="00C07D47">
      <w:pPr>
        <w:pStyle w:val="FootnoteText"/>
        <w:jc w:val="both"/>
      </w:pPr>
      <w:r>
        <w:rPr>
          <w:rStyle w:val="FootnoteReference"/>
        </w:rPr>
        <w:footnoteRef/>
      </w:r>
      <w:r>
        <w:t xml:space="preserve"> La forma ΔΙΟΚΛΗ en </w:t>
      </w:r>
      <w:r>
        <w:rPr>
          <w:i/>
        </w:rPr>
        <w:t>CIL,</w:t>
      </w:r>
      <w:r>
        <w:t xml:space="preserve"> 9732 (4 PO12, dos de ellas precedidas de la abreviatura ΔΙ).</w:t>
      </w:r>
    </w:p>
  </w:footnote>
  <w:footnote w:id="91">
    <w:p w:rsidR="006E4549" w:rsidRDefault="006E4549" w:rsidP="00C07D47">
      <w:pPr>
        <w:pStyle w:val="FootnoteText"/>
        <w:jc w:val="both"/>
      </w:pPr>
      <w:r>
        <w:rPr>
          <w:rStyle w:val="FootnoteReference"/>
        </w:rPr>
        <w:footnoteRef/>
      </w:r>
      <w:r>
        <w:t xml:space="preserve"> Νικίας es el nombre más frecuente con diferencia entre las distintas opciones dadas para la abreviatura Νικια(---) en </w:t>
      </w:r>
      <w:r w:rsidRPr="00CA3FDB">
        <w:rPr>
          <w:i/>
        </w:rPr>
        <w:t>LGPN</w:t>
      </w:r>
      <w:r>
        <w:t xml:space="preserve">. Otras posibles abreviaturas de este nombre en </w:t>
      </w:r>
      <w:r>
        <w:rPr>
          <w:i/>
        </w:rPr>
        <w:t>CIL,</w:t>
      </w:r>
      <w:r>
        <w:t xml:space="preserve"> 6358-6359, leídas como </w:t>
      </w:r>
      <w:r w:rsidRPr="005E40ED">
        <w:t>Ἕρμ(ο)υ / Νι(---) Ε y Ἕρμου / Νικι(---) Π</w:t>
      </w:r>
      <w:r>
        <w:t>. La posible abreviatura Νι(---) también en 6356 y 9465.</w:t>
      </w:r>
    </w:p>
  </w:footnote>
  <w:footnote w:id="92">
    <w:p w:rsidR="006E4549" w:rsidRDefault="006E4549" w:rsidP="00C07D47">
      <w:pPr>
        <w:pStyle w:val="FootnoteText"/>
        <w:jc w:val="both"/>
      </w:pPr>
      <w:r>
        <w:rPr>
          <w:rStyle w:val="FootnoteReference"/>
        </w:rPr>
        <w:footnoteRef/>
      </w:r>
      <w:r>
        <w:t xml:space="preserve"> </w:t>
      </w:r>
      <w:r>
        <w:rPr>
          <w:i/>
        </w:rPr>
        <w:t>CIL,</w:t>
      </w:r>
      <w:r>
        <w:t xml:space="preserve"> 9728.</w:t>
      </w:r>
    </w:p>
  </w:footnote>
  <w:footnote w:id="93">
    <w:p w:rsidR="006E4549" w:rsidRDefault="006E4549" w:rsidP="00C07D47">
      <w:pPr>
        <w:pStyle w:val="FootnoteText"/>
        <w:jc w:val="both"/>
      </w:pPr>
      <w:r>
        <w:rPr>
          <w:rStyle w:val="FootnoteReference"/>
        </w:rPr>
        <w:footnoteRef/>
      </w:r>
      <w:r>
        <w:t xml:space="preserve"> Forma PO08: </w:t>
      </w:r>
      <w:r>
        <w:rPr>
          <w:i/>
        </w:rPr>
        <w:t>CIL,</w:t>
      </w:r>
      <w:r>
        <w:t xml:space="preserve"> 6582-6587 y 10476 (dos ánforas); PO10: 5783; PO12: 9816. Coinciden en el mismo contexto 6583-6587 (VI 14, 38) y 10476 (dos ánforas en I 9, 12) respectivamente.</w:t>
      </w:r>
    </w:p>
  </w:footnote>
  <w:footnote w:id="94">
    <w:p w:rsidR="006E4549" w:rsidRDefault="006E4549" w:rsidP="00C07D47">
      <w:pPr>
        <w:pStyle w:val="FootnoteText"/>
        <w:jc w:val="both"/>
      </w:pPr>
      <w:r>
        <w:rPr>
          <w:rStyle w:val="FootnoteReference"/>
        </w:rPr>
        <w:footnoteRef/>
      </w:r>
      <w:r w:rsidRPr="00827597">
        <w:rPr>
          <w:lang w:val="en-US"/>
        </w:rPr>
        <w:t xml:space="preserve"> </w:t>
      </w:r>
      <w:r>
        <w:rPr>
          <w:i/>
          <w:lang w:val="en-US"/>
        </w:rPr>
        <w:t>CIL,</w:t>
      </w:r>
      <w:r w:rsidRPr="00827597">
        <w:rPr>
          <w:lang w:val="en-US"/>
        </w:rPr>
        <w:t xml:space="preserve"> 6585-6587: “</w:t>
      </w:r>
      <w:r w:rsidRPr="00566696">
        <w:rPr>
          <w:i/>
        </w:rPr>
        <w:t>Φήνικος</w:t>
      </w:r>
      <w:r w:rsidRPr="00827597">
        <w:rPr>
          <w:lang w:val="en-US"/>
        </w:rPr>
        <w:t xml:space="preserve"> imperite pro </w:t>
      </w:r>
      <w:r>
        <w:rPr>
          <w:i/>
        </w:rPr>
        <w:t>Φή</w:t>
      </w:r>
      <w:r w:rsidRPr="00566696">
        <w:rPr>
          <w:i/>
        </w:rPr>
        <w:t>λικος</w:t>
      </w:r>
      <w:r w:rsidRPr="00827597">
        <w:rPr>
          <w:lang w:val="en-US"/>
        </w:rPr>
        <w:t xml:space="preserve"> scriptum”. </w:t>
      </w:r>
      <w:r>
        <w:t xml:space="preserve">No se halla el nombre Φηνιξ en </w:t>
      </w:r>
      <w:r w:rsidRPr="00566696">
        <w:rPr>
          <w:i/>
        </w:rPr>
        <w:t>LGPN</w:t>
      </w:r>
      <w:r>
        <w:t xml:space="preserve">. La opción más aproximada es el nominativo Φήνιχος. Estos </w:t>
      </w:r>
      <w:r w:rsidRPr="00F12EF2">
        <w:rPr>
          <w:i/>
        </w:rPr>
        <w:t>tituli</w:t>
      </w:r>
      <w:r>
        <w:t xml:space="preserve"> se realizarían en </w:t>
      </w:r>
      <w:r w:rsidRPr="00F12EF2">
        <w:rPr>
          <w:i/>
        </w:rPr>
        <w:t>atramentum</w:t>
      </w:r>
      <w:r>
        <w:t xml:space="preserve"> (9816; </w:t>
      </w:r>
      <w:r w:rsidRPr="00F12EF2">
        <w:rPr>
          <w:i/>
        </w:rPr>
        <w:t>nigrum</w:t>
      </w:r>
      <w:r>
        <w:t xml:space="preserve"> según 10476), con una grafía que se puede observar en las copias de 10476. Véase también el dibujo de ánfora y </w:t>
      </w:r>
      <w:r w:rsidRPr="004A1268">
        <w:rPr>
          <w:i/>
        </w:rPr>
        <w:t>titulus</w:t>
      </w:r>
      <w:r>
        <w:t xml:space="preserve"> 6582 en Presuhn, 1878: abtheilung VI, tab. III. Esta copia permitiría leer el nominativo Φηλικᾶς.</w:t>
      </w:r>
    </w:p>
  </w:footnote>
  <w:footnote w:id="95">
    <w:p w:rsidR="006E4549" w:rsidRDefault="006E4549" w:rsidP="00E17247">
      <w:pPr>
        <w:pStyle w:val="FootnoteText"/>
      </w:pPr>
      <w:r>
        <w:rPr>
          <w:rStyle w:val="FootnoteReference"/>
        </w:rPr>
        <w:footnoteRef/>
      </w:r>
      <w:r>
        <w:t xml:space="preserve"> Véase la diferente grafía empleada sobre </w:t>
      </w:r>
      <w:r w:rsidR="005E40ED">
        <w:t>la sigla Κ. Κ. ΖΩ.</w:t>
      </w:r>
      <w:r>
        <w:t xml:space="preserve"> en Cassia, 2014: 471, tab. 2 (</w:t>
      </w:r>
      <w:r w:rsidRPr="00E17247">
        <w:rPr>
          <w:i/>
        </w:rPr>
        <w:t>CIL</w:t>
      </w:r>
      <w:r>
        <w:t>, 10893-10894</w:t>
      </w:r>
      <w:r w:rsidR="00880B57">
        <w:t xml:space="preserve">, </w:t>
      </w:r>
      <w:r w:rsidR="00880B57" w:rsidRPr="00880B57">
        <w:rPr>
          <w:i/>
        </w:rPr>
        <w:t>Herculanum</w:t>
      </w:r>
      <w:r>
        <w:t>).</w:t>
      </w:r>
    </w:p>
  </w:footnote>
  <w:footnote w:id="96">
    <w:p w:rsidR="006E4549" w:rsidRDefault="006E4549" w:rsidP="00C07D47">
      <w:pPr>
        <w:pStyle w:val="FootnoteText"/>
        <w:jc w:val="both"/>
      </w:pPr>
      <w:r>
        <w:rPr>
          <w:rStyle w:val="FootnoteReference"/>
        </w:rPr>
        <w:footnoteRef/>
      </w:r>
      <w:r>
        <w:t xml:space="preserve"> </w:t>
      </w:r>
      <w:r>
        <w:rPr>
          <w:i/>
        </w:rPr>
        <w:t>CIL,</w:t>
      </w:r>
      <w:r>
        <w:t xml:space="preserve"> 5783 (PO10). Los caracteres iniciales Φηλι(---) corresponden a distintos nombres en </w:t>
      </w:r>
      <w:r w:rsidRPr="00CC5321">
        <w:rPr>
          <w:i/>
        </w:rPr>
        <w:t>LGPN</w:t>
      </w:r>
      <w:r>
        <w:t xml:space="preserve">. </w:t>
      </w:r>
      <w:r w:rsidRPr="005426CF">
        <w:rPr>
          <w:i/>
        </w:rPr>
        <w:t>Q. Bruttius Balbus</w:t>
      </w:r>
      <w:r>
        <w:t xml:space="preserve"> (edil del 56-57 d.C.)</w:t>
      </w:r>
      <w:r w:rsidRPr="00F37D3C">
        <w:t xml:space="preserve"> </w:t>
      </w:r>
      <w:r>
        <w:t xml:space="preserve">en </w:t>
      </w:r>
      <w:r w:rsidRPr="00F37D3C">
        <w:t xml:space="preserve">Castrén, </w:t>
      </w:r>
      <w:r>
        <w:t>1983: n. 76, 1 y Franklin, 2001: 80-81.</w:t>
      </w:r>
    </w:p>
  </w:footnote>
  <w:footnote w:id="97">
    <w:p w:rsidR="006E4549" w:rsidRDefault="006E4549" w:rsidP="00C07D47">
      <w:pPr>
        <w:pStyle w:val="FootnoteText"/>
        <w:jc w:val="both"/>
      </w:pPr>
      <w:r>
        <w:rPr>
          <w:rStyle w:val="FootnoteReference"/>
        </w:rPr>
        <w:footnoteRef/>
      </w:r>
      <w:r>
        <w:t xml:space="preserve"> Forma PO07: </w:t>
      </w:r>
      <w:r>
        <w:rPr>
          <w:i/>
        </w:rPr>
        <w:t>CIL,</w:t>
      </w:r>
      <w:r>
        <w:t xml:space="preserve"> 5628; PO08: 5736 y 5834-5835; PO13: 10826 (</w:t>
      </w:r>
      <w:r w:rsidRPr="00AB2099">
        <w:rPr>
          <w:i/>
        </w:rPr>
        <w:t>Herculanum</w:t>
      </w:r>
      <w:r>
        <w:t>); PO36: 9536.</w:t>
      </w:r>
    </w:p>
  </w:footnote>
  <w:footnote w:id="98">
    <w:p w:rsidR="006E4549" w:rsidRDefault="006E4549" w:rsidP="00C07D47">
      <w:pPr>
        <w:pStyle w:val="FootnoteText"/>
        <w:jc w:val="both"/>
      </w:pPr>
      <w:r>
        <w:rPr>
          <w:rStyle w:val="FootnoteReference"/>
        </w:rPr>
        <w:footnoteRef/>
      </w:r>
      <w:r>
        <w:t xml:space="preserve"> </w:t>
      </w:r>
      <w:r w:rsidRPr="005426CF">
        <w:rPr>
          <w:i/>
        </w:rPr>
        <w:t>D. Caprasius Felix</w:t>
      </w:r>
      <w:r>
        <w:t xml:space="preserve"> en </w:t>
      </w:r>
      <w:r>
        <w:rPr>
          <w:i/>
        </w:rPr>
        <w:t>CIL,</w:t>
      </w:r>
      <w:r>
        <w:t xml:space="preserve"> 2665 (PO05). </w:t>
      </w:r>
      <w:r w:rsidRPr="005426CF">
        <w:rPr>
          <w:i/>
        </w:rPr>
        <w:t>C. Cordus Felix</w:t>
      </w:r>
      <w:r>
        <w:t xml:space="preserve"> en Giordano y Casale, 1991: n. 300 (PO08).  </w:t>
      </w:r>
      <w:r w:rsidRPr="005426CF">
        <w:rPr>
          <w:i/>
        </w:rPr>
        <w:t>M. Stlaborius Felix</w:t>
      </w:r>
      <w:r>
        <w:t xml:space="preserve"> en 2665 (PO08) y 6088 (AMP). </w:t>
      </w:r>
      <w:r w:rsidRPr="005426CF">
        <w:rPr>
          <w:i/>
        </w:rPr>
        <w:t>M. Valerius Felix</w:t>
      </w:r>
      <w:r>
        <w:t xml:space="preserve"> sobre AMP en 2565 y 10733</w:t>
      </w:r>
      <w:r w:rsidR="00880B57">
        <w:t xml:space="preserve"> </w:t>
      </w:r>
      <w:r w:rsidR="00880B57">
        <w:rPr>
          <w:bCs/>
          <w:color w:val="000000"/>
          <w:lang w:val="it-IT"/>
        </w:rPr>
        <w:t>(</w:t>
      </w:r>
      <w:r w:rsidR="00880B57" w:rsidRPr="00880B57">
        <w:rPr>
          <w:bCs/>
          <w:i/>
          <w:color w:val="000000"/>
          <w:lang w:val="it-IT"/>
        </w:rPr>
        <w:t>Herculanum</w:t>
      </w:r>
      <w:r w:rsidR="00880B57">
        <w:rPr>
          <w:bCs/>
          <w:color w:val="000000"/>
          <w:lang w:val="it-IT"/>
        </w:rPr>
        <w:t>)</w:t>
      </w:r>
      <w:r>
        <w:t>; sobre PO07 en 2669, 9372, 9378, 9609 y Giordano y Casale, 1991: n. 354; sobre PO12 en Giordano y Casale, 1991: n. 417.</w:t>
      </w:r>
    </w:p>
  </w:footnote>
  <w:footnote w:id="99">
    <w:p w:rsidR="006E4549" w:rsidRDefault="006E4549" w:rsidP="00C07D47">
      <w:pPr>
        <w:pStyle w:val="FootnoteText"/>
        <w:jc w:val="both"/>
      </w:pPr>
      <w:r>
        <w:rPr>
          <w:rStyle w:val="FootnoteReference"/>
        </w:rPr>
        <w:footnoteRef/>
      </w:r>
      <w:r>
        <w:t xml:space="preserve"> Forma PO08: </w:t>
      </w:r>
      <w:r>
        <w:rPr>
          <w:i/>
        </w:rPr>
        <w:t>CIL,</w:t>
      </w:r>
      <w:r>
        <w:t xml:space="preserve"> 6582 y 10476 (dos ánforas); PO10: 10435 (una de dos ánforas); PO12: 9816; PO27: 6288-6290 y 6386-6388.</w:t>
      </w:r>
    </w:p>
  </w:footnote>
  <w:footnote w:id="100">
    <w:p w:rsidR="006E4549" w:rsidRDefault="006E4549" w:rsidP="00C07D47">
      <w:pPr>
        <w:pStyle w:val="FootnoteText"/>
        <w:jc w:val="both"/>
      </w:pPr>
      <w:r>
        <w:rPr>
          <w:rStyle w:val="FootnoteReference"/>
        </w:rPr>
        <w:footnoteRef/>
      </w:r>
      <w:r>
        <w:t xml:space="preserve"> </w:t>
      </w:r>
      <w:r>
        <w:rPr>
          <w:i/>
        </w:rPr>
        <w:t>CIL,</w:t>
      </w:r>
      <w:r>
        <w:t xml:space="preserve"> 6582.</w:t>
      </w:r>
    </w:p>
  </w:footnote>
  <w:footnote w:id="101">
    <w:p w:rsidR="006E4549" w:rsidRDefault="006E4549" w:rsidP="00C07D47">
      <w:pPr>
        <w:pStyle w:val="FootnoteText"/>
        <w:jc w:val="both"/>
      </w:pPr>
      <w:r>
        <w:rPr>
          <w:rStyle w:val="FootnoteReference"/>
        </w:rPr>
        <w:footnoteRef/>
      </w:r>
      <w:r>
        <w:t xml:space="preserve"> Presuhn, 1878: abtheilung VI, tab. III.</w:t>
      </w:r>
    </w:p>
  </w:footnote>
  <w:footnote w:id="102">
    <w:p w:rsidR="006E4549" w:rsidRDefault="006E4549" w:rsidP="002015B0">
      <w:pPr>
        <w:pStyle w:val="FootnoteText"/>
        <w:jc w:val="both"/>
      </w:pPr>
      <w:r>
        <w:rPr>
          <w:rStyle w:val="FootnoteReference"/>
        </w:rPr>
        <w:footnoteRef/>
      </w:r>
      <w:r>
        <w:t xml:space="preserve"> Rizzo, 2014: 337.</w:t>
      </w:r>
    </w:p>
  </w:footnote>
  <w:footnote w:id="103">
    <w:p w:rsidR="006E4549" w:rsidRDefault="006E4549" w:rsidP="00C07D47">
      <w:pPr>
        <w:pStyle w:val="FootnoteText"/>
        <w:jc w:val="both"/>
      </w:pPr>
      <w:r>
        <w:rPr>
          <w:rStyle w:val="FootnoteReference"/>
        </w:rPr>
        <w:footnoteRef/>
      </w:r>
      <w:r>
        <w:t xml:space="preserve"> </w:t>
      </w:r>
      <w:r>
        <w:rPr>
          <w:i/>
        </w:rPr>
        <w:t>CIL,</w:t>
      </w:r>
      <w:r>
        <w:t xml:space="preserve"> 6386-6388.</w:t>
      </w:r>
    </w:p>
  </w:footnote>
  <w:footnote w:id="104">
    <w:p w:rsidR="006E4549" w:rsidRDefault="006E4549" w:rsidP="00C07D47">
      <w:pPr>
        <w:pStyle w:val="FootnoteText"/>
        <w:jc w:val="both"/>
      </w:pPr>
      <w:r>
        <w:rPr>
          <w:rStyle w:val="FootnoteReference"/>
        </w:rPr>
        <w:footnoteRef/>
      </w:r>
      <w:r>
        <w:t xml:space="preserve"> </w:t>
      </w:r>
      <w:r>
        <w:rPr>
          <w:i/>
        </w:rPr>
        <w:t>CIL,</w:t>
      </w:r>
      <w:r>
        <w:t xml:space="preserve"> 10435.</w:t>
      </w:r>
    </w:p>
  </w:footnote>
  <w:footnote w:id="105">
    <w:p w:rsidR="006E4549" w:rsidRDefault="006E4549" w:rsidP="00C07D47">
      <w:pPr>
        <w:pStyle w:val="FootnoteText"/>
        <w:jc w:val="both"/>
      </w:pPr>
      <w:r>
        <w:rPr>
          <w:rStyle w:val="FootnoteReference"/>
        </w:rPr>
        <w:footnoteRef/>
      </w:r>
      <w:r>
        <w:t xml:space="preserve"> </w:t>
      </w:r>
      <w:r>
        <w:rPr>
          <w:i/>
        </w:rPr>
        <w:t>CIL,</w:t>
      </w:r>
      <w:r>
        <w:t xml:space="preserve"> 10476.</w:t>
      </w:r>
    </w:p>
  </w:footnote>
  <w:footnote w:id="106">
    <w:p w:rsidR="006E4549" w:rsidRDefault="006E4549" w:rsidP="00C07D47">
      <w:pPr>
        <w:pStyle w:val="FootnoteText"/>
        <w:jc w:val="both"/>
      </w:pPr>
      <w:r>
        <w:rPr>
          <w:rStyle w:val="FootnoteReference"/>
        </w:rPr>
        <w:footnoteRef/>
      </w:r>
      <w:r>
        <w:t xml:space="preserve"> </w:t>
      </w:r>
      <w:r>
        <w:rPr>
          <w:i/>
        </w:rPr>
        <w:t>CIL,</w:t>
      </w:r>
      <w:r>
        <w:t xml:space="preserve"> 6288-6290 (PO08). Véase también las abreviaturas </w:t>
      </w:r>
      <w:r w:rsidRPr="00193D34">
        <w:rPr>
          <w:i/>
        </w:rPr>
        <w:t>Alex</w:t>
      </w:r>
      <w:r>
        <w:t xml:space="preserve">(---) en 5770 (PO08) y </w:t>
      </w:r>
      <w:r w:rsidRPr="00AF33A4">
        <w:t>Αλεχανδ</w:t>
      </w:r>
      <w:r>
        <w:t>(---) en Giordano y Casale, 1991: n. 294 (PO13).</w:t>
      </w:r>
    </w:p>
  </w:footnote>
  <w:footnote w:id="107">
    <w:p w:rsidR="006E4549" w:rsidRDefault="006E4549" w:rsidP="00C07D47">
      <w:pPr>
        <w:pStyle w:val="FootnoteText"/>
        <w:jc w:val="both"/>
      </w:pPr>
      <w:r>
        <w:rPr>
          <w:rStyle w:val="FootnoteReference"/>
        </w:rPr>
        <w:footnoteRef/>
      </w:r>
      <w:r>
        <w:t xml:space="preserve"> </w:t>
      </w:r>
      <w:r>
        <w:rPr>
          <w:i/>
        </w:rPr>
        <w:t>CIL,</w:t>
      </w:r>
      <w:r>
        <w:t xml:space="preserve"> 6543 (2 PO13).</w:t>
      </w:r>
    </w:p>
  </w:footnote>
  <w:footnote w:id="108">
    <w:p w:rsidR="006E4549" w:rsidRDefault="006E4549" w:rsidP="00C07D47">
      <w:pPr>
        <w:pStyle w:val="FootnoteText"/>
        <w:jc w:val="both"/>
      </w:pPr>
      <w:r>
        <w:rPr>
          <w:rStyle w:val="FootnoteReference"/>
        </w:rPr>
        <w:footnoteRef/>
      </w:r>
      <w:r>
        <w:t xml:space="preserve"> </w:t>
      </w:r>
      <w:r>
        <w:rPr>
          <w:i/>
        </w:rPr>
        <w:t>CIL,</w:t>
      </w:r>
      <w:r>
        <w:t xml:space="preserve"> 6957 (AMP) y 9744 (2 PO13).</w:t>
      </w:r>
    </w:p>
  </w:footnote>
  <w:footnote w:id="109">
    <w:p w:rsidR="006E4549" w:rsidRDefault="006E4549" w:rsidP="00C07D47">
      <w:pPr>
        <w:pStyle w:val="FootnoteText"/>
        <w:jc w:val="both"/>
      </w:pPr>
      <w:r>
        <w:rPr>
          <w:rStyle w:val="FootnoteReference"/>
        </w:rPr>
        <w:footnoteRef/>
      </w:r>
      <w:r>
        <w:t xml:space="preserve"> </w:t>
      </w:r>
      <w:r>
        <w:rPr>
          <w:i/>
        </w:rPr>
        <w:t>CIL,</w:t>
      </w:r>
      <w:r>
        <w:t xml:space="preserve"> 6450 y 6545 y, con una interpretación incierta, Marangou-Lerat, 1995: P79 (AC2a).</w:t>
      </w:r>
    </w:p>
  </w:footnote>
  <w:footnote w:id="110">
    <w:p w:rsidR="006E4549" w:rsidRDefault="006E4549" w:rsidP="00C07D47">
      <w:pPr>
        <w:pStyle w:val="FootnoteText"/>
        <w:jc w:val="both"/>
      </w:pPr>
      <w:r>
        <w:rPr>
          <w:rStyle w:val="FootnoteReference"/>
        </w:rPr>
        <w:footnoteRef/>
      </w:r>
      <w:r>
        <w:t xml:space="preserve"> La abreviatura </w:t>
      </w:r>
      <w:r w:rsidRPr="00AF33A4">
        <w:t>Κορ</w:t>
      </w:r>
      <w:r>
        <w:t xml:space="preserve">(---) en </w:t>
      </w:r>
      <w:r>
        <w:rPr>
          <w:i/>
        </w:rPr>
        <w:t>CIL,</w:t>
      </w:r>
      <w:r>
        <w:t xml:space="preserve"> 6378 (PO10), 6545 (PO08) y 10782 (PO10,</w:t>
      </w:r>
      <w:r w:rsidRPr="00DE2C7D">
        <w:rPr>
          <w:i/>
        </w:rPr>
        <w:t xml:space="preserve"> Herculanum</w:t>
      </w:r>
      <w:r>
        <w:t xml:space="preserve">) . Κορι(---) en Giordano y Casale, 1991: n. 263 (PO10) y Κοριν(---) en 6536 (PO10) y 9438 (AMP). Los posibles desarrollos son múltiples, véase </w:t>
      </w:r>
      <w:r w:rsidRPr="00DE2C7D">
        <w:rPr>
          <w:i/>
        </w:rPr>
        <w:t>LGPN</w:t>
      </w:r>
      <w:r>
        <w:t>.</w:t>
      </w:r>
    </w:p>
  </w:footnote>
  <w:footnote w:id="111">
    <w:p w:rsidR="006E4549" w:rsidRDefault="006E4549" w:rsidP="00C07D47">
      <w:pPr>
        <w:pStyle w:val="FootnoteText"/>
        <w:jc w:val="both"/>
      </w:pPr>
      <w:r>
        <w:rPr>
          <w:rStyle w:val="FootnoteReference"/>
        </w:rPr>
        <w:footnoteRef/>
      </w:r>
      <w:r>
        <w:t xml:space="preserve"> </w:t>
      </w:r>
      <w:r>
        <w:rPr>
          <w:i/>
        </w:rPr>
        <w:t>CIL,</w:t>
      </w:r>
      <w:r>
        <w:t xml:space="preserve"> 6378.</w:t>
      </w:r>
    </w:p>
  </w:footnote>
  <w:footnote w:id="112">
    <w:p w:rsidR="006E4549" w:rsidRDefault="006E4549" w:rsidP="00C07D47">
      <w:pPr>
        <w:pStyle w:val="FootnoteText"/>
        <w:jc w:val="both"/>
      </w:pPr>
      <w:r>
        <w:rPr>
          <w:rStyle w:val="FootnoteReference"/>
        </w:rPr>
        <w:footnoteRef/>
      </w:r>
      <w:r>
        <w:t xml:space="preserve"> </w:t>
      </w:r>
      <w:r>
        <w:rPr>
          <w:i/>
        </w:rPr>
        <w:t>CIL,</w:t>
      </w:r>
      <w:r>
        <w:t xml:space="preserve"> 6585 (PO08).</w:t>
      </w:r>
    </w:p>
  </w:footnote>
  <w:footnote w:id="113">
    <w:p w:rsidR="006E4549" w:rsidRDefault="006E4549" w:rsidP="00C07D47">
      <w:pPr>
        <w:pStyle w:val="FootnoteText"/>
        <w:jc w:val="both"/>
      </w:pPr>
      <w:r>
        <w:rPr>
          <w:rStyle w:val="FootnoteReference"/>
        </w:rPr>
        <w:footnoteRef/>
      </w:r>
      <w:r>
        <w:t xml:space="preserve"> </w:t>
      </w:r>
      <w:r>
        <w:rPr>
          <w:i/>
        </w:rPr>
        <w:t>CIL,</w:t>
      </w:r>
      <w:r>
        <w:t xml:space="preserve"> 10877 (AMP, </w:t>
      </w:r>
      <w:r w:rsidRPr="00ED0F2C">
        <w:rPr>
          <w:i/>
        </w:rPr>
        <w:t>Herculanum</w:t>
      </w:r>
      <w:r>
        <w:t xml:space="preserve">). Los casos 19-20 también se podrían leer como </w:t>
      </w:r>
      <w:r w:rsidRPr="007B77F3">
        <w:rPr>
          <w:i/>
        </w:rPr>
        <w:t>Ν. Ϲ. Υ.</w:t>
      </w:r>
    </w:p>
  </w:footnote>
  <w:footnote w:id="114">
    <w:p w:rsidR="006E4549" w:rsidRDefault="006E4549" w:rsidP="00C07D47">
      <w:pPr>
        <w:pStyle w:val="FootnoteText"/>
        <w:jc w:val="both"/>
      </w:pPr>
      <w:r>
        <w:rPr>
          <w:rStyle w:val="FootnoteReference"/>
        </w:rPr>
        <w:footnoteRef/>
      </w:r>
      <w:r>
        <w:t xml:space="preserve"> </w:t>
      </w:r>
      <w:r>
        <w:rPr>
          <w:i/>
        </w:rPr>
        <w:t>CIL,</w:t>
      </w:r>
      <w:r>
        <w:t xml:space="preserve"> 6587 (PO08).</w:t>
      </w:r>
    </w:p>
  </w:footnote>
  <w:footnote w:id="115">
    <w:p w:rsidR="006E4549" w:rsidRDefault="006E4549" w:rsidP="00C07D47">
      <w:pPr>
        <w:pStyle w:val="FootnoteText"/>
        <w:jc w:val="both"/>
      </w:pPr>
      <w:r>
        <w:rPr>
          <w:rStyle w:val="FootnoteReference"/>
        </w:rPr>
        <w:footnoteRef/>
      </w:r>
      <w:r>
        <w:t xml:space="preserve"> </w:t>
      </w:r>
      <w:r>
        <w:rPr>
          <w:i/>
        </w:rPr>
        <w:t>CIL,</w:t>
      </w:r>
      <w:r>
        <w:t xml:space="preserve"> 5922, 5976, 6111 y 6436; Giordano y Casale, 1991: n. 352.</w:t>
      </w:r>
    </w:p>
  </w:footnote>
  <w:footnote w:id="116">
    <w:p w:rsidR="006E4549" w:rsidRDefault="006E4549" w:rsidP="00C07D47">
      <w:pPr>
        <w:pStyle w:val="FootnoteText"/>
        <w:jc w:val="both"/>
      </w:pPr>
      <w:r>
        <w:rPr>
          <w:rStyle w:val="FootnoteReference"/>
        </w:rPr>
        <w:footnoteRef/>
      </w:r>
      <w:r>
        <w:t xml:space="preserve"> </w:t>
      </w:r>
      <w:r w:rsidRPr="00833DFA">
        <w:rPr>
          <w:i/>
        </w:rPr>
        <w:t>Gilvus</w:t>
      </w:r>
      <w:r>
        <w:t xml:space="preserve">: </w:t>
      </w:r>
      <w:r>
        <w:rPr>
          <w:i/>
        </w:rPr>
        <w:t>CIL,</w:t>
      </w:r>
      <w:r>
        <w:t xml:space="preserve"> 6066 (</w:t>
      </w:r>
      <w:r w:rsidR="00C10DAF">
        <w:t>PO12), 6118 (PO13) y 6488 (AMP);</w:t>
      </w:r>
      <w:r>
        <w:t xml:space="preserve"> </w:t>
      </w:r>
      <w:r w:rsidR="00C10DAF">
        <w:rPr>
          <w:i/>
        </w:rPr>
        <w:t>ru</w:t>
      </w:r>
      <w:r w:rsidRPr="00080C48">
        <w:rPr>
          <w:i/>
        </w:rPr>
        <w:t>brum</w:t>
      </w:r>
      <w:r w:rsidR="00C10DAF">
        <w:t xml:space="preserve">: 5922; </w:t>
      </w:r>
      <w:r w:rsidR="00C10DAF">
        <w:rPr>
          <w:i/>
        </w:rPr>
        <w:t>ni</w:t>
      </w:r>
      <w:r w:rsidRPr="00080C48">
        <w:rPr>
          <w:i/>
        </w:rPr>
        <w:t>grum</w:t>
      </w:r>
      <w:r>
        <w:t>: Giordano y Casale, 1991: n. 352.</w:t>
      </w:r>
    </w:p>
  </w:footnote>
  <w:footnote w:id="117">
    <w:p w:rsidR="006E4549" w:rsidRDefault="006E4549" w:rsidP="00C07D47">
      <w:pPr>
        <w:pStyle w:val="FootnoteText"/>
        <w:jc w:val="both"/>
      </w:pPr>
      <w:r>
        <w:rPr>
          <w:rStyle w:val="FootnoteReference"/>
        </w:rPr>
        <w:footnoteRef/>
      </w:r>
      <w:r>
        <w:t xml:space="preserve"> </w:t>
      </w:r>
      <w:r>
        <w:rPr>
          <w:i/>
        </w:rPr>
        <w:t>CIL,</w:t>
      </w:r>
      <w:r>
        <w:t xml:space="preserve"> 6324. Véase </w:t>
      </w:r>
      <w:r w:rsidRPr="00D2169D">
        <w:rPr>
          <w:i/>
        </w:rPr>
        <w:t>LGPN</w:t>
      </w:r>
      <w:r>
        <w:t>. También se podría leer como el vocativo o dativo de Μάνας.</w:t>
      </w:r>
    </w:p>
  </w:footnote>
  <w:footnote w:id="118">
    <w:p w:rsidR="006E4549" w:rsidRPr="00C41478" w:rsidRDefault="006E4549" w:rsidP="00C07D47">
      <w:pPr>
        <w:pStyle w:val="FootnoteText"/>
        <w:jc w:val="both"/>
      </w:pPr>
      <w:r>
        <w:rPr>
          <w:rStyle w:val="FootnoteReference"/>
        </w:rPr>
        <w:footnoteRef/>
      </w:r>
      <w:r>
        <w:t xml:space="preserve"> </w:t>
      </w:r>
      <w:r>
        <w:rPr>
          <w:i/>
        </w:rPr>
        <w:t>CIL,</w:t>
      </w:r>
      <w:r>
        <w:t xml:space="preserve"> 6486-6487, 10457 y Marangou-Lerat, 1995: P78 (fig. 91; </w:t>
      </w:r>
      <w:r w:rsidRPr="00FE6D76">
        <w:rPr>
          <w:i/>
        </w:rPr>
        <w:t>Oplontis</w:t>
      </w:r>
      <w:r>
        <w:t xml:space="preserve">; AC2a). Véase también </w:t>
      </w:r>
      <w:r w:rsidRPr="00080C48">
        <w:rPr>
          <w:i/>
        </w:rPr>
        <w:t>Marci</w:t>
      </w:r>
      <w:r>
        <w:t xml:space="preserve"> en 5861 (PO02). P78 incluye la abreviatura Πολ(---) en la misma línea de texto. Dicha abreviatura también se halla en 9771 (PO15), junto con ΚΟΡ^Υ o ΚΟΥ^Ρ. Ambas formas podrían corresponder a abreviaturas de nombres personales. Véase </w:t>
      </w:r>
      <w:r w:rsidRPr="00B972FB">
        <w:rPr>
          <w:i/>
        </w:rPr>
        <w:t>LGPN</w:t>
      </w:r>
      <w:r>
        <w:t xml:space="preserve">. La ligadura entre Ρ^Υ plantea dudas sobre de interpretación en relación a las abreviaturas Κορ(---), comentadas anteriormente. Sobre estas inscripciones, sus paralelos y lecturas: Vipard, 1995: </w:t>
      </w:r>
      <w:r w:rsidRPr="006E2C13">
        <w:t xml:space="preserve">65-67 y 72; Carreras y Williams, 2002: 136-137. </w:t>
      </w:r>
      <w:r w:rsidRPr="00C41478">
        <w:t>Una síntesis del debate sobre los contenidos y proce</w:t>
      </w:r>
      <w:r>
        <w:t>dencia de la PO15 en Rizzo, 2014: 340-341.</w:t>
      </w:r>
    </w:p>
  </w:footnote>
  <w:footnote w:id="119">
    <w:p w:rsidR="006E4549" w:rsidRDefault="006E4549" w:rsidP="00C07D47">
      <w:pPr>
        <w:pStyle w:val="FootnoteText"/>
        <w:jc w:val="both"/>
      </w:pPr>
      <w:r>
        <w:rPr>
          <w:rStyle w:val="FootnoteReference"/>
        </w:rPr>
        <w:footnoteRef/>
      </w:r>
      <w:r>
        <w:t xml:space="preserve"> Entre otras denominaciones en Marangou-Lerat, 1995: 84.</w:t>
      </w:r>
    </w:p>
  </w:footnote>
  <w:footnote w:id="120">
    <w:p w:rsidR="006E4549" w:rsidRDefault="006E4549" w:rsidP="00C07D47">
      <w:pPr>
        <w:pStyle w:val="FootnoteText"/>
        <w:jc w:val="both"/>
      </w:pPr>
      <w:r>
        <w:rPr>
          <w:rStyle w:val="FootnoteReference"/>
        </w:rPr>
        <w:footnoteRef/>
      </w:r>
      <w:r>
        <w:t xml:space="preserve"> El numeral I en Marangou-Lerat, 1995: P91(AC4, Nápoles). El numeral II en </w:t>
      </w:r>
      <w:r>
        <w:rPr>
          <w:i/>
        </w:rPr>
        <w:t>CIL,</w:t>
      </w:r>
      <w:r>
        <w:t xml:space="preserve"> 10894 (4 PO08</w:t>
      </w:r>
      <w:r w:rsidR="00880B57">
        <w:t xml:space="preserve">, </w:t>
      </w:r>
      <w:r w:rsidR="00880B57" w:rsidRPr="00880B57">
        <w:rPr>
          <w:i/>
        </w:rPr>
        <w:t>Herculanum</w:t>
      </w:r>
      <w:r w:rsidR="00C10DAF">
        <w:t>) y P89 (AC4, Nápoles). Est</w:t>
      </w:r>
      <w:r>
        <w:t xml:space="preserve">as ánforas del </w:t>
      </w:r>
      <w:r w:rsidRPr="00EB50EB">
        <w:rPr>
          <w:i/>
        </w:rPr>
        <w:t>CIL</w:t>
      </w:r>
      <w:r>
        <w:t xml:space="preserve"> fueron clasificadas como PO08, pero podrían ser AC4: Cassia, M. (2014) p. 471-472. El numeral III de CEIPAC 32496 (AC4, Caerleon)-32497 (AC4, Londres). Un posible numeral VI en CEIPAC 30788 (AC4, Fos-Sur-Mer). El numeral VII sobre Minuc(---) en </w:t>
      </w:r>
      <w:r>
        <w:rPr>
          <w:i/>
        </w:rPr>
        <w:t>CIL,</w:t>
      </w:r>
      <w:r>
        <w:t xml:space="preserve"> 6937 (PO36), con los paralelos:</w:t>
      </w:r>
      <w:r w:rsidRPr="00BE0E96">
        <w:rPr>
          <w:i/>
        </w:rPr>
        <w:t xml:space="preserve"> </w:t>
      </w:r>
      <w:r w:rsidRPr="000238AB">
        <w:rPr>
          <w:i/>
        </w:rPr>
        <w:t>I</w:t>
      </w:r>
      <w:r>
        <w:t xml:space="preserve"> / </w:t>
      </w:r>
      <w:r w:rsidRPr="000238AB">
        <w:rPr>
          <w:i/>
        </w:rPr>
        <w:t>Min</w:t>
      </w:r>
      <w:r>
        <w:t xml:space="preserve">(---) en 10795 (PO08, </w:t>
      </w:r>
      <w:r w:rsidRPr="003612A6">
        <w:rPr>
          <w:i/>
        </w:rPr>
        <w:t>Herculanum</w:t>
      </w:r>
      <w:r>
        <w:t xml:space="preserve">; véase Cassia, 2014: 470, tab. 1 y quizás en P92 (AC4, Nápoles); </w:t>
      </w:r>
      <w:r w:rsidRPr="000238AB">
        <w:rPr>
          <w:i/>
        </w:rPr>
        <w:t>II</w:t>
      </w:r>
      <w:r>
        <w:t xml:space="preserve"> / </w:t>
      </w:r>
      <w:r w:rsidRPr="000238AB">
        <w:rPr>
          <w:i/>
        </w:rPr>
        <w:t>Minuc</w:t>
      </w:r>
      <w:r>
        <w:t xml:space="preserve">(---) en 9552 (AMP);  </w:t>
      </w:r>
      <w:r w:rsidRPr="00FF7677">
        <w:rPr>
          <w:i/>
        </w:rPr>
        <w:t>III</w:t>
      </w:r>
      <w:r>
        <w:t xml:space="preserve"> / </w:t>
      </w:r>
      <w:r w:rsidRPr="00FF7677">
        <w:rPr>
          <w:i/>
        </w:rPr>
        <w:t>Minuc</w:t>
      </w:r>
      <w:r>
        <w:t>(---) en 6936 (POXLII?), 9553 (PO08)-9554 (</w:t>
      </w:r>
      <w:r w:rsidRPr="00FF7677">
        <w:rPr>
          <w:i/>
        </w:rPr>
        <w:t>parva amphora (XIII)</w:t>
      </w:r>
      <w:r>
        <w:t>) y 10793 (AMP</w:t>
      </w:r>
      <w:r w:rsidR="00880B57">
        <w:t xml:space="preserve">, </w:t>
      </w:r>
      <w:r w:rsidR="00880B57" w:rsidRPr="003612A6">
        <w:rPr>
          <w:i/>
        </w:rPr>
        <w:t>Herculanum</w:t>
      </w:r>
      <w:r>
        <w:t>); y</w:t>
      </w:r>
      <w:r w:rsidRPr="00CE4E11">
        <w:rPr>
          <w:i/>
        </w:rPr>
        <w:t xml:space="preserve"> </w:t>
      </w:r>
      <w:r w:rsidRPr="000238AB">
        <w:rPr>
          <w:i/>
        </w:rPr>
        <w:t>IV</w:t>
      </w:r>
      <w:r>
        <w:t xml:space="preserve"> / </w:t>
      </w:r>
      <w:r w:rsidRPr="000238AB">
        <w:rPr>
          <w:i/>
        </w:rPr>
        <w:t>Minuc</w:t>
      </w:r>
      <w:r>
        <w:t>(---) en 10794 (AMP</w:t>
      </w:r>
      <w:r w:rsidR="00880B57">
        <w:t xml:space="preserve">, </w:t>
      </w:r>
      <w:r w:rsidR="00880B57" w:rsidRPr="003612A6">
        <w:rPr>
          <w:i/>
        </w:rPr>
        <w:t>Herculanum</w:t>
      </w:r>
      <w:r>
        <w:t xml:space="preserve">), pudiendo tratarse de AC4 también. El numeral VIII en P90 (AC4, Nápoles). Para las cifras más altas puede sugerirse la lectura: </w:t>
      </w:r>
      <w:r w:rsidRPr="00B0123A">
        <w:rPr>
          <w:i/>
        </w:rPr>
        <w:t>v</w:t>
      </w:r>
      <w:r>
        <w:t xml:space="preserve">(etus) </w:t>
      </w:r>
      <w:r w:rsidRPr="00B0123A">
        <w:rPr>
          <w:i/>
        </w:rPr>
        <w:t>I</w:t>
      </w:r>
      <w:r>
        <w:t xml:space="preserve">, </w:t>
      </w:r>
      <w:r w:rsidRPr="00B0123A">
        <w:rPr>
          <w:i/>
        </w:rPr>
        <w:t>II</w:t>
      </w:r>
      <w:r>
        <w:t xml:space="preserve"> o </w:t>
      </w:r>
      <w:r w:rsidRPr="00B0123A">
        <w:rPr>
          <w:i/>
        </w:rPr>
        <w:t>III</w:t>
      </w:r>
      <w:r>
        <w:t xml:space="preserve"> (annorum), respectivamente. Véase la nota siguiente, especialmente </w:t>
      </w:r>
      <w:r w:rsidRPr="00B0123A">
        <w:rPr>
          <w:i/>
        </w:rPr>
        <w:t>CIL</w:t>
      </w:r>
      <w:r>
        <w:t xml:space="preserve"> 5596 y Giordano y Casale, 1991: n. </w:t>
      </w:r>
      <w:r w:rsidRPr="00F25364">
        <w:t>414</w:t>
      </w:r>
      <w:r>
        <w:t>.</w:t>
      </w:r>
    </w:p>
  </w:footnote>
  <w:footnote w:id="121">
    <w:p w:rsidR="006E4549" w:rsidRPr="007636BA" w:rsidRDefault="006E4549" w:rsidP="00C07D47">
      <w:pPr>
        <w:pStyle w:val="FootnoteText"/>
        <w:jc w:val="both"/>
      </w:pPr>
      <w:r>
        <w:rPr>
          <w:rStyle w:val="FootnoteReference"/>
        </w:rPr>
        <w:footnoteRef/>
      </w:r>
      <w:r>
        <w:rPr>
          <w:lang w:val="en-US"/>
        </w:rPr>
        <w:t xml:space="preserve"> Ehmig, </w:t>
      </w:r>
      <w:r w:rsidRPr="00F90ABC">
        <w:rPr>
          <w:lang w:val="en-US"/>
        </w:rPr>
        <w:t>2007</w:t>
      </w:r>
      <w:r>
        <w:rPr>
          <w:lang w:val="en-US"/>
        </w:rPr>
        <w:t>:</w:t>
      </w:r>
      <w:r w:rsidRPr="00F90ABC">
        <w:rPr>
          <w:lang w:val="en-US"/>
        </w:rPr>
        <w:t xml:space="preserve"> 227, abb. 2a-b (Dressel 43, </w:t>
      </w:r>
      <w:r>
        <w:rPr>
          <w:lang w:val="en-US"/>
        </w:rPr>
        <w:t xml:space="preserve">Colonia). </w:t>
      </w:r>
      <w:r w:rsidRPr="007636BA">
        <w:t>Se p</w:t>
      </w:r>
      <w:r>
        <w:t>uede</w:t>
      </w:r>
      <w:r w:rsidRPr="007636BA">
        <w:t xml:space="preserve"> interpret</w:t>
      </w:r>
      <w:r>
        <w:t>a</w:t>
      </w:r>
      <w:r w:rsidRPr="007636BA">
        <w:t xml:space="preserve">r como: </w:t>
      </w:r>
      <w:r w:rsidRPr="007636BA">
        <w:rPr>
          <w:i/>
        </w:rPr>
        <w:t>Cret</w:t>
      </w:r>
      <w:r w:rsidRPr="007636BA">
        <w:t xml:space="preserve">(icum vinum) / </w:t>
      </w:r>
      <w:r w:rsidRPr="007636BA">
        <w:rPr>
          <w:i/>
        </w:rPr>
        <w:t>vet</w:t>
      </w:r>
      <w:r w:rsidRPr="007636BA">
        <w:t xml:space="preserve">(us) / </w:t>
      </w:r>
      <w:r w:rsidRPr="00337402">
        <w:rPr>
          <w:i/>
        </w:rPr>
        <w:t>a</w:t>
      </w:r>
      <w:r w:rsidRPr="007636BA">
        <w:t>(nnorum</w:t>
      </w:r>
      <w:r>
        <w:t xml:space="preserve"> I</w:t>
      </w:r>
      <w:r w:rsidRPr="007636BA">
        <w:t xml:space="preserve">) / … / </w:t>
      </w:r>
      <w:r w:rsidRPr="00337402">
        <w:rPr>
          <w:i/>
        </w:rPr>
        <w:t>p</w:t>
      </w:r>
      <w:r w:rsidRPr="007636BA">
        <w:t xml:space="preserve">… </w:t>
      </w:r>
      <w:r>
        <w:t xml:space="preserve">Véase en especial </w:t>
      </w:r>
      <w:r>
        <w:rPr>
          <w:i/>
        </w:rPr>
        <w:t>CIL,</w:t>
      </w:r>
      <w:r>
        <w:t xml:space="preserve"> 5526 (PO08). Otras posibles indicaciones en</w:t>
      </w:r>
      <w:r w:rsidRPr="00F25364">
        <w:t xml:space="preserve"> PO08, bajo la fórmula</w:t>
      </w:r>
      <w:r>
        <w:t xml:space="preserve"> </w:t>
      </w:r>
      <w:r w:rsidRPr="00B0123A">
        <w:rPr>
          <w:i/>
        </w:rPr>
        <w:t>vet</w:t>
      </w:r>
      <w:r>
        <w:t xml:space="preserve">(us), en </w:t>
      </w:r>
      <w:r w:rsidRPr="00F25364">
        <w:t xml:space="preserve">5596 (VET IIII) y 5602 (VET·) y </w:t>
      </w:r>
      <w:r>
        <w:t xml:space="preserve">Giordano y Casale, 1991: n. </w:t>
      </w:r>
      <w:r w:rsidRPr="00F25364">
        <w:t>414 (VETIII).</w:t>
      </w:r>
      <w:r>
        <w:t xml:space="preserve"> También </w:t>
      </w:r>
      <w:r w:rsidRPr="00F25364">
        <w:t>bajo la fórmula</w:t>
      </w:r>
      <w:r>
        <w:t xml:space="preserve"> </w:t>
      </w:r>
      <w:r w:rsidRPr="00B0123A">
        <w:rPr>
          <w:i/>
        </w:rPr>
        <w:t>a</w:t>
      </w:r>
      <w:r>
        <w:t xml:space="preserve">(nnorum) </w:t>
      </w:r>
      <w:r w:rsidRPr="00F25364">
        <w:t xml:space="preserve">en </w:t>
      </w:r>
      <w:r>
        <w:t xml:space="preserve">6486, 6544, 6589, 6591, 9646, 10408, 10375, </w:t>
      </w:r>
      <w:r w:rsidR="00880B57">
        <w:t>10801 (</w:t>
      </w:r>
      <w:r w:rsidR="00880B57" w:rsidRPr="00880B57">
        <w:rPr>
          <w:i/>
        </w:rPr>
        <w:t>Herculanum</w:t>
      </w:r>
      <w:r w:rsidR="00880B57">
        <w:t xml:space="preserve">), </w:t>
      </w:r>
      <w:r>
        <w:t xml:space="preserve">Giordano y Casale, 1991: n. 412 y 419 (A) y </w:t>
      </w:r>
      <w:r w:rsidRPr="00F25364">
        <w:t>6041 (IAAA</w:t>
      </w:r>
      <w:r>
        <w:t xml:space="preserve">). También sobre PO08, se han considerado las siguientes fórmulas: </w:t>
      </w:r>
      <w:r w:rsidRPr="00B0123A">
        <w:rPr>
          <w:i/>
        </w:rPr>
        <w:t>p</w:t>
      </w:r>
      <w:r>
        <w:t xml:space="preserve">(ondo) en 5526, 5914, 5979, 9493 y 10389; </w:t>
      </w:r>
      <w:r w:rsidRPr="00B0123A">
        <w:rPr>
          <w:i/>
        </w:rPr>
        <w:t>t</w:t>
      </w:r>
      <w:r>
        <w:t xml:space="preserve">(otius) </w:t>
      </w:r>
      <w:r w:rsidRPr="00B0123A">
        <w:rPr>
          <w:i/>
        </w:rPr>
        <w:t>p</w:t>
      </w:r>
      <w:r>
        <w:t>(ondo) en 5526, 9426 y 10839</w:t>
      </w:r>
      <w:r w:rsidR="00880B57">
        <w:t xml:space="preserve"> (</w:t>
      </w:r>
      <w:r w:rsidR="00880B57" w:rsidRPr="00880B57">
        <w:rPr>
          <w:i/>
        </w:rPr>
        <w:t>Herculanum</w:t>
      </w:r>
      <w:r w:rsidR="00880B57">
        <w:t>)</w:t>
      </w:r>
      <w:r>
        <w:t xml:space="preserve">; y </w:t>
      </w:r>
      <w:r w:rsidRPr="00B0123A">
        <w:rPr>
          <w:i/>
        </w:rPr>
        <w:t>s</w:t>
      </w:r>
      <w:r>
        <w:t xml:space="preserve">(extaria) o </w:t>
      </w:r>
      <w:r w:rsidRPr="00B0123A">
        <w:rPr>
          <w:i/>
        </w:rPr>
        <w:t>s</w:t>
      </w:r>
      <w:r>
        <w:t xml:space="preserve">(estertii) en 6483 y 6961. La menor de todas las cifras asociadas es </w:t>
      </w:r>
      <w:r w:rsidRPr="00B0123A">
        <w:rPr>
          <w:i/>
        </w:rPr>
        <w:t>t</w:t>
      </w:r>
      <w:r>
        <w:t xml:space="preserve">(otius) </w:t>
      </w:r>
      <w:r w:rsidRPr="00B0123A">
        <w:rPr>
          <w:i/>
        </w:rPr>
        <w:t>p</w:t>
      </w:r>
      <w:r>
        <w:t>(ondo) XVI en 5526.</w:t>
      </w:r>
    </w:p>
  </w:footnote>
  <w:footnote w:id="122">
    <w:p w:rsidR="006E4549" w:rsidRPr="006E2C13" w:rsidRDefault="006E4549" w:rsidP="00C07D47">
      <w:pPr>
        <w:pStyle w:val="FootnoteText"/>
        <w:jc w:val="both"/>
      </w:pPr>
      <w:r>
        <w:rPr>
          <w:rStyle w:val="FootnoteReference"/>
        </w:rPr>
        <w:footnoteRef/>
      </w:r>
      <w:r w:rsidRPr="006E2C13">
        <w:t xml:space="preserve"> </w:t>
      </w:r>
      <w:r>
        <w:t xml:space="preserve">Brizio, 1872: </w:t>
      </w:r>
      <w:r w:rsidRPr="006E2C13">
        <w:t>170, n. 220-224.</w:t>
      </w:r>
    </w:p>
  </w:footnote>
  <w:footnote w:id="123">
    <w:p w:rsidR="006E4549" w:rsidRDefault="006E4549" w:rsidP="00C07D47">
      <w:pPr>
        <w:pStyle w:val="FootnoteText"/>
        <w:jc w:val="both"/>
      </w:pPr>
      <w:r>
        <w:rPr>
          <w:rStyle w:val="FootnoteReference"/>
        </w:rPr>
        <w:footnoteRef/>
      </w:r>
      <w:r>
        <w:t xml:space="preserve"> </w:t>
      </w:r>
      <w:r>
        <w:rPr>
          <w:i/>
        </w:rPr>
        <w:t>CIL,</w:t>
      </w:r>
      <w:r>
        <w:t xml:space="preserve"> 6079.</w:t>
      </w:r>
    </w:p>
  </w:footnote>
  <w:footnote w:id="124">
    <w:p w:rsidR="006E4549" w:rsidRDefault="006E4549" w:rsidP="00C07D47">
      <w:pPr>
        <w:pStyle w:val="FootnoteText"/>
        <w:jc w:val="both"/>
      </w:pPr>
      <w:r>
        <w:rPr>
          <w:rStyle w:val="FootnoteReference"/>
        </w:rPr>
        <w:footnoteRef/>
      </w:r>
      <w:r>
        <w:t xml:space="preserve"> Véanse las variantes </w:t>
      </w:r>
      <w:r w:rsidRPr="00367FA9">
        <w:rPr>
          <w:i/>
        </w:rPr>
        <w:t>Erotis</w:t>
      </w:r>
      <w:r>
        <w:t xml:space="preserve"> y </w:t>
      </w:r>
      <w:r w:rsidRPr="00B06F7B">
        <w:t>Ἔρωτο</w:t>
      </w:r>
      <w:r w:rsidR="00C10DAF">
        <w:t>ς</w:t>
      </w:r>
      <w:r>
        <w:t xml:space="preserve"> en </w:t>
      </w:r>
      <w:r>
        <w:rPr>
          <w:i/>
        </w:rPr>
        <w:t>CIL,</w:t>
      </w:r>
      <w:r>
        <w:t xml:space="preserve"> 9577 (PO36) y 10419 (PO08) respectivamente.</w:t>
      </w:r>
    </w:p>
  </w:footnote>
  <w:footnote w:id="125">
    <w:p w:rsidR="006E4549" w:rsidRDefault="006E4549" w:rsidP="00C07D47">
      <w:pPr>
        <w:pStyle w:val="FootnoteText"/>
        <w:jc w:val="both"/>
      </w:pPr>
      <w:r>
        <w:rPr>
          <w:rStyle w:val="FootnoteReference"/>
        </w:rPr>
        <w:footnoteRef/>
      </w:r>
      <w:r>
        <w:t xml:space="preserve"> Véanse las posibles abreviaturas en </w:t>
      </w:r>
      <w:r w:rsidRPr="00310C9E">
        <w:rPr>
          <w:i/>
        </w:rPr>
        <w:t>LGPN</w:t>
      </w:r>
      <w:r>
        <w:t xml:space="preserve">. </w:t>
      </w:r>
      <w:r w:rsidRPr="00B06F7B">
        <w:t>Προϲ</w:t>
      </w:r>
      <w:r>
        <w:t xml:space="preserve">(---) en </w:t>
      </w:r>
      <w:r>
        <w:rPr>
          <w:i/>
        </w:rPr>
        <w:t>CIL,</w:t>
      </w:r>
      <w:r>
        <w:t xml:space="preserve"> 6537 (PO11) y el genitivo de Προσθένης en 9808 (AMP).</w:t>
      </w:r>
    </w:p>
  </w:footnote>
  <w:footnote w:id="126">
    <w:p w:rsidR="006E4549" w:rsidRDefault="006E4549" w:rsidP="00C07D47">
      <w:pPr>
        <w:pStyle w:val="FootnoteText"/>
        <w:jc w:val="both"/>
      </w:pPr>
      <w:r>
        <w:rPr>
          <w:rStyle w:val="FootnoteReference"/>
        </w:rPr>
        <w:footnoteRef/>
      </w:r>
      <w:r>
        <w:t xml:space="preserve"> MAL en </w:t>
      </w:r>
      <w:r>
        <w:rPr>
          <w:i/>
        </w:rPr>
        <w:t>CIL,</w:t>
      </w:r>
      <w:r>
        <w:t xml:space="preserve"> 5550 (PO04).</w:t>
      </w:r>
    </w:p>
  </w:footnote>
  <w:footnote w:id="127">
    <w:p w:rsidR="006E4549" w:rsidRDefault="006E4549" w:rsidP="00C07D47">
      <w:pPr>
        <w:pStyle w:val="FootnoteText"/>
        <w:jc w:val="both"/>
      </w:pPr>
      <w:r>
        <w:rPr>
          <w:rStyle w:val="FootnoteReference"/>
        </w:rPr>
        <w:footnoteRef/>
      </w:r>
      <w:r>
        <w:t xml:space="preserve"> Forma AMP: </w:t>
      </w:r>
      <w:r>
        <w:rPr>
          <w:i/>
        </w:rPr>
        <w:t>CIL,</w:t>
      </w:r>
      <w:r>
        <w:t xml:space="preserve"> 5598 y 10877</w:t>
      </w:r>
      <w:r w:rsidR="00880B57">
        <w:t xml:space="preserve"> (</w:t>
      </w:r>
      <w:r w:rsidR="00880B57" w:rsidRPr="00880B57">
        <w:rPr>
          <w:i/>
        </w:rPr>
        <w:t>Herculanum</w:t>
      </w:r>
      <w:r w:rsidR="00880B57">
        <w:t>)</w:t>
      </w:r>
      <w:r>
        <w:t xml:space="preserve">; PO08: 6414; PO10: 9748; PO13: 6110, 9744 (dos ánforas), 9747 (dos ánforas) y 9777. </w:t>
      </w:r>
    </w:p>
  </w:footnote>
  <w:footnote w:id="128">
    <w:p w:rsidR="006E4549" w:rsidRDefault="006E4549" w:rsidP="00C07D47">
      <w:pPr>
        <w:pStyle w:val="FootnoteText"/>
        <w:jc w:val="both"/>
      </w:pPr>
      <w:r>
        <w:rPr>
          <w:rStyle w:val="FootnoteReference"/>
        </w:rPr>
        <w:footnoteRef/>
      </w:r>
      <w:r>
        <w:t xml:space="preserve"> Forma AMP: </w:t>
      </w:r>
      <w:r>
        <w:rPr>
          <w:i/>
        </w:rPr>
        <w:t>CIL,</w:t>
      </w:r>
      <w:r>
        <w:t xml:space="preserve"> 9778; PO09: 9475 (en cuatro de cinco ánforas); PO11?: 6232; PO13: 2827; PO41: 6918.</w:t>
      </w:r>
    </w:p>
  </w:footnote>
  <w:footnote w:id="129">
    <w:p w:rsidR="006E4549" w:rsidRDefault="006E4549" w:rsidP="00C07D47">
      <w:pPr>
        <w:pStyle w:val="FootnoteText"/>
        <w:jc w:val="both"/>
      </w:pPr>
      <w:r>
        <w:rPr>
          <w:rStyle w:val="FootnoteReference"/>
        </w:rPr>
        <w:footnoteRef/>
      </w:r>
      <w:r>
        <w:t xml:space="preserve"> Marangou-Lerat, 1995: P94. Este nombre en genitivo se ha relacionado con las siglas </w:t>
      </w:r>
      <w:r w:rsidRPr="00575082">
        <w:rPr>
          <w:i/>
        </w:rPr>
        <w:t>M. C. T.</w:t>
      </w:r>
      <w:r>
        <w:t xml:space="preserve"> (P90) y </w:t>
      </w:r>
      <w:r w:rsidRPr="00575082">
        <w:rPr>
          <w:i/>
        </w:rPr>
        <w:t>Μ. Κ. Θ.</w:t>
      </w:r>
      <w:r>
        <w:t xml:space="preserve"> (P91), en estructuras muy similares entre sí. Estas siglas iban precedidas de los numerales </w:t>
      </w:r>
      <w:r w:rsidRPr="00C10DAF">
        <w:t>VIII</w:t>
      </w:r>
      <w:r>
        <w:t xml:space="preserve"> y </w:t>
      </w:r>
      <w:r w:rsidRPr="00C10DAF">
        <w:t>I</w:t>
      </w:r>
      <w:r>
        <w:t xml:space="preserve"> respectivamente y seguidas por un nombre con la fórmula </w:t>
      </w:r>
      <w:r w:rsidRPr="00B06F7B">
        <w:t>διά</w:t>
      </w:r>
      <w:r>
        <w:t>.</w:t>
      </w:r>
    </w:p>
  </w:footnote>
  <w:footnote w:id="130">
    <w:p w:rsidR="006E4549" w:rsidRDefault="006E4549" w:rsidP="00C07D47">
      <w:pPr>
        <w:pStyle w:val="FootnoteText"/>
        <w:jc w:val="both"/>
      </w:pPr>
      <w:r>
        <w:rPr>
          <w:rStyle w:val="FootnoteReference"/>
        </w:rPr>
        <w:footnoteRef/>
      </w:r>
      <w:r>
        <w:t xml:space="preserve"> Marangou-Lerat, 1995: P95. Este nombre aparece aislado y declinado en genitivο. Marangou-Lerat lo relaciona con P86 (AC2a, </w:t>
      </w:r>
      <w:r w:rsidRPr="00B12EFB">
        <w:rPr>
          <w:i/>
        </w:rPr>
        <w:t>Herculanum</w:t>
      </w:r>
      <w:r>
        <w:t xml:space="preserve">): </w:t>
      </w:r>
      <w:r>
        <w:rPr>
          <w:i/>
        </w:rPr>
        <w:t>Ἐ</w:t>
      </w:r>
      <w:r w:rsidRPr="00B12EFB">
        <w:rPr>
          <w:i/>
        </w:rPr>
        <w:t>π</w:t>
      </w:r>
      <w:r>
        <w:rPr>
          <w:i/>
        </w:rPr>
        <w:t>ὶ</w:t>
      </w:r>
      <w:r w:rsidRPr="00B12EFB">
        <w:rPr>
          <w:i/>
        </w:rPr>
        <w:t xml:space="preserve"> Θ</w:t>
      </w:r>
      <w:r>
        <w:rPr>
          <w:i/>
        </w:rPr>
        <w:t>έ</w:t>
      </w:r>
      <w:r>
        <w:t xml:space="preserve">[ωνος]. También podría tratarse de la abreviatura Ἐπιθε(---). Véase además la posible abreviatura Θε(---) de </w:t>
      </w:r>
      <w:r>
        <w:rPr>
          <w:i/>
        </w:rPr>
        <w:t>CIL,</w:t>
      </w:r>
      <w:r>
        <w:t xml:space="preserve"> 6591 (PO08).</w:t>
      </w:r>
    </w:p>
  </w:footnote>
  <w:footnote w:id="131">
    <w:p w:rsidR="006E4549" w:rsidRDefault="006E4549" w:rsidP="00C07D47">
      <w:pPr>
        <w:pStyle w:val="FootnoteText"/>
        <w:jc w:val="both"/>
      </w:pPr>
      <w:r>
        <w:rPr>
          <w:rStyle w:val="FootnoteReference"/>
        </w:rPr>
        <w:footnoteRef/>
      </w:r>
      <w:r>
        <w:t xml:space="preserve"> Marangou-Lerat, 1995: P92. Se trata de un nombre con la fórmula </w:t>
      </w:r>
      <w:r w:rsidRPr="00B06F7B">
        <w:t>διά</w:t>
      </w:r>
      <w:r>
        <w:t xml:space="preserve">, precedido de la estructura </w:t>
      </w:r>
      <w:r w:rsidRPr="00AE396C">
        <w:rPr>
          <w:i/>
        </w:rPr>
        <w:t>I</w:t>
      </w:r>
      <w:r>
        <w:t xml:space="preserve"> / </w:t>
      </w:r>
      <w:r w:rsidRPr="00AE396C">
        <w:rPr>
          <w:i/>
        </w:rPr>
        <w:t>Min</w:t>
      </w:r>
      <w:r>
        <w:t>(uc-).</w:t>
      </w:r>
    </w:p>
  </w:footnote>
  <w:footnote w:id="132">
    <w:p w:rsidR="006E4549" w:rsidRDefault="006E4549" w:rsidP="00C07D47">
      <w:pPr>
        <w:pStyle w:val="FootnoteText"/>
        <w:jc w:val="both"/>
      </w:pPr>
      <w:r>
        <w:rPr>
          <w:rStyle w:val="FootnoteReference"/>
        </w:rPr>
        <w:footnoteRef/>
      </w:r>
      <w:r>
        <w:t xml:space="preserve"> Para </w:t>
      </w:r>
      <w:r w:rsidRPr="00AE396C">
        <w:rPr>
          <w:i/>
        </w:rPr>
        <w:t>Pompeii</w:t>
      </w:r>
      <w:r>
        <w:t xml:space="preserve">, véase </w:t>
      </w:r>
      <w:r w:rsidRPr="005C48D1">
        <w:t>L / ΘΑΜΥΝΟΝΤΟϹ</w:t>
      </w:r>
      <w:r>
        <w:t xml:space="preserve"> en </w:t>
      </w:r>
      <w:r>
        <w:rPr>
          <w:i/>
        </w:rPr>
        <w:t>CIL,</w:t>
      </w:r>
      <w:r>
        <w:t xml:space="preserve"> 6368 (PO08), aunque no se ha identificado el nombre en cuestión.</w:t>
      </w:r>
    </w:p>
  </w:footnote>
  <w:footnote w:id="133">
    <w:p w:rsidR="006E4549" w:rsidRDefault="006E4549" w:rsidP="00C07D47">
      <w:pPr>
        <w:pStyle w:val="FootnoteText"/>
        <w:jc w:val="both"/>
      </w:pPr>
      <w:r>
        <w:rPr>
          <w:rStyle w:val="FootnoteReference"/>
        </w:rPr>
        <w:footnoteRef/>
      </w:r>
      <w:r>
        <w:t xml:space="preserve"> </w:t>
      </w:r>
      <w:r w:rsidRPr="005C48D1">
        <w:rPr>
          <w:i/>
        </w:rPr>
        <w:t>CIL</w:t>
      </w:r>
      <w:r>
        <w:t>, 6074 (PO04) y 9466 (PO08). También en los casos 26-30 de este trabajo.</w:t>
      </w:r>
    </w:p>
  </w:footnote>
  <w:footnote w:id="134">
    <w:p w:rsidR="006E4549" w:rsidRDefault="006E4549" w:rsidP="00C07D47">
      <w:pPr>
        <w:pStyle w:val="FootnoteText"/>
        <w:jc w:val="both"/>
      </w:pPr>
      <w:r>
        <w:rPr>
          <w:rStyle w:val="FootnoteReference"/>
        </w:rPr>
        <w:footnoteRef/>
      </w:r>
      <w:r>
        <w:t xml:space="preserve"> A excepción de </w:t>
      </w:r>
      <w:r w:rsidRPr="005C48D1">
        <w:rPr>
          <w:i/>
        </w:rPr>
        <w:t>CIL</w:t>
      </w:r>
      <w:r>
        <w:t xml:space="preserve">, 6074 (PO04), donde aparece en solitario sobre un ánfora del tipo Dressel 21-22. Véase 6075 (PO08?; </w:t>
      </w:r>
      <w:r w:rsidRPr="005C48D1">
        <w:rPr>
          <w:i/>
        </w:rPr>
        <w:t>…A. F.</w:t>
      </w:r>
      <w:r>
        <w:t xml:space="preserve">), 6076 (5 PO08; </w:t>
      </w:r>
      <w:r w:rsidRPr="005C48D1">
        <w:rPr>
          <w:i/>
        </w:rPr>
        <w:t>M. A. Y.</w:t>
      </w:r>
      <w:r>
        <w:t xml:space="preserve">) y 9466 (PO08; </w:t>
      </w:r>
      <w:r w:rsidRPr="005C48D1">
        <w:rPr>
          <w:i/>
        </w:rPr>
        <w:t>C. K. A.</w:t>
      </w:r>
      <w:r>
        <w:t>).</w:t>
      </w:r>
    </w:p>
  </w:footnote>
  <w:footnote w:id="135">
    <w:p w:rsidR="006E4549" w:rsidRDefault="006E4549" w:rsidP="00C07D47">
      <w:pPr>
        <w:pStyle w:val="FootnoteText"/>
        <w:jc w:val="both"/>
      </w:pPr>
      <w:r>
        <w:rPr>
          <w:rStyle w:val="FootnoteReference"/>
        </w:rPr>
        <w:footnoteRef/>
      </w:r>
      <w:r>
        <w:t xml:space="preserve"> Castrén, 1983: n. 34, 5; 51, 4 y 60, 3 respectivamente.</w:t>
      </w:r>
    </w:p>
  </w:footnote>
  <w:footnote w:id="136">
    <w:p w:rsidR="00AF59B0" w:rsidRDefault="00AF59B0">
      <w:pPr>
        <w:pStyle w:val="FootnoteText"/>
      </w:pPr>
      <w:r>
        <w:rPr>
          <w:rStyle w:val="FootnoteReference"/>
        </w:rPr>
        <w:footnoteRef/>
      </w:r>
      <w:r>
        <w:t xml:space="preserve"> </w:t>
      </w:r>
      <w:r w:rsidR="00C76312">
        <w:t>Sobre las ánforas cretenses como cargas suplementarias en estos navíos: Tchernia 2007: 61-63.</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A647DB"/>
    <w:multiLevelType w:val="hybridMultilevel"/>
    <w:tmpl w:val="FDA65EF6"/>
    <w:lvl w:ilvl="0" w:tplc="0C0A000F">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GB" w:vendorID="64" w:dllVersion="131078" w:nlCheck="1" w:checkStyle="1"/>
  <w:activeWritingStyle w:appName="MSWord" w:lang="es-ES_tradnl" w:vendorID="64" w:dllVersion="131078" w:nlCheck="1" w:checkStyle="0"/>
  <w:activeWritingStyle w:appName="MSWord" w:lang="en-US" w:vendorID="64" w:dllVersion="131078" w:nlCheck="1" w:checkStyle="1"/>
  <w:activeWritingStyle w:appName="MSWord" w:lang="fr-FR"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34A"/>
    <w:rsid w:val="0000017E"/>
    <w:rsid w:val="00003311"/>
    <w:rsid w:val="00007337"/>
    <w:rsid w:val="000210D0"/>
    <w:rsid w:val="00021BFC"/>
    <w:rsid w:val="0002283F"/>
    <w:rsid w:val="00023117"/>
    <w:rsid w:val="000238AB"/>
    <w:rsid w:val="00026680"/>
    <w:rsid w:val="000274C4"/>
    <w:rsid w:val="00030AC4"/>
    <w:rsid w:val="00033013"/>
    <w:rsid w:val="00033634"/>
    <w:rsid w:val="000338F2"/>
    <w:rsid w:val="00035FDA"/>
    <w:rsid w:val="00036B51"/>
    <w:rsid w:val="00044CC6"/>
    <w:rsid w:val="00054312"/>
    <w:rsid w:val="00056D00"/>
    <w:rsid w:val="0006008A"/>
    <w:rsid w:val="00060C0E"/>
    <w:rsid w:val="00061478"/>
    <w:rsid w:val="00063A06"/>
    <w:rsid w:val="00064910"/>
    <w:rsid w:val="00065590"/>
    <w:rsid w:val="00065867"/>
    <w:rsid w:val="00067D42"/>
    <w:rsid w:val="0007158F"/>
    <w:rsid w:val="0007179C"/>
    <w:rsid w:val="0007441A"/>
    <w:rsid w:val="00076E57"/>
    <w:rsid w:val="00080C48"/>
    <w:rsid w:val="00083E15"/>
    <w:rsid w:val="0008486F"/>
    <w:rsid w:val="00087CBD"/>
    <w:rsid w:val="00090962"/>
    <w:rsid w:val="00090A54"/>
    <w:rsid w:val="00090A68"/>
    <w:rsid w:val="00091CFB"/>
    <w:rsid w:val="00092D36"/>
    <w:rsid w:val="0009595E"/>
    <w:rsid w:val="000A0465"/>
    <w:rsid w:val="000B2F85"/>
    <w:rsid w:val="000B6AEA"/>
    <w:rsid w:val="000C0E3C"/>
    <w:rsid w:val="000C3D00"/>
    <w:rsid w:val="000C7149"/>
    <w:rsid w:val="000C73A9"/>
    <w:rsid w:val="000D1CFE"/>
    <w:rsid w:val="000D4D4C"/>
    <w:rsid w:val="000E056C"/>
    <w:rsid w:val="000E12B7"/>
    <w:rsid w:val="000E1817"/>
    <w:rsid w:val="000E52DD"/>
    <w:rsid w:val="000F4637"/>
    <w:rsid w:val="000F485F"/>
    <w:rsid w:val="000F7099"/>
    <w:rsid w:val="000F76D2"/>
    <w:rsid w:val="00101314"/>
    <w:rsid w:val="00103AB9"/>
    <w:rsid w:val="00103B93"/>
    <w:rsid w:val="001111FA"/>
    <w:rsid w:val="00116A56"/>
    <w:rsid w:val="001235A6"/>
    <w:rsid w:val="00130E80"/>
    <w:rsid w:val="00134E80"/>
    <w:rsid w:val="00135881"/>
    <w:rsid w:val="001415B5"/>
    <w:rsid w:val="00145DD0"/>
    <w:rsid w:val="00145E5F"/>
    <w:rsid w:val="00157ADA"/>
    <w:rsid w:val="00160EFE"/>
    <w:rsid w:val="00163721"/>
    <w:rsid w:val="00164D9A"/>
    <w:rsid w:val="00167B9F"/>
    <w:rsid w:val="001702D2"/>
    <w:rsid w:val="0017062A"/>
    <w:rsid w:val="0017474A"/>
    <w:rsid w:val="00177724"/>
    <w:rsid w:val="00181AE8"/>
    <w:rsid w:val="00183BBB"/>
    <w:rsid w:val="00183C18"/>
    <w:rsid w:val="00185006"/>
    <w:rsid w:val="00185312"/>
    <w:rsid w:val="00186CAA"/>
    <w:rsid w:val="001908B5"/>
    <w:rsid w:val="0019096F"/>
    <w:rsid w:val="001914AC"/>
    <w:rsid w:val="00193AC1"/>
    <w:rsid w:val="00193D34"/>
    <w:rsid w:val="00196142"/>
    <w:rsid w:val="001A0DAB"/>
    <w:rsid w:val="001A48D4"/>
    <w:rsid w:val="001A4D2F"/>
    <w:rsid w:val="001A532A"/>
    <w:rsid w:val="001A64DC"/>
    <w:rsid w:val="001B08A5"/>
    <w:rsid w:val="001B4C61"/>
    <w:rsid w:val="001B73A9"/>
    <w:rsid w:val="001C08FE"/>
    <w:rsid w:val="001C4E3C"/>
    <w:rsid w:val="001C6344"/>
    <w:rsid w:val="001C65B2"/>
    <w:rsid w:val="001D1DA8"/>
    <w:rsid w:val="001D4360"/>
    <w:rsid w:val="001D4E49"/>
    <w:rsid w:val="001E0AC9"/>
    <w:rsid w:val="001E3EE6"/>
    <w:rsid w:val="001E4C29"/>
    <w:rsid w:val="001E4FD7"/>
    <w:rsid w:val="001E738F"/>
    <w:rsid w:val="001E7FB0"/>
    <w:rsid w:val="001F38E0"/>
    <w:rsid w:val="001F4506"/>
    <w:rsid w:val="001F4B0C"/>
    <w:rsid w:val="001F5E87"/>
    <w:rsid w:val="001F6F0B"/>
    <w:rsid w:val="001F7D6B"/>
    <w:rsid w:val="00200C14"/>
    <w:rsid w:val="002015B0"/>
    <w:rsid w:val="00201ED9"/>
    <w:rsid w:val="002055FC"/>
    <w:rsid w:val="00206E9F"/>
    <w:rsid w:val="002110A6"/>
    <w:rsid w:val="00214992"/>
    <w:rsid w:val="00216CDE"/>
    <w:rsid w:val="00216E89"/>
    <w:rsid w:val="0022437C"/>
    <w:rsid w:val="0023102F"/>
    <w:rsid w:val="00233366"/>
    <w:rsid w:val="002414F1"/>
    <w:rsid w:val="00242627"/>
    <w:rsid w:val="00243FA7"/>
    <w:rsid w:val="00244589"/>
    <w:rsid w:val="00245AAD"/>
    <w:rsid w:val="00246866"/>
    <w:rsid w:val="00251692"/>
    <w:rsid w:val="00253126"/>
    <w:rsid w:val="00253813"/>
    <w:rsid w:val="002550F8"/>
    <w:rsid w:val="00257B89"/>
    <w:rsid w:val="00261347"/>
    <w:rsid w:val="0026286A"/>
    <w:rsid w:val="00266DA3"/>
    <w:rsid w:val="0027229E"/>
    <w:rsid w:val="00272516"/>
    <w:rsid w:val="002750E0"/>
    <w:rsid w:val="00275768"/>
    <w:rsid w:val="00280785"/>
    <w:rsid w:val="00280CED"/>
    <w:rsid w:val="0028495B"/>
    <w:rsid w:val="002870A7"/>
    <w:rsid w:val="0029389C"/>
    <w:rsid w:val="00293DAC"/>
    <w:rsid w:val="00296322"/>
    <w:rsid w:val="002A242D"/>
    <w:rsid w:val="002A3A6A"/>
    <w:rsid w:val="002B04C5"/>
    <w:rsid w:val="002B1798"/>
    <w:rsid w:val="002B4B16"/>
    <w:rsid w:val="002C368D"/>
    <w:rsid w:val="002C63A6"/>
    <w:rsid w:val="002C734A"/>
    <w:rsid w:val="002D00C2"/>
    <w:rsid w:val="002D0A66"/>
    <w:rsid w:val="002D1470"/>
    <w:rsid w:val="002D262C"/>
    <w:rsid w:val="002D2AA6"/>
    <w:rsid w:val="002D2C98"/>
    <w:rsid w:val="002D4AC2"/>
    <w:rsid w:val="002D4C29"/>
    <w:rsid w:val="002D5993"/>
    <w:rsid w:val="002E0FA5"/>
    <w:rsid w:val="002E3394"/>
    <w:rsid w:val="002E379C"/>
    <w:rsid w:val="002E6655"/>
    <w:rsid w:val="002E7837"/>
    <w:rsid w:val="002F3201"/>
    <w:rsid w:val="002F4A7D"/>
    <w:rsid w:val="00300C34"/>
    <w:rsid w:val="00300DEA"/>
    <w:rsid w:val="003025BC"/>
    <w:rsid w:val="00305117"/>
    <w:rsid w:val="003058AF"/>
    <w:rsid w:val="003073FC"/>
    <w:rsid w:val="00310C9E"/>
    <w:rsid w:val="00311A54"/>
    <w:rsid w:val="00313A52"/>
    <w:rsid w:val="003159AE"/>
    <w:rsid w:val="00315A74"/>
    <w:rsid w:val="0031692F"/>
    <w:rsid w:val="00317728"/>
    <w:rsid w:val="00322B88"/>
    <w:rsid w:val="0033195E"/>
    <w:rsid w:val="0033572C"/>
    <w:rsid w:val="003359EC"/>
    <w:rsid w:val="003365DA"/>
    <w:rsid w:val="00336C61"/>
    <w:rsid w:val="00337402"/>
    <w:rsid w:val="00337B23"/>
    <w:rsid w:val="00337C14"/>
    <w:rsid w:val="00340EEF"/>
    <w:rsid w:val="00341280"/>
    <w:rsid w:val="003412C2"/>
    <w:rsid w:val="00341C09"/>
    <w:rsid w:val="00343C0F"/>
    <w:rsid w:val="0035270F"/>
    <w:rsid w:val="0036073F"/>
    <w:rsid w:val="003612A6"/>
    <w:rsid w:val="00361BA7"/>
    <w:rsid w:val="00361CD3"/>
    <w:rsid w:val="003641BE"/>
    <w:rsid w:val="00364263"/>
    <w:rsid w:val="00367FA9"/>
    <w:rsid w:val="003722C8"/>
    <w:rsid w:val="00372D6D"/>
    <w:rsid w:val="0037663C"/>
    <w:rsid w:val="00376782"/>
    <w:rsid w:val="0037775E"/>
    <w:rsid w:val="00391066"/>
    <w:rsid w:val="003926C8"/>
    <w:rsid w:val="003941AB"/>
    <w:rsid w:val="0039441E"/>
    <w:rsid w:val="0039513A"/>
    <w:rsid w:val="003A200F"/>
    <w:rsid w:val="003A4BB6"/>
    <w:rsid w:val="003A73CF"/>
    <w:rsid w:val="003A775D"/>
    <w:rsid w:val="003A7E1F"/>
    <w:rsid w:val="003B2954"/>
    <w:rsid w:val="003D161F"/>
    <w:rsid w:val="003D2529"/>
    <w:rsid w:val="003D6110"/>
    <w:rsid w:val="003E1A45"/>
    <w:rsid w:val="003E27CE"/>
    <w:rsid w:val="003E6BDE"/>
    <w:rsid w:val="003F0D18"/>
    <w:rsid w:val="003F33CB"/>
    <w:rsid w:val="003F59E7"/>
    <w:rsid w:val="003F7217"/>
    <w:rsid w:val="003F7C82"/>
    <w:rsid w:val="0040283B"/>
    <w:rsid w:val="0040284D"/>
    <w:rsid w:val="004032DF"/>
    <w:rsid w:val="004060B1"/>
    <w:rsid w:val="00407A0A"/>
    <w:rsid w:val="00407F57"/>
    <w:rsid w:val="00412064"/>
    <w:rsid w:val="00413D84"/>
    <w:rsid w:val="004278B4"/>
    <w:rsid w:val="00430C57"/>
    <w:rsid w:val="0043125B"/>
    <w:rsid w:val="004333EE"/>
    <w:rsid w:val="004334EC"/>
    <w:rsid w:val="0043542D"/>
    <w:rsid w:val="00436CDB"/>
    <w:rsid w:val="004441FF"/>
    <w:rsid w:val="00444284"/>
    <w:rsid w:val="00446CB9"/>
    <w:rsid w:val="004516E4"/>
    <w:rsid w:val="00452737"/>
    <w:rsid w:val="00457718"/>
    <w:rsid w:val="004602AF"/>
    <w:rsid w:val="00471523"/>
    <w:rsid w:val="00482290"/>
    <w:rsid w:val="00482754"/>
    <w:rsid w:val="0048318D"/>
    <w:rsid w:val="0048429A"/>
    <w:rsid w:val="00485225"/>
    <w:rsid w:val="00494135"/>
    <w:rsid w:val="004943ED"/>
    <w:rsid w:val="004945B4"/>
    <w:rsid w:val="00494700"/>
    <w:rsid w:val="004A0911"/>
    <w:rsid w:val="004A1268"/>
    <w:rsid w:val="004A2D73"/>
    <w:rsid w:val="004A52DF"/>
    <w:rsid w:val="004A6A22"/>
    <w:rsid w:val="004A6D5B"/>
    <w:rsid w:val="004A70EA"/>
    <w:rsid w:val="004B0E30"/>
    <w:rsid w:val="004B390C"/>
    <w:rsid w:val="004B7668"/>
    <w:rsid w:val="004C1BEC"/>
    <w:rsid w:val="004D044B"/>
    <w:rsid w:val="004D08ED"/>
    <w:rsid w:val="004D3728"/>
    <w:rsid w:val="004D3A8E"/>
    <w:rsid w:val="004D4D7E"/>
    <w:rsid w:val="004D53EE"/>
    <w:rsid w:val="004E4487"/>
    <w:rsid w:val="004E5005"/>
    <w:rsid w:val="004F025D"/>
    <w:rsid w:val="004F15DA"/>
    <w:rsid w:val="004F449B"/>
    <w:rsid w:val="004F6175"/>
    <w:rsid w:val="005041C1"/>
    <w:rsid w:val="005065D3"/>
    <w:rsid w:val="0051123E"/>
    <w:rsid w:val="005113CD"/>
    <w:rsid w:val="00511744"/>
    <w:rsid w:val="005122A4"/>
    <w:rsid w:val="00512568"/>
    <w:rsid w:val="005127AD"/>
    <w:rsid w:val="0051563A"/>
    <w:rsid w:val="005207C1"/>
    <w:rsid w:val="00520DCF"/>
    <w:rsid w:val="0052138B"/>
    <w:rsid w:val="005216BE"/>
    <w:rsid w:val="00521C7E"/>
    <w:rsid w:val="005249EE"/>
    <w:rsid w:val="00524A70"/>
    <w:rsid w:val="005267C3"/>
    <w:rsid w:val="00526953"/>
    <w:rsid w:val="0053213F"/>
    <w:rsid w:val="00532D60"/>
    <w:rsid w:val="00534377"/>
    <w:rsid w:val="00535699"/>
    <w:rsid w:val="005364D3"/>
    <w:rsid w:val="00536794"/>
    <w:rsid w:val="005426CF"/>
    <w:rsid w:val="00546047"/>
    <w:rsid w:val="0055162B"/>
    <w:rsid w:val="00555275"/>
    <w:rsid w:val="0055717A"/>
    <w:rsid w:val="00557645"/>
    <w:rsid w:val="005601D0"/>
    <w:rsid w:val="00561D05"/>
    <w:rsid w:val="005647F6"/>
    <w:rsid w:val="0056518B"/>
    <w:rsid w:val="00566696"/>
    <w:rsid w:val="00572718"/>
    <w:rsid w:val="00575082"/>
    <w:rsid w:val="00577C55"/>
    <w:rsid w:val="00582E80"/>
    <w:rsid w:val="00583ECD"/>
    <w:rsid w:val="00584139"/>
    <w:rsid w:val="00584283"/>
    <w:rsid w:val="005909E1"/>
    <w:rsid w:val="0059244B"/>
    <w:rsid w:val="00592702"/>
    <w:rsid w:val="005954FB"/>
    <w:rsid w:val="005A3D8C"/>
    <w:rsid w:val="005A3DC4"/>
    <w:rsid w:val="005B1537"/>
    <w:rsid w:val="005B3A81"/>
    <w:rsid w:val="005B4CDD"/>
    <w:rsid w:val="005B556D"/>
    <w:rsid w:val="005B6A1E"/>
    <w:rsid w:val="005B74E3"/>
    <w:rsid w:val="005C1467"/>
    <w:rsid w:val="005C1C74"/>
    <w:rsid w:val="005C3BEC"/>
    <w:rsid w:val="005C48D1"/>
    <w:rsid w:val="005C6AA6"/>
    <w:rsid w:val="005D48A2"/>
    <w:rsid w:val="005D5577"/>
    <w:rsid w:val="005E2CD9"/>
    <w:rsid w:val="005E40ED"/>
    <w:rsid w:val="005E4E8A"/>
    <w:rsid w:val="005E6CFB"/>
    <w:rsid w:val="005E7264"/>
    <w:rsid w:val="005E7CC0"/>
    <w:rsid w:val="005F3099"/>
    <w:rsid w:val="005F3404"/>
    <w:rsid w:val="005F6CA4"/>
    <w:rsid w:val="005F77D2"/>
    <w:rsid w:val="0060024F"/>
    <w:rsid w:val="00601BF4"/>
    <w:rsid w:val="006059A3"/>
    <w:rsid w:val="00607948"/>
    <w:rsid w:val="00607F00"/>
    <w:rsid w:val="00610250"/>
    <w:rsid w:val="00610927"/>
    <w:rsid w:val="0061174F"/>
    <w:rsid w:val="0061194C"/>
    <w:rsid w:val="00614570"/>
    <w:rsid w:val="00616E33"/>
    <w:rsid w:val="00622476"/>
    <w:rsid w:val="00622943"/>
    <w:rsid w:val="006251E4"/>
    <w:rsid w:val="006307AA"/>
    <w:rsid w:val="00632E9B"/>
    <w:rsid w:val="00634CED"/>
    <w:rsid w:val="00635C4D"/>
    <w:rsid w:val="00636395"/>
    <w:rsid w:val="00636399"/>
    <w:rsid w:val="006437C3"/>
    <w:rsid w:val="006439EC"/>
    <w:rsid w:val="00643FCB"/>
    <w:rsid w:val="00646E86"/>
    <w:rsid w:val="00647792"/>
    <w:rsid w:val="0065463B"/>
    <w:rsid w:val="0066273C"/>
    <w:rsid w:val="00663DD8"/>
    <w:rsid w:val="0066559F"/>
    <w:rsid w:val="00665662"/>
    <w:rsid w:val="006756DF"/>
    <w:rsid w:val="00675A25"/>
    <w:rsid w:val="00675DEA"/>
    <w:rsid w:val="00676C10"/>
    <w:rsid w:val="006806B3"/>
    <w:rsid w:val="006850DA"/>
    <w:rsid w:val="00686D32"/>
    <w:rsid w:val="00687E41"/>
    <w:rsid w:val="00691536"/>
    <w:rsid w:val="00692BDE"/>
    <w:rsid w:val="00695741"/>
    <w:rsid w:val="006A1027"/>
    <w:rsid w:val="006A14A1"/>
    <w:rsid w:val="006A39A6"/>
    <w:rsid w:val="006A57FA"/>
    <w:rsid w:val="006A682C"/>
    <w:rsid w:val="006B00E5"/>
    <w:rsid w:val="006B1656"/>
    <w:rsid w:val="006B51DE"/>
    <w:rsid w:val="006B68E2"/>
    <w:rsid w:val="006C218D"/>
    <w:rsid w:val="006C41AE"/>
    <w:rsid w:val="006C4720"/>
    <w:rsid w:val="006C7D74"/>
    <w:rsid w:val="006D0FAC"/>
    <w:rsid w:val="006D5436"/>
    <w:rsid w:val="006E1239"/>
    <w:rsid w:val="006E2C13"/>
    <w:rsid w:val="006E4549"/>
    <w:rsid w:val="006E485E"/>
    <w:rsid w:val="006F2863"/>
    <w:rsid w:val="006F5FB3"/>
    <w:rsid w:val="006F733B"/>
    <w:rsid w:val="00706A6E"/>
    <w:rsid w:val="00710228"/>
    <w:rsid w:val="00714390"/>
    <w:rsid w:val="00715529"/>
    <w:rsid w:val="00715A18"/>
    <w:rsid w:val="00715AFB"/>
    <w:rsid w:val="00721865"/>
    <w:rsid w:val="00722F6A"/>
    <w:rsid w:val="007250E2"/>
    <w:rsid w:val="00730054"/>
    <w:rsid w:val="0073598C"/>
    <w:rsid w:val="0074262D"/>
    <w:rsid w:val="00743C4B"/>
    <w:rsid w:val="007545F4"/>
    <w:rsid w:val="0075637B"/>
    <w:rsid w:val="00762F9B"/>
    <w:rsid w:val="0076323E"/>
    <w:rsid w:val="007636BA"/>
    <w:rsid w:val="007674F2"/>
    <w:rsid w:val="007732D8"/>
    <w:rsid w:val="00775F0E"/>
    <w:rsid w:val="00777A02"/>
    <w:rsid w:val="00780350"/>
    <w:rsid w:val="00782243"/>
    <w:rsid w:val="00785689"/>
    <w:rsid w:val="00785967"/>
    <w:rsid w:val="007877AE"/>
    <w:rsid w:val="00790AD5"/>
    <w:rsid w:val="007941BA"/>
    <w:rsid w:val="007A0CB1"/>
    <w:rsid w:val="007A2E5F"/>
    <w:rsid w:val="007A3995"/>
    <w:rsid w:val="007A61B9"/>
    <w:rsid w:val="007A6F36"/>
    <w:rsid w:val="007B3DD1"/>
    <w:rsid w:val="007B66DA"/>
    <w:rsid w:val="007B701B"/>
    <w:rsid w:val="007B77F3"/>
    <w:rsid w:val="007C11F7"/>
    <w:rsid w:val="007C152C"/>
    <w:rsid w:val="007C158B"/>
    <w:rsid w:val="007C1D61"/>
    <w:rsid w:val="007C4FF9"/>
    <w:rsid w:val="007C75E0"/>
    <w:rsid w:val="007D26FF"/>
    <w:rsid w:val="007D5195"/>
    <w:rsid w:val="007F03F7"/>
    <w:rsid w:val="007F60F1"/>
    <w:rsid w:val="007F645E"/>
    <w:rsid w:val="0080029E"/>
    <w:rsid w:val="00803D94"/>
    <w:rsid w:val="00804061"/>
    <w:rsid w:val="00805723"/>
    <w:rsid w:val="008064A0"/>
    <w:rsid w:val="0080680F"/>
    <w:rsid w:val="00807DBC"/>
    <w:rsid w:val="00810121"/>
    <w:rsid w:val="0081015E"/>
    <w:rsid w:val="0081135E"/>
    <w:rsid w:val="008130DF"/>
    <w:rsid w:val="008132E1"/>
    <w:rsid w:val="00815024"/>
    <w:rsid w:val="00815E6F"/>
    <w:rsid w:val="00815FBC"/>
    <w:rsid w:val="008173F0"/>
    <w:rsid w:val="00817428"/>
    <w:rsid w:val="008211E2"/>
    <w:rsid w:val="00827597"/>
    <w:rsid w:val="00827B32"/>
    <w:rsid w:val="00833DFA"/>
    <w:rsid w:val="0083597B"/>
    <w:rsid w:val="00837B67"/>
    <w:rsid w:val="00837D81"/>
    <w:rsid w:val="008418A5"/>
    <w:rsid w:val="00841BCB"/>
    <w:rsid w:val="00844098"/>
    <w:rsid w:val="008446DD"/>
    <w:rsid w:val="00844890"/>
    <w:rsid w:val="00850404"/>
    <w:rsid w:val="00851433"/>
    <w:rsid w:val="00853F0D"/>
    <w:rsid w:val="00854329"/>
    <w:rsid w:val="00855D6D"/>
    <w:rsid w:val="00855EB3"/>
    <w:rsid w:val="008606DE"/>
    <w:rsid w:val="008610F8"/>
    <w:rsid w:val="008634A2"/>
    <w:rsid w:val="00866620"/>
    <w:rsid w:val="008705D1"/>
    <w:rsid w:val="0087121A"/>
    <w:rsid w:val="00873364"/>
    <w:rsid w:val="00875914"/>
    <w:rsid w:val="00880B57"/>
    <w:rsid w:val="00880D1A"/>
    <w:rsid w:val="008812ED"/>
    <w:rsid w:val="00881BE6"/>
    <w:rsid w:val="00885173"/>
    <w:rsid w:val="00885FFC"/>
    <w:rsid w:val="00886F78"/>
    <w:rsid w:val="008872D1"/>
    <w:rsid w:val="00890186"/>
    <w:rsid w:val="00891B60"/>
    <w:rsid w:val="008937CF"/>
    <w:rsid w:val="008943A2"/>
    <w:rsid w:val="008A66A0"/>
    <w:rsid w:val="008A6FBF"/>
    <w:rsid w:val="008B0389"/>
    <w:rsid w:val="008B37FB"/>
    <w:rsid w:val="008B3916"/>
    <w:rsid w:val="008B4446"/>
    <w:rsid w:val="008B5A00"/>
    <w:rsid w:val="008B71BA"/>
    <w:rsid w:val="008C0A53"/>
    <w:rsid w:val="008C1FCF"/>
    <w:rsid w:val="008C224D"/>
    <w:rsid w:val="008C5534"/>
    <w:rsid w:val="008D01A4"/>
    <w:rsid w:val="008D60D6"/>
    <w:rsid w:val="008E4463"/>
    <w:rsid w:val="008E6318"/>
    <w:rsid w:val="008E6DC8"/>
    <w:rsid w:val="008F67F3"/>
    <w:rsid w:val="008F7136"/>
    <w:rsid w:val="009018A8"/>
    <w:rsid w:val="0090476A"/>
    <w:rsid w:val="00905D96"/>
    <w:rsid w:val="0091177E"/>
    <w:rsid w:val="009254CD"/>
    <w:rsid w:val="0092782C"/>
    <w:rsid w:val="00932AB4"/>
    <w:rsid w:val="00933CC3"/>
    <w:rsid w:val="00933E7A"/>
    <w:rsid w:val="00935E86"/>
    <w:rsid w:val="00936914"/>
    <w:rsid w:val="00941473"/>
    <w:rsid w:val="009447A5"/>
    <w:rsid w:val="00945908"/>
    <w:rsid w:val="00950133"/>
    <w:rsid w:val="0096048F"/>
    <w:rsid w:val="009614D5"/>
    <w:rsid w:val="00966B04"/>
    <w:rsid w:val="00967AA5"/>
    <w:rsid w:val="009719AF"/>
    <w:rsid w:val="009746B4"/>
    <w:rsid w:val="0097484E"/>
    <w:rsid w:val="00980040"/>
    <w:rsid w:val="0098402A"/>
    <w:rsid w:val="0098629D"/>
    <w:rsid w:val="00987205"/>
    <w:rsid w:val="0098773B"/>
    <w:rsid w:val="009878B8"/>
    <w:rsid w:val="00987956"/>
    <w:rsid w:val="0099161A"/>
    <w:rsid w:val="00994ECE"/>
    <w:rsid w:val="00997100"/>
    <w:rsid w:val="009A064A"/>
    <w:rsid w:val="009A1507"/>
    <w:rsid w:val="009A32EB"/>
    <w:rsid w:val="009A3A42"/>
    <w:rsid w:val="009A6BDF"/>
    <w:rsid w:val="009B0F00"/>
    <w:rsid w:val="009B7837"/>
    <w:rsid w:val="009C1D71"/>
    <w:rsid w:val="009C2465"/>
    <w:rsid w:val="009C726E"/>
    <w:rsid w:val="009C7717"/>
    <w:rsid w:val="009D2E56"/>
    <w:rsid w:val="009D4E16"/>
    <w:rsid w:val="009E3E70"/>
    <w:rsid w:val="009F1F03"/>
    <w:rsid w:val="009F538C"/>
    <w:rsid w:val="009F5BD5"/>
    <w:rsid w:val="00A002F1"/>
    <w:rsid w:val="00A0150C"/>
    <w:rsid w:val="00A01B37"/>
    <w:rsid w:val="00A01DC2"/>
    <w:rsid w:val="00A02F59"/>
    <w:rsid w:val="00A054D6"/>
    <w:rsid w:val="00A13779"/>
    <w:rsid w:val="00A140D3"/>
    <w:rsid w:val="00A170AF"/>
    <w:rsid w:val="00A213EB"/>
    <w:rsid w:val="00A225C5"/>
    <w:rsid w:val="00A23C4C"/>
    <w:rsid w:val="00A25504"/>
    <w:rsid w:val="00A30138"/>
    <w:rsid w:val="00A32349"/>
    <w:rsid w:val="00A34539"/>
    <w:rsid w:val="00A34CE2"/>
    <w:rsid w:val="00A402D7"/>
    <w:rsid w:val="00A403FB"/>
    <w:rsid w:val="00A410F3"/>
    <w:rsid w:val="00A4155B"/>
    <w:rsid w:val="00A429A2"/>
    <w:rsid w:val="00A4323D"/>
    <w:rsid w:val="00A43C32"/>
    <w:rsid w:val="00A4785A"/>
    <w:rsid w:val="00A4789A"/>
    <w:rsid w:val="00A50376"/>
    <w:rsid w:val="00A51E32"/>
    <w:rsid w:val="00A57779"/>
    <w:rsid w:val="00A60628"/>
    <w:rsid w:val="00A62403"/>
    <w:rsid w:val="00A76D83"/>
    <w:rsid w:val="00A77B42"/>
    <w:rsid w:val="00A84C0B"/>
    <w:rsid w:val="00A90CC2"/>
    <w:rsid w:val="00A9369D"/>
    <w:rsid w:val="00A93DB8"/>
    <w:rsid w:val="00A94BD5"/>
    <w:rsid w:val="00A9646B"/>
    <w:rsid w:val="00AA345C"/>
    <w:rsid w:val="00AB2099"/>
    <w:rsid w:val="00AB3E18"/>
    <w:rsid w:val="00AB4362"/>
    <w:rsid w:val="00AB60AD"/>
    <w:rsid w:val="00AC0644"/>
    <w:rsid w:val="00AC58BF"/>
    <w:rsid w:val="00AC6755"/>
    <w:rsid w:val="00AC7A8D"/>
    <w:rsid w:val="00AD14AF"/>
    <w:rsid w:val="00AD2523"/>
    <w:rsid w:val="00AD2BF6"/>
    <w:rsid w:val="00AE364B"/>
    <w:rsid w:val="00AE396C"/>
    <w:rsid w:val="00AE485A"/>
    <w:rsid w:val="00AE6AA8"/>
    <w:rsid w:val="00AF0A73"/>
    <w:rsid w:val="00AF33A4"/>
    <w:rsid w:val="00AF59B0"/>
    <w:rsid w:val="00AF7884"/>
    <w:rsid w:val="00AF7BD3"/>
    <w:rsid w:val="00B0123A"/>
    <w:rsid w:val="00B02BAB"/>
    <w:rsid w:val="00B03AD9"/>
    <w:rsid w:val="00B05B30"/>
    <w:rsid w:val="00B06F7B"/>
    <w:rsid w:val="00B07BBC"/>
    <w:rsid w:val="00B12A29"/>
    <w:rsid w:val="00B12B39"/>
    <w:rsid w:val="00B12EFB"/>
    <w:rsid w:val="00B14686"/>
    <w:rsid w:val="00B14DD2"/>
    <w:rsid w:val="00B16489"/>
    <w:rsid w:val="00B16849"/>
    <w:rsid w:val="00B17114"/>
    <w:rsid w:val="00B20DA0"/>
    <w:rsid w:val="00B2378C"/>
    <w:rsid w:val="00B2694E"/>
    <w:rsid w:val="00B27020"/>
    <w:rsid w:val="00B27072"/>
    <w:rsid w:val="00B30696"/>
    <w:rsid w:val="00B335F9"/>
    <w:rsid w:val="00B40519"/>
    <w:rsid w:val="00B40906"/>
    <w:rsid w:val="00B4547B"/>
    <w:rsid w:val="00B56051"/>
    <w:rsid w:val="00B60857"/>
    <w:rsid w:val="00B641B9"/>
    <w:rsid w:val="00B650E3"/>
    <w:rsid w:val="00B702CB"/>
    <w:rsid w:val="00B7043D"/>
    <w:rsid w:val="00B739C1"/>
    <w:rsid w:val="00B73B94"/>
    <w:rsid w:val="00B760DE"/>
    <w:rsid w:val="00B77BC0"/>
    <w:rsid w:val="00B80659"/>
    <w:rsid w:val="00B84E76"/>
    <w:rsid w:val="00B8745F"/>
    <w:rsid w:val="00B8787A"/>
    <w:rsid w:val="00B8788C"/>
    <w:rsid w:val="00B90095"/>
    <w:rsid w:val="00B902C8"/>
    <w:rsid w:val="00B91464"/>
    <w:rsid w:val="00B97276"/>
    <w:rsid w:val="00B972FB"/>
    <w:rsid w:val="00B9753E"/>
    <w:rsid w:val="00BA2E71"/>
    <w:rsid w:val="00BA4228"/>
    <w:rsid w:val="00BB2AE6"/>
    <w:rsid w:val="00BB2E1C"/>
    <w:rsid w:val="00BC62CF"/>
    <w:rsid w:val="00BD41EE"/>
    <w:rsid w:val="00BD772D"/>
    <w:rsid w:val="00BD7E11"/>
    <w:rsid w:val="00BE0E96"/>
    <w:rsid w:val="00BE176A"/>
    <w:rsid w:val="00BE25A5"/>
    <w:rsid w:val="00BE2CD9"/>
    <w:rsid w:val="00BE5BA6"/>
    <w:rsid w:val="00BF15A8"/>
    <w:rsid w:val="00BF18F1"/>
    <w:rsid w:val="00BF31AF"/>
    <w:rsid w:val="00BF7CCF"/>
    <w:rsid w:val="00C052A7"/>
    <w:rsid w:val="00C06373"/>
    <w:rsid w:val="00C06EBF"/>
    <w:rsid w:val="00C07D47"/>
    <w:rsid w:val="00C10DAF"/>
    <w:rsid w:val="00C1114B"/>
    <w:rsid w:val="00C1172C"/>
    <w:rsid w:val="00C15110"/>
    <w:rsid w:val="00C159C7"/>
    <w:rsid w:val="00C201CB"/>
    <w:rsid w:val="00C25767"/>
    <w:rsid w:val="00C31DF4"/>
    <w:rsid w:val="00C321F4"/>
    <w:rsid w:val="00C34CB3"/>
    <w:rsid w:val="00C376C0"/>
    <w:rsid w:val="00C409E1"/>
    <w:rsid w:val="00C41478"/>
    <w:rsid w:val="00C47268"/>
    <w:rsid w:val="00C47EDC"/>
    <w:rsid w:val="00C5356D"/>
    <w:rsid w:val="00C5753E"/>
    <w:rsid w:val="00C72247"/>
    <w:rsid w:val="00C722AE"/>
    <w:rsid w:val="00C73B56"/>
    <w:rsid w:val="00C76292"/>
    <w:rsid w:val="00C76312"/>
    <w:rsid w:val="00C7673C"/>
    <w:rsid w:val="00C77620"/>
    <w:rsid w:val="00C77DFA"/>
    <w:rsid w:val="00C82129"/>
    <w:rsid w:val="00C867A9"/>
    <w:rsid w:val="00C87F39"/>
    <w:rsid w:val="00C903EB"/>
    <w:rsid w:val="00C9105F"/>
    <w:rsid w:val="00C93241"/>
    <w:rsid w:val="00C97E80"/>
    <w:rsid w:val="00CA26A9"/>
    <w:rsid w:val="00CA3FDB"/>
    <w:rsid w:val="00CB37DA"/>
    <w:rsid w:val="00CB6FB8"/>
    <w:rsid w:val="00CC1080"/>
    <w:rsid w:val="00CC129E"/>
    <w:rsid w:val="00CC5321"/>
    <w:rsid w:val="00CC59A2"/>
    <w:rsid w:val="00CD0F5A"/>
    <w:rsid w:val="00CD6938"/>
    <w:rsid w:val="00CE03E3"/>
    <w:rsid w:val="00CE2344"/>
    <w:rsid w:val="00CE49DB"/>
    <w:rsid w:val="00CE4E11"/>
    <w:rsid w:val="00CE547D"/>
    <w:rsid w:val="00CE6195"/>
    <w:rsid w:val="00CE68AF"/>
    <w:rsid w:val="00CE6A43"/>
    <w:rsid w:val="00CF0294"/>
    <w:rsid w:val="00CF1913"/>
    <w:rsid w:val="00CF64B7"/>
    <w:rsid w:val="00CF7BE4"/>
    <w:rsid w:val="00D00140"/>
    <w:rsid w:val="00D03260"/>
    <w:rsid w:val="00D04C64"/>
    <w:rsid w:val="00D051F0"/>
    <w:rsid w:val="00D059EA"/>
    <w:rsid w:val="00D101E7"/>
    <w:rsid w:val="00D1490D"/>
    <w:rsid w:val="00D14E6E"/>
    <w:rsid w:val="00D2169D"/>
    <w:rsid w:val="00D22F98"/>
    <w:rsid w:val="00D240E2"/>
    <w:rsid w:val="00D24AA7"/>
    <w:rsid w:val="00D27225"/>
    <w:rsid w:val="00D3219A"/>
    <w:rsid w:val="00D321B2"/>
    <w:rsid w:val="00D32715"/>
    <w:rsid w:val="00D3668F"/>
    <w:rsid w:val="00D422C2"/>
    <w:rsid w:val="00D42A55"/>
    <w:rsid w:val="00D45ADD"/>
    <w:rsid w:val="00D47568"/>
    <w:rsid w:val="00D50123"/>
    <w:rsid w:val="00D525F8"/>
    <w:rsid w:val="00D53592"/>
    <w:rsid w:val="00D536FE"/>
    <w:rsid w:val="00D54E03"/>
    <w:rsid w:val="00D62934"/>
    <w:rsid w:val="00D7062C"/>
    <w:rsid w:val="00D72DDC"/>
    <w:rsid w:val="00D809DC"/>
    <w:rsid w:val="00D850B2"/>
    <w:rsid w:val="00D86DEA"/>
    <w:rsid w:val="00D8743D"/>
    <w:rsid w:val="00D914A6"/>
    <w:rsid w:val="00D936D5"/>
    <w:rsid w:val="00DA0026"/>
    <w:rsid w:val="00DA1825"/>
    <w:rsid w:val="00DB35A9"/>
    <w:rsid w:val="00DB463E"/>
    <w:rsid w:val="00DB4954"/>
    <w:rsid w:val="00DB68AF"/>
    <w:rsid w:val="00DB6919"/>
    <w:rsid w:val="00DB6D83"/>
    <w:rsid w:val="00DB70A0"/>
    <w:rsid w:val="00DC01E2"/>
    <w:rsid w:val="00DC0E21"/>
    <w:rsid w:val="00DC1C39"/>
    <w:rsid w:val="00DC657F"/>
    <w:rsid w:val="00DD0425"/>
    <w:rsid w:val="00DD06F2"/>
    <w:rsid w:val="00DD20D2"/>
    <w:rsid w:val="00DD2ADB"/>
    <w:rsid w:val="00DD2EC3"/>
    <w:rsid w:val="00DD2F89"/>
    <w:rsid w:val="00DE046C"/>
    <w:rsid w:val="00DE2C7D"/>
    <w:rsid w:val="00DE4E43"/>
    <w:rsid w:val="00DF4D30"/>
    <w:rsid w:val="00DF66CC"/>
    <w:rsid w:val="00E00BB7"/>
    <w:rsid w:val="00E024F8"/>
    <w:rsid w:val="00E133D7"/>
    <w:rsid w:val="00E14075"/>
    <w:rsid w:val="00E17247"/>
    <w:rsid w:val="00E205C6"/>
    <w:rsid w:val="00E21E13"/>
    <w:rsid w:val="00E27915"/>
    <w:rsid w:val="00E33DC7"/>
    <w:rsid w:val="00E34D04"/>
    <w:rsid w:val="00E35881"/>
    <w:rsid w:val="00E41F60"/>
    <w:rsid w:val="00E435BE"/>
    <w:rsid w:val="00E452E3"/>
    <w:rsid w:val="00E471B4"/>
    <w:rsid w:val="00E50FFB"/>
    <w:rsid w:val="00E5179E"/>
    <w:rsid w:val="00E5279A"/>
    <w:rsid w:val="00E52D98"/>
    <w:rsid w:val="00E556BA"/>
    <w:rsid w:val="00E558C4"/>
    <w:rsid w:val="00E66C51"/>
    <w:rsid w:val="00E67AA1"/>
    <w:rsid w:val="00E70CBE"/>
    <w:rsid w:val="00E7230D"/>
    <w:rsid w:val="00E80044"/>
    <w:rsid w:val="00E829C2"/>
    <w:rsid w:val="00E90BBF"/>
    <w:rsid w:val="00E92C69"/>
    <w:rsid w:val="00E9305C"/>
    <w:rsid w:val="00E937FC"/>
    <w:rsid w:val="00EA1D95"/>
    <w:rsid w:val="00EA3F35"/>
    <w:rsid w:val="00EA4C4D"/>
    <w:rsid w:val="00EA5B50"/>
    <w:rsid w:val="00EB23F5"/>
    <w:rsid w:val="00EB4115"/>
    <w:rsid w:val="00EB5061"/>
    <w:rsid w:val="00EB50EB"/>
    <w:rsid w:val="00EB5A9D"/>
    <w:rsid w:val="00EB7538"/>
    <w:rsid w:val="00EC0E69"/>
    <w:rsid w:val="00EC3835"/>
    <w:rsid w:val="00EC58DB"/>
    <w:rsid w:val="00ED0F2C"/>
    <w:rsid w:val="00ED1761"/>
    <w:rsid w:val="00ED472F"/>
    <w:rsid w:val="00ED6806"/>
    <w:rsid w:val="00ED6DDC"/>
    <w:rsid w:val="00ED6FFA"/>
    <w:rsid w:val="00EE03D8"/>
    <w:rsid w:val="00EE1AC0"/>
    <w:rsid w:val="00EE1E5D"/>
    <w:rsid w:val="00EE26D5"/>
    <w:rsid w:val="00EF0334"/>
    <w:rsid w:val="00EF1193"/>
    <w:rsid w:val="00EF4522"/>
    <w:rsid w:val="00EF682D"/>
    <w:rsid w:val="00EF6BAD"/>
    <w:rsid w:val="00F03FAD"/>
    <w:rsid w:val="00F05D00"/>
    <w:rsid w:val="00F10414"/>
    <w:rsid w:val="00F12CD0"/>
    <w:rsid w:val="00F12D14"/>
    <w:rsid w:val="00F12EF2"/>
    <w:rsid w:val="00F23BA6"/>
    <w:rsid w:val="00F34854"/>
    <w:rsid w:val="00F34A5F"/>
    <w:rsid w:val="00F37345"/>
    <w:rsid w:val="00F37D3C"/>
    <w:rsid w:val="00F4010E"/>
    <w:rsid w:val="00F438FE"/>
    <w:rsid w:val="00F458AE"/>
    <w:rsid w:val="00F50D03"/>
    <w:rsid w:val="00F52C18"/>
    <w:rsid w:val="00F532A4"/>
    <w:rsid w:val="00F5619D"/>
    <w:rsid w:val="00F638F2"/>
    <w:rsid w:val="00F653E9"/>
    <w:rsid w:val="00F677AF"/>
    <w:rsid w:val="00F71D43"/>
    <w:rsid w:val="00F71E6A"/>
    <w:rsid w:val="00F72B89"/>
    <w:rsid w:val="00F735F2"/>
    <w:rsid w:val="00F82735"/>
    <w:rsid w:val="00F8285F"/>
    <w:rsid w:val="00F86021"/>
    <w:rsid w:val="00F90ABC"/>
    <w:rsid w:val="00F90FFF"/>
    <w:rsid w:val="00F910DD"/>
    <w:rsid w:val="00F93532"/>
    <w:rsid w:val="00F9445E"/>
    <w:rsid w:val="00F97E52"/>
    <w:rsid w:val="00FA0E40"/>
    <w:rsid w:val="00FA104A"/>
    <w:rsid w:val="00FA3F00"/>
    <w:rsid w:val="00FA5338"/>
    <w:rsid w:val="00FB0066"/>
    <w:rsid w:val="00FB4CEB"/>
    <w:rsid w:val="00FB5973"/>
    <w:rsid w:val="00FB7062"/>
    <w:rsid w:val="00FC0FE7"/>
    <w:rsid w:val="00FC47CA"/>
    <w:rsid w:val="00FD0A2E"/>
    <w:rsid w:val="00FD212D"/>
    <w:rsid w:val="00FD41A8"/>
    <w:rsid w:val="00FE0025"/>
    <w:rsid w:val="00FE2144"/>
    <w:rsid w:val="00FE22EF"/>
    <w:rsid w:val="00FE6D76"/>
    <w:rsid w:val="00FE7525"/>
    <w:rsid w:val="00FE7D20"/>
    <w:rsid w:val="00FF0748"/>
    <w:rsid w:val="00FF22D1"/>
    <w:rsid w:val="00FF2ABB"/>
    <w:rsid w:val="00FF2CCF"/>
    <w:rsid w:val="00FF4D44"/>
    <w:rsid w:val="00FF50E3"/>
    <w:rsid w:val="00FF51DC"/>
    <w:rsid w:val="00FF76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3730C083-D143-475C-9234-3B784294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3A8E"/>
    <w:pPr>
      <w:spacing w:after="160" w:line="259" w:lineRule="auto"/>
    </w:pPr>
    <w:rPr>
      <w:sz w:val="22"/>
      <w:szCs w:val="22"/>
      <w:lang w:val="es-ES"/>
    </w:rPr>
  </w:style>
  <w:style w:type="paragraph" w:styleId="Heading1">
    <w:name w:val="heading 1"/>
    <w:basedOn w:val="Normal"/>
    <w:next w:val="Normal"/>
    <w:link w:val="Heading1Char"/>
    <w:uiPriority w:val="99"/>
    <w:qFormat/>
    <w:rsid w:val="0092782C"/>
    <w:pPr>
      <w:keepNext/>
      <w:keepLines/>
      <w:spacing w:before="240" w:after="0"/>
      <w:outlineLvl w:val="0"/>
    </w:pPr>
    <w:rPr>
      <w:rFonts w:ascii="Calibri Light" w:hAnsi="Calibri Light"/>
      <w:color w:val="2E74B5"/>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92782C"/>
    <w:rPr>
      <w:rFonts w:ascii="Calibri Light" w:hAnsi="Calibri Light"/>
      <w:color w:val="2E74B5"/>
      <w:sz w:val="32"/>
    </w:rPr>
  </w:style>
  <w:style w:type="paragraph" w:styleId="ListParagraph">
    <w:name w:val="List Paragraph"/>
    <w:basedOn w:val="Normal"/>
    <w:uiPriority w:val="99"/>
    <w:qFormat/>
    <w:rsid w:val="0092782C"/>
    <w:pPr>
      <w:ind w:left="720"/>
      <w:contextualSpacing/>
    </w:pPr>
  </w:style>
  <w:style w:type="character" w:styleId="Hyperlink">
    <w:name w:val="Hyperlink"/>
    <w:uiPriority w:val="99"/>
    <w:semiHidden/>
    <w:rsid w:val="0092782C"/>
    <w:rPr>
      <w:rFonts w:cs="Times New Roman"/>
      <w:color w:val="0000FF"/>
      <w:u w:val="single"/>
    </w:rPr>
  </w:style>
  <w:style w:type="paragraph" w:styleId="FootnoteText">
    <w:name w:val="footnote text"/>
    <w:basedOn w:val="Normal"/>
    <w:link w:val="FootnoteTextChar"/>
    <w:uiPriority w:val="99"/>
    <w:semiHidden/>
    <w:rsid w:val="0092782C"/>
    <w:pPr>
      <w:spacing w:after="0" w:line="240" w:lineRule="auto"/>
    </w:pPr>
    <w:rPr>
      <w:rFonts w:ascii="Times New Roman" w:hAnsi="Times New Roman"/>
      <w:sz w:val="20"/>
      <w:szCs w:val="20"/>
      <w:lang w:eastAsia="es-ES"/>
    </w:rPr>
  </w:style>
  <w:style w:type="character" w:customStyle="1" w:styleId="FootnoteTextChar">
    <w:name w:val="Footnote Text Char"/>
    <w:link w:val="FootnoteText"/>
    <w:uiPriority w:val="99"/>
    <w:semiHidden/>
    <w:locked/>
    <w:rsid w:val="0092782C"/>
    <w:rPr>
      <w:rFonts w:ascii="Times New Roman" w:hAnsi="Times New Roman"/>
      <w:sz w:val="20"/>
      <w:lang w:eastAsia="es-ES"/>
    </w:rPr>
  </w:style>
  <w:style w:type="character" w:styleId="FootnoteReference">
    <w:name w:val="footnote reference"/>
    <w:uiPriority w:val="99"/>
    <w:semiHidden/>
    <w:rsid w:val="0092782C"/>
    <w:rPr>
      <w:rFonts w:cs="Times New Roman"/>
      <w:vertAlign w:val="superscript"/>
    </w:rPr>
  </w:style>
  <w:style w:type="paragraph" w:styleId="BodyText">
    <w:name w:val="Body Text"/>
    <w:basedOn w:val="Normal"/>
    <w:link w:val="BodyTextChar"/>
    <w:uiPriority w:val="99"/>
    <w:rsid w:val="000F7099"/>
    <w:pPr>
      <w:spacing w:after="120" w:line="240" w:lineRule="auto"/>
    </w:pPr>
    <w:rPr>
      <w:rFonts w:ascii="Times New Roman" w:hAnsi="Times New Roman"/>
      <w:sz w:val="24"/>
      <w:szCs w:val="20"/>
    </w:rPr>
  </w:style>
  <w:style w:type="character" w:customStyle="1" w:styleId="BodyTextChar">
    <w:name w:val="Body Text Char"/>
    <w:link w:val="BodyText"/>
    <w:uiPriority w:val="99"/>
    <w:locked/>
    <w:rsid w:val="000F7099"/>
    <w:rPr>
      <w:rFonts w:ascii="Times New Roman" w:hAnsi="Times New Roman"/>
      <w:sz w:val="24"/>
    </w:rPr>
  </w:style>
  <w:style w:type="character" w:customStyle="1" w:styleId="apple-converted-space">
    <w:name w:val="apple-converted-space"/>
    <w:rsid w:val="000F7099"/>
  </w:style>
  <w:style w:type="table" w:customStyle="1" w:styleId="Listamedia21">
    <w:name w:val="Lista media 21"/>
    <w:basedOn w:val="TableNormal"/>
    <w:uiPriority w:val="99"/>
    <w:rsid w:val="00A23C4C"/>
    <w:rPr>
      <w:rFonts w:ascii="Calibri Light" w:eastAsia="Times New Roman"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rFonts w:cs="Times New Roman"/>
        <w:sz w:val="24"/>
        <w:szCs w:val="24"/>
      </w:rPr>
      <w:tblPr/>
      <w:tcPr>
        <w:tcBorders>
          <w:top w:val="nil"/>
          <w:left w:val="nil"/>
          <w:bottom w:val="single" w:sz="24" w:space="0" w:color="000000"/>
          <w:right w:val="nil"/>
          <w:insideH w:val="nil"/>
          <w:insideV w:val="nil"/>
        </w:tcBorders>
        <w:shd w:val="clear" w:color="auto" w:fill="FFFFFF"/>
      </w:tcPr>
    </w:tblStylePr>
    <w:tblStylePr w:type="lastRow">
      <w:rPr>
        <w:rFonts w:cs="Times New Roman"/>
      </w:rPr>
      <w:tblPr/>
      <w:tcPr>
        <w:tcBorders>
          <w:top w:val="single" w:sz="8" w:space="0" w:color="000000"/>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000000"/>
          <w:insideH w:val="nil"/>
          <w:insideV w:val="nil"/>
        </w:tcBorders>
        <w:shd w:val="clear" w:color="auto" w:fill="FFFFFF"/>
      </w:tcPr>
    </w:tblStylePr>
    <w:tblStylePr w:type="lastCol">
      <w:rPr>
        <w:rFonts w:cs="Times New Roman"/>
      </w:rPr>
      <w:tblPr/>
      <w:tcPr>
        <w:tcBorders>
          <w:top w:val="nil"/>
          <w:left w:val="single" w:sz="8" w:space="0" w:color="000000"/>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top w:val="nil"/>
          <w:bottom w:val="nil"/>
          <w:insideH w:val="nil"/>
          <w:insideV w:val="nil"/>
        </w:tcBorders>
        <w:shd w:val="clear" w:color="auto" w:fill="C0C0C0"/>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customStyle="1" w:styleId="Tabladecuadrcula1clara1">
    <w:name w:val="Tabla de cuadrícula 1 clara1"/>
    <w:uiPriority w:val="99"/>
    <w:rsid w:val="001E0AC9"/>
    <w:rPr>
      <w:lang w:val="es-ES" w:eastAsia="es-ES"/>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table" w:styleId="TableGrid">
    <w:name w:val="Table Grid"/>
    <w:basedOn w:val="TableNormal"/>
    <w:uiPriority w:val="99"/>
    <w:locked/>
    <w:rsid w:val="004120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01A4"/>
    <w:pPr>
      <w:tabs>
        <w:tab w:val="center" w:pos="4419"/>
        <w:tab w:val="right" w:pos="8838"/>
      </w:tabs>
    </w:pPr>
  </w:style>
  <w:style w:type="character" w:customStyle="1" w:styleId="HeaderChar">
    <w:name w:val="Header Char"/>
    <w:link w:val="Header"/>
    <w:uiPriority w:val="99"/>
    <w:rsid w:val="008D01A4"/>
    <w:rPr>
      <w:sz w:val="22"/>
      <w:szCs w:val="22"/>
      <w:lang w:eastAsia="en-US"/>
    </w:rPr>
  </w:style>
  <w:style w:type="paragraph" w:styleId="Footer">
    <w:name w:val="footer"/>
    <w:basedOn w:val="Normal"/>
    <w:link w:val="FooterChar"/>
    <w:uiPriority w:val="99"/>
    <w:unhideWhenUsed/>
    <w:rsid w:val="008D01A4"/>
    <w:pPr>
      <w:tabs>
        <w:tab w:val="center" w:pos="4419"/>
        <w:tab w:val="right" w:pos="8838"/>
      </w:tabs>
    </w:pPr>
  </w:style>
  <w:style w:type="character" w:customStyle="1" w:styleId="FooterChar">
    <w:name w:val="Footer Char"/>
    <w:link w:val="Footer"/>
    <w:uiPriority w:val="99"/>
    <w:rsid w:val="008D01A4"/>
    <w:rPr>
      <w:sz w:val="22"/>
      <w:szCs w:val="22"/>
      <w:lang w:eastAsia="en-US"/>
    </w:rPr>
  </w:style>
  <w:style w:type="character" w:styleId="Strong">
    <w:name w:val="Strong"/>
    <w:uiPriority w:val="22"/>
    <w:qFormat/>
    <w:locked/>
    <w:rsid w:val="00076E57"/>
    <w:rPr>
      <w:b/>
      <w:bCs/>
    </w:rPr>
  </w:style>
  <w:style w:type="character" w:styleId="HTMLCite">
    <w:name w:val="HTML Cite"/>
    <w:uiPriority w:val="99"/>
    <w:semiHidden/>
    <w:unhideWhenUsed/>
    <w:rsid w:val="00AC58BF"/>
    <w:rPr>
      <w:i/>
      <w:iCs/>
    </w:rPr>
  </w:style>
  <w:style w:type="character" w:styleId="PageNumber">
    <w:name w:val="page number"/>
    <w:rsid w:val="00A93DB8"/>
  </w:style>
  <w:style w:type="paragraph" w:styleId="BalloonText">
    <w:name w:val="Balloon Text"/>
    <w:basedOn w:val="Normal"/>
    <w:link w:val="BalloonTextChar"/>
    <w:uiPriority w:val="99"/>
    <w:semiHidden/>
    <w:unhideWhenUsed/>
    <w:rsid w:val="0008486F"/>
    <w:pPr>
      <w:spacing w:after="0" w:line="240" w:lineRule="auto"/>
    </w:pPr>
    <w:rPr>
      <w:rFonts w:ascii="Segoe UI" w:hAnsi="Segoe UI"/>
      <w:sz w:val="18"/>
      <w:szCs w:val="18"/>
    </w:rPr>
  </w:style>
  <w:style w:type="character" w:customStyle="1" w:styleId="BalloonTextChar">
    <w:name w:val="Balloon Text Char"/>
    <w:link w:val="BalloonText"/>
    <w:uiPriority w:val="99"/>
    <w:semiHidden/>
    <w:rsid w:val="0008486F"/>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4137">
      <w:bodyDiv w:val="1"/>
      <w:marLeft w:val="0"/>
      <w:marRight w:val="0"/>
      <w:marTop w:val="0"/>
      <w:marBottom w:val="0"/>
      <w:divBdr>
        <w:top w:val="none" w:sz="0" w:space="0" w:color="auto"/>
        <w:left w:val="none" w:sz="0" w:space="0" w:color="auto"/>
        <w:bottom w:val="none" w:sz="0" w:space="0" w:color="auto"/>
        <w:right w:val="none" w:sz="0" w:space="0" w:color="auto"/>
      </w:divBdr>
    </w:div>
    <w:div w:id="54545872">
      <w:bodyDiv w:val="1"/>
      <w:marLeft w:val="0"/>
      <w:marRight w:val="0"/>
      <w:marTop w:val="0"/>
      <w:marBottom w:val="0"/>
      <w:divBdr>
        <w:top w:val="none" w:sz="0" w:space="0" w:color="auto"/>
        <w:left w:val="none" w:sz="0" w:space="0" w:color="auto"/>
        <w:bottom w:val="none" w:sz="0" w:space="0" w:color="auto"/>
        <w:right w:val="none" w:sz="0" w:space="0" w:color="auto"/>
      </w:divBdr>
    </w:div>
    <w:div w:id="654990527">
      <w:bodyDiv w:val="1"/>
      <w:marLeft w:val="0"/>
      <w:marRight w:val="0"/>
      <w:marTop w:val="0"/>
      <w:marBottom w:val="0"/>
      <w:divBdr>
        <w:top w:val="none" w:sz="0" w:space="0" w:color="auto"/>
        <w:left w:val="none" w:sz="0" w:space="0" w:color="auto"/>
        <w:bottom w:val="none" w:sz="0" w:space="0" w:color="auto"/>
        <w:right w:val="none" w:sz="0" w:space="0" w:color="auto"/>
      </w:divBdr>
    </w:div>
    <w:div w:id="1624461689">
      <w:bodyDiv w:val="1"/>
      <w:marLeft w:val="0"/>
      <w:marRight w:val="0"/>
      <w:marTop w:val="0"/>
      <w:marBottom w:val="0"/>
      <w:divBdr>
        <w:top w:val="none" w:sz="0" w:space="0" w:color="auto"/>
        <w:left w:val="none" w:sz="0" w:space="0" w:color="auto"/>
        <w:bottom w:val="none" w:sz="0" w:space="0" w:color="auto"/>
        <w:right w:val="none" w:sz="0" w:space="0" w:color="auto"/>
      </w:divBdr>
    </w:div>
    <w:div w:id="1815247979">
      <w:bodyDiv w:val="1"/>
      <w:marLeft w:val="0"/>
      <w:marRight w:val="0"/>
      <w:marTop w:val="0"/>
      <w:marBottom w:val="0"/>
      <w:divBdr>
        <w:top w:val="none" w:sz="0" w:space="0" w:color="auto"/>
        <w:left w:val="none" w:sz="0" w:space="0" w:color="auto"/>
        <w:bottom w:val="none" w:sz="0" w:space="0" w:color="auto"/>
        <w:right w:val="none" w:sz="0" w:space="0" w:color="auto"/>
      </w:divBdr>
    </w:div>
    <w:div w:id="2076273732">
      <w:bodyDiv w:val="1"/>
      <w:marLeft w:val="0"/>
      <w:marRight w:val="0"/>
      <w:marTop w:val="0"/>
      <w:marBottom w:val="0"/>
      <w:divBdr>
        <w:top w:val="none" w:sz="0" w:space="0" w:color="auto"/>
        <w:left w:val="none" w:sz="0" w:space="0" w:color="auto"/>
        <w:bottom w:val="none" w:sz="0" w:space="0" w:color="auto"/>
        <w:right w:val="none" w:sz="0" w:space="0" w:color="auto"/>
      </w:divBdr>
      <w:divsChild>
        <w:div w:id="159976712">
          <w:marLeft w:val="0"/>
          <w:marRight w:val="0"/>
          <w:marTop w:val="0"/>
          <w:marBottom w:val="0"/>
          <w:divBdr>
            <w:top w:val="none" w:sz="0" w:space="0" w:color="auto"/>
            <w:left w:val="none" w:sz="0" w:space="0" w:color="auto"/>
            <w:bottom w:val="none" w:sz="0" w:space="0" w:color="auto"/>
            <w:right w:val="none" w:sz="0" w:space="0" w:color="auto"/>
          </w:divBdr>
        </w:div>
        <w:div w:id="711269445">
          <w:marLeft w:val="0"/>
          <w:marRight w:val="0"/>
          <w:marTop w:val="0"/>
          <w:marBottom w:val="0"/>
          <w:divBdr>
            <w:top w:val="none" w:sz="0" w:space="0" w:color="auto"/>
            <w:left w:val="none" w:sz="0" w:space="0" w:color="auto"/>
            <w:bottom w:val="none" w:sz="0" w:space="0" w:color="auto"/>
            <w:right w:val="none" w:sz="0" w:space="0" w:color="auto"/>
          </w:divBdr>
        </w:div>
        <w:div w:id="849225348">
          <w:marLeft w:val="0"/>
          <w:marRight w:val="0"/>
          <w:marTop w:val="0"/>
          <w:marBottom w:val="0"/>
          <w:divBdr>
            <w:top w:val="none" w:sz="0" w:space="0" w:color="auto"/>
            <w:left w:val="none" w:sz="0" w:space="0" w:color="auto"/>
            <w:bottom w:val="none" w:sz="0" w:space="0" w:color="auto"/>
            <w:right w:val="none" w:sz="0" w:space="0" w:color="auto"/>
          </w:divBdr>
        </w:div>
      </w:divsChild>
    </w:div>
    <w:div w:id="2084446756">
      <w:marLeft w:val="0"/>
      <w:marRight w:val="0"/>
      <w:marTop w:val="0"/>
      <w:marBottom w:val="0"/>
      <w:divBdr>
        <w:top w:val="none" w:sz="0" w:space="0" w:color="auto"/>
        <w:left w:val="none" w:sz="0" w:space="0" w:color="auto"/>
        <w:bottom w:val="none" w:sz="0" w:space="0" w:color="auto"/>
        <w:right w:val="none" w:sz="0" w:space="0" w:color="auto"/>
      </w:divBdr>
    </w:div>
    <w:div w:id="2084446757">
      <w:marLeft w:val="0"/>
      <w:marRight w:val="0"/>
      <w:marTop w:val="0"/>
      <w:marBottom w:val="0"/>
      <w:divBdr>
        <w:top w:val="none" w:sz="0" w:space="0" w:color="auto"/>
        <w:left w:val="none" w:sz="0" w:space="0" w:color="auto"/>
        <w:bottom w:val="none" w:sz="0" w:space="0" w:color="auto"/>
        <w:right w:val="none" w:sz="0" w:space="0" w:color="auto"/>
      </w:divBdr>
    </w:div>
    <w:div w:id="2084446758">
      <w:marLeft w:val="0"/>
      <w:marRight w:val="0"/>
      <w:marTop w:val="0"/>
      <w:marBottom w:val="0"/>
      <w:divBdr>
        <w:top w:val="none" w:sz="0" w:space="0" w:color="auto"/>
        <w:left w:val="none" w:sz="0" w:space="0" w:color="auto"/>
        <w:bottom w:val="none" w:sz="0" w:space="0" w:color="auto"/>
        <w:right w:val="none" w:sz="0" w:space="0" w:color="auto"/>
      </w:divBdr>
    </w:div>
    <w:div w:id="2084446759">
      <w:marLeft w:val="0"/>
      <w:marRight w:val="0"/>
      <w:marTop w:val="0"/>
      <w:marBottom w:val="0"/>
      <w:divBdr>
        <w:top w:val="none" w:sz="0" w:space="0" w:color="auto"/>
        <w:left w:val="none" w:sz="0" w:space="0" w:color="auto"/>
        <w:bottom w:val="none" w:sz="0" w:space="0" w:color="auto"/>
        <w:right w:val="none" w:sz="0" w:space="0" w:color="auto"/>
      </w:divBdr>
    </w:div>
    <w:div w:id="208444676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tin-arroyo@ub.edu" TargetMode="External"/><Relationship Id="rId13" Type="http://schemas.openxmlformats.org/officeDocument/2006/relationships/hyperlink" Target="http://www.jstor.org/stable/504744?origin=crossref&amp;seq=1" TargetMode="External"/><Relationship Id="rId18" Type="http://schemas.openxmlformats.org/officeDocument/2006/relationships/hyperlink" Target="http://www.persee.fr/doc/efr_0000-0000_1977_act_32_1_4690"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dx.doi.org/10.2307/504744" TargetMode="External"/><Relationship Id="rId17" Type="http://schemas.openxmlformats.org/officeDocument/2006/relationships/hyperlink" Target="http://www.persee.fr/doc/ephe_0000-0001_1974_num_1_1_6019" TargetMode="External"/><Relationship Id="rId2" Type="http://schemas.openxmlformats.org/officeDocument/2006/relationships/numbering" Target="numbering.xml"/><Relationship Id="rId16" Type="http://schemas.openxmlformats.org/officeDocument/2006/relationships/hyperlink" Target="http://www.persee.fr/doc/ran_0557-7705_1977_num_10_1_1012" TargetMode="External"/><Relationship Id="rId20" Type="http://schemas.openxmlformats.org/officeDocument/2006/relationships/hyperlink" Target="https://www.cambridge.org/core/journals/journal-of-roman-archaeology/article/two-groups-of-tituli-picti-from-pompeii-and-environs-sicilian-wine-not-flour-and-handpicked-olives/0E4751F559D70B6F519977DA376F1B1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mbridge.org/core/journals/papers-of-the-british-school-at-rome/article/conditions-of-domestic-life-in-pompeii-in-ad-79-a-casestudy-of-houses-11-and-12-insula-9-region-i1/437A6936EBF7A3BC024A0B01DF8A7971" TargetMode="External"/><Relationship Id="rId5" Type="http://schemas.openxmlformats.org/officeDocument/2006/relationships/webSettings" Target="webSettings.xml"/><Relationship Id="rId15" Type="http://schemas.openxmlformats.org/officeDocument/2006/relationships/hyperlink" Target="http://doi.org/10.3406/ran.1977.1012" TargetMode="External"/><Relationship Id="rId23" Type="http://schemas.openxmlformats.org/officeDocument/2006/relationships/theme" Target="theme/theme1.xml"/><Relationship Id="rId10" Type="http://schemas.openxmlformats.org/officeDocument/2006/relationships/hyperlink" Target="http://dx.doi.org/10.1017/S0068246200010606" TargetMode="External"/><Relationship Id="rId19" Type="http://schemas.openxmlformats.org/officeDocument/2006/relationships/hyperlink" Target="https://doi.org/10.1017/S1047759400005390" TargetMode="External"/><Relationship Id="rId4" Type="http://schemas.openxmlformats.org/officeDocument/2006/relationships/settings" Target="settings.xml"/><Relationship Id="rId9" Type="http://schemas.openxmlformats.org/officeDocument/2006/relationships/hyperlink" Target="https://www.academia.edu/956525/Roman_Businesswomen._I_The_case_of_the_producers_and_distributors_of_garum_in_Pompeii_Analecta_Archaeologica_Ressoviensia_3_2008_251-271" TargetMode="External"/><Relationship Id="rId14" Type="http://schemas.openxmlformats.org/officeDocument/2006/relationships/hyperlink" Target="http://www.ejournals.eu/electrum/2016/Volume-23/art/8005/"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roman-e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1E695-B216-4313-A120-DA2B0FF1B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7787</Words>
  <Characters>42829</Characters>
  <Application>Microsoft Office Word</Application>
  <DocSecurity>0</DocSecurity>
  <Lines>356</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martin-arroyo</dc:creator>
  <cp:keywords/>
  <dc:description/>
  <cp:lastModifiedBy>anonymous</cp:lastModifiedBy>
  <cp:revision>3</cp:revision>
  <cp:lastPrinted>2017-05-12T12:27:00Z</cp:lastPrinted>
  <dcterms:created xsi:type="dcterms:W3CDTF">2018-06-19T14:02:00Z</dcterms:created>
  <dcterms:modified xsi:type="dcterms:W3CDTF">2018-06-19T14:02:00Z</dcterms:modified>
</cp:coreProperties>
</file>