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5. Anchor Framework: Counter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Проект Anchor, программа Counter из 4 инструкций (initialize, increment, decrement, reset), разнесена по модулям.</w:t>
      </w:r>
    </w:p>
    <w:p>
      <w:pPr>
        <w:pStyle w:val="ListBullet"/>
      </w:pPr>
      <w:r>
        <w:t>7 TypeScript-тестов, все проходят на локальном валидаторе (anchor test); cargo clippy и fmt без замечаний.</w:t>
      </w:r>
    </w:p>
    <w:p>
      <w:pPr>
        <w:pStyle w:val="ListBullet"/>
      </w:pPr>
      <w:r>
        <w:t>Сборка стандартная, без нестандартных флагов компилятора; .so 135 896 байт.</w:t>
      </w:r>
    </w:p>
    <w:p>
      <w:pPr>
        <w:pStyle w:val="ListBullet"/>
      </w:pPr>
      <w:r>
        <w:t>Клиент на TypeScript с IDL из target/idl; запущен на devnet.</w:t>
      </w:r>
    </w:p>
    <w:p>
      <w:pPr>
        <w:pStyle w:val="ListBullet"/>
      </w:pPr>
      <w:r>
        <w:t>Новый Program ID (anchor keys sync), резервная копия ключа вне проекта, в git и zip ключа нет.</w:t>
      </w:r>
    </w:p>
    <w:p>
      <w:pPr>
        <w:pStyle w:val="ListBullet"/>
      </w:pPr>
      <w:r>
        <w:t>Программа задеплоена в devnet один раз с --no-idl; клиент создал Counter, три раза вызвал increment, один раз decrement; итоговый count = 2.</w:t>
      </w:r>
    </w:p>
    <w:p>
      <w:pPr>
        <w:pStyle w:val="Heading2"/>
      </w:pPr>
      <w:r>
        <w:t>Данные</w:t>
      </w:r>
    </w:p>
    <w:p>
      <w:pPr>
        <w:pStyle w:val="ListBullet"/>
      </w:pPr>
      <w:r>
        <w:t>Сеть: devnet</w:t>
      </w:r>
    </w:p>
    <w:p>
      <w:pPr>
        <w:pStyle w:val="ListBullet"/>
      </w:pPr>
      <w:r>
        <w:t>Program ID: 673AWrposEH54uTFKn9fEi7L2z2jGEKG72F2CuDqG85E</w:t>
      </w:r>
    </w:p>
    <w:p>
      <w:pPr>
        <w:pStyle w:val="ListBullet"/>
      </w:pPr>
      <w:r>
        <w:t>Signature деплоя: 4eWzVvFzfLXLwbwX1g3QTVEngauGAxQHRFt12fZ7Za9tZNA6kBrC7v3VdwQgFmvYNpdwY8DnGyzoRWCcL1zjejWC</w:t>
      </w:r>
    </w:p>
    <w:p>
      <w:pPr>
        <w:pStyle w:val="ListBullet"/>
      </w:pPr>
      <w:r>
        <w:t>Адрес Counter: EYMFS9hGUKE7CEpQ5VXSQtFhWBjriBofeqTbgBasuJ8d</w:t>
      </w:r>
    </w:p>
    <w:p>
      <w:pPr>
        <w:pStyle w:val="ListBullet"/>
      </w:pPr>
      <w:r>
        <w:t>Размер программы: 135 896 байт</w:t>
      </w:r>
    </w:p>
    <w:p>
      <w:pPr>
        <w:pStyle w:val="ListBullet"/>
      </w:pPr>
      <w:r>
        <w:t>Потрачено SOL: всего 0.693708: деплой 0.692784 (ProgramData 0.691231, program account 0.000833, комиссии за загрузку ≈0.00072), клиент 0.000924. Остаток на кошельке 4.110552 SOL</w:t>
      </w:r>
    </w:p>
    <w:p>
      <w:pPr>
        <w:pStyle w:val="ListBullet"/>
      </w:pPr>
      <w:r>
        <w:t>Итоговый count: 2 (authority Fo9Qwfn1DybRm6sPKY5SdwSPKSqA5xDKwFuU7CQpB3fS)</w:t>
      </w:r>
    </w:p>
    <w:p>
      <w:pPr>
        <w:pStyle w:val="ListBullet"/>
      </w:pPr>
      <w:r>
        <w:t>IDL в сеть не загружался (--no-idl), клиент использует client/idl/counter.json</w:t>
      </w:r>
    </w:p>
    <w:p>
      <w:r>
        <w:t xml:space="preserve">Program ID в Explorer: </w:t>
      </w:r>
      <w:hyperlink r:id="rId9">
        <w:r>
          <w:rPr>
            <w:u w:val="single"/>
          </w:rPr>
          <w:t>Explorer</w:t>
        </w:r>
      </w:hyperlink>
    </w:p>
    <w:p>
      <w:pPr>
        <w:pStyle w:val="Heading2"/>
      </w:pPr>
      <w:r>
        <w:t>Структура проекта и IDL</w:t>
      </w:r>
    </w:p>
    <w:p>
      <w:r>
        <w:t>programs/ — код программы на Rust (lib.rs, state.rs, error.rs, instructions/), tests/ — TypeScript-тесты, client/ — клиентский скрипт, Anchor.toml — настройки (кластер, кошелёк, Program ID), target/ — результат сборки.</w:t>
      </w:r>
    </w:p>
    <w:p>
      <w:r>
        <w:t>IDL — JSON-описание программы (инструкции, аккаунты, типы, ошибки), которое Anchor строит при сборке в target/idl/counter.json. По нему клиент кодирует инструкции и читает аккаунты.</w:t>
      </w:r>
    </w:p>
    <w:p>
      <w:pPr>
        <w:pStyle w:val="Heading2"/>
      </w:pPr>
      <w:r>
        <w:t>Accounts и constraints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От чего защищает</w:t>
            </w:r>
          </w:p>
        </w:tc>
      </w:tr>
      <w:tr>
        <w:tc>
          <w:tcPr>
            <w:tcW w:type="dxa" w:w="2880"/>
          </w:tcPr>
          <w:p>
            <w:r>
              <w:t>init, payer, space</w:t>
            </w:r>
          </w:p>
        </w:tc>
        <w:tc>
          <w:tcPr>
            <w:tcW w:type="dxa" w:w="2880"/>
          </w:tcPr>
          <w:p>
            <w:r>
              <w:t>создаёт аккаунт нужного размера (8 + InitSpace = 48 байт), rent-exempt, владелец — программа</w:t>
            </w:r>
          </w:p>
        </w:tc>
        <w:tc>
          <w:tcPr>
            <w:tcW w:type="dxa" w:w="2880"/>
          </w:tcPr>
          <w:p>
            <w:r>
              <w:t>от аккаунта неправильного размера и без rent</w:t>
            </w:r>
          </w:p>
        </w:tc>
      </w:tr>
      <w:tr>
        <w:tc>
          <w:tcPr>
            <w:tcW w:type="dxa" w:w="2880"/>
          </w:tcPr>
          <w:p>
            <w:r>
              <w:t>mut</w:t>
            </w:r>
          </w:p>
        </w:tc>
        <w:tc>
          <w:tcPr>
            <w:tcW w:type="dxa" w:w="2880"/>
          </w:tcPr>
          <w:p>
            <w:r>
              <w:t>аккаунт помечен writable</w:t>
            </w:r>
          </w:p>
        </w:tc>
        <w:tc>
          <w:tcPr>
            <w:tcW w:type="dxa" w:w="2880"/>
          </w:tcPr>
          <w:p>
            <w:r>
              <w:t>от записи в аккаунт, не заявленный как изменяемый</w:t>
            </w:r>
          </w:p>
        </w:tc>
      </w:tr>
      <w:tr>
        <w:tc>
          <w:tcPr>
            <w:tcW w:type="dxa" w:w="2880"/>
          </w:tcPr>
          <w:p>
            <w:r>
              <w:t>has_one = authority</w:t>
            </w:r>
          </w:p>
        </w:tc>
        <w:tc>
          <w:tcPr>
            <w:tcW w:type="dxa" w:w="2880"/>
          </w:tcPr>
          <w:p>
            <w:r>
              <w:t>counter.authority совпадает с ключом authority</w:t>
            </w:r>
          </w:p>
        </w:tc>
        <w:tc>
          <w:tcPr>
            <w:tcW w:type="dxa" w:w="2880"/>
          </w:tcPr>
          <w:p>
            <w:r>
              <w:t>от изменения чужого счётчика</w:t>
            </w:r>
          </w:p>
        </w:tc>
      </w:tr>
      <w:tr>
        <w:tc>
          <w:tcPr>
            <w:tcW w:type="dxa" w:w="2880"/>
          </w:tcPr>
          <w:p>
            <w:r>
              <w:t>Signer</w:t>
            </w:r>
          </w:p>
        </w:tc>
        <w:tc>
          <w:tcPr>
            <w:tcW w:type="dxa" w:w="2880"/>
          </w:tcPr>
          <w:p>
            <w:r>
              <w:t>authority подписал транзакцию</w:t>
            </w:r>
          </w:p>
        </w:tc>
        <w:tc>
          <w:tcPr>
            <w:tcW w:type="dxa" w:w="2880"/>
          </w:tcPr>
          <w:p>
            <w:r>
              <w:t>от подмены ключа без подписи</w:t>
            </w:r>
          </w:p>
        </w:tc>
      </w:tr>
      <w:tr>
        <w:tc>
          <w:tcPr>
            <w:tcW w:type="dxa" w:w="2880"/>
          </w:tcPr>
          <w:p>
            <w:r>
              <w:t>Account&lt;Counter&gt;</w:t>
            </w:r>
          </w:p>
        </w:tc>
        <w:tc>
          <w:tcPr>
            <w:tcW w:type="dxa" w:w="2880"/>
          </w:tcPr>
          <w:p>
            <w:r>
              <w:t>owner == program id и discriminator</w:t>
            </w:r>
          </w:p>
        </w:tc>
        <w:tc>
          <w:tcPr>
            <w:tcW w:type="dxa" w:w="2880"/>
          </w:tcPr>
          <w:p>
            <w:r>
              <w:t>от поддельных аккаунтов другой программы или другого типа</w:t>
            </w:r>
          </w:p>
        </w:tc>
      </w:tr>
    </w:tbl>
    <w:p>
      <w:pPr>
        <w:pStyle w:val="Heading2"/>
      </w:pPr>
      <w:r>
        <w:t>Инструкции программы</w:t>
      </w:r>
    </w:p>
    <w:p>
      <w:pPr>
        <w:pStyle w:val="ListBullet"/>
      </w:pPr>
      <w:r>
        <w:t>initialize: создаёт Counter, count = 0, authority = подписант</w:t>
      </w:r>
    </w:p>
    <w:p>
      <w:pPr>
        <w:pStyle w:val="ListBullet"/>
      </w:pPr>
      <w:r>
        <w:t>increment: count += 1 через checked_add, ошибка CounterOverflow</w:t>
      </w:r>
    </w:p>
    <w:p>
      <w:pPr>
        <w:pStyle w:val="ListBullet"/>
      </w:pPr>
      <w:r>
        <w:t>decrement: count −= 1 через checked_sub, ниже нуля — CounterUnderflow (6000)</w:t>
      </w:r>
    </w:p>
    <w:p>
      <w:pPr>
        <w:pStyle w:val="ListBullet"/>
      </w:pPr>
      <w:r>
        <w:t>reset: count = 0; все три доступны только authority</w:t>
      </w:r>
    </w:p>
    <w:p>
      <w:pPr>
        <w:pStyle w:val="Heading2"/>
      </w:pPr>
      <w:r>
        <w:t>Тесты</w:t>
      </w:r>
    </w:p>
    <w:p>
      <w:r>
        <w:t>7 тестов, 7 проходят (anchor test --validator legacy, локальный валидатор). Позитивные: initialize; increment ×2, decrement и reset с проверкой count. Негативные: decrement ниже нуля даёт CounterUnderflow (6000); increment, reset и decrement чужим signer дают ConstraintHasOne; вызов без подписи authority отклоняется; повторный initialize того же аккаунта невозможен.</w:t>
      </w:r>
    </w:p>
    <w:p>
      <w:pPr>
        <w:pStyle w:val="Heading2"/>
      </w:pPr>
      <w:r>
        <w:t>Транзакции клиента</w:t>
      </w:r>
    </w:p>
    <w:p>
      <w:r>
        <w:t>Клиент запущен на devnet (CLUSTER=devnet npm run client), вывод сохранён в run-devnet.log.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initialize</w:t>
            </w:r>
          </w:p>
        </w:tc>
        <w:tc>
          <w:tcPr>
            <w:tcW w:type="dxa" w:w="2160"/>
          </w:tcPr>
          <w:p>
            <w:r>
              <w:t>qmAuSuTjCg8B9p2sU8soAVk7TVVrm19qJDHVP8QMpdpZQ8ChYDmuijJd8j68X5gzz15hsvKoN6k3uYK4FLmmVCS</w:t>
            </w:r>
          </w:p>
        </w:tc>
        <w:tc>
          <w:tcPr>
            <w:tcW w:type="dxa" w:w="2160"/>
          </w:tcPr>
          <w:p>
            <w:hyperlink r:id="rId10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0</w:t>
            </w:r>
          </w:p>
        </w:tc>
      </w:tr>
      <w:tr>
        <w:tc>
          <w:tcPr>
            <w:tcW w:type="dxa" w:w="2160"/>
          </w:tcPr>
          <w:p>
            <w:r>
              <w:t>increment</w:t>
            </w:r>
          </w:p>
        </w:tc>
        <w:tc>
          <w:tcPr>
            <w:tcW w:type="dxa" w:w="2160"/>
          </w:tcPr>
          <w:p>
            <w:r>
              <w:t>gvyRWuVyFSXPDqZFhZZuQQ7TsDdRQCs99gQMRnnvfCEpVQMyaWqs32Lq4fYGf7VmF4QZMTgnmXNAzttsGHokEuR</w:t>
            </w:r>
          </w:p>
        </w:tc>
        <w:tc>
          <w:tcPr>
            <w:tcW w:type="dxa" w:w="2160"/>
          </w:tcPr>
          <w:p>
            <w:hyperlink r:id="rId11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1</w:t>
            </w:r>
          </w:p>
        </w:tc>
      </w:tr>
      <w:tr>
        <w:tc>
          <w:tcPr>
            <w:tcW w:type="dxa" w:w="2160"/>
          </w:tcPr>
          <w:p>
            <w:r>
              <w:t>increment</w:t>
            </w:r>
          </w:p>
        </w:tc>
        <w:tc>
          <w:tcPr>
            <w:tcW w:type="dxa" w:w="2160"/>
          </w:tcPr>
          <w:p>
            <w:r>
              <w:t>27NmamFh7vrgkimLkMctru7DELRbc9VfUkSMJq6KkW4LGnK769qxNtBKnCdiHKJAcx5PNav2M7LALZweMpT2C1Q3</w:t>
            </w:r>
          </w:p>
        </w:tc>
        <w:tc>
          <w:tcPr>
            <w:tcW w:type="dxa" w:w="2160"/>
          </w:tcPr>
          <w:p>
            <w:hyperlink r:id="rId12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2</w:t>
            </w:r>
          </w:p>
        </w:tc>
      </w:tr>
      <w:tr>
        <w:tc>
          <w:tcPr>
            <w:tcW w:type="dxa" w:w="2160"/>
          </w:tcPr>
          <w:p>
            <w:r>
              <w:t>increment</w:t>
            </w:r>
          </w:p>
        </w:tc>
        <w:tc>
          <w:tcPr>
            <w:tcW w:type="dxa" w:w="2160"/>
          </w:tcPr>
          <w:p>
            <w:r>
              <w:t>5iJQct8LfiVpSDPoYMNFsVhBjmRJmDnv2awKfTm9Dfod26NF7XccZE7BqmzeY325HCNTKZ8NspzAaQmmppCsE2H1</w:t>
            </w:r>
          </w:p>
        </w:tc>
        <w:tc>
          <w:tcPr>
            <w:tcW w:type="dxa" w:w="2160"/>
          </w:tcPr>
          <w:p>
            <w:hyperlink r:id="rId13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3</w:t>
            </w:r>
          </w:p>
        </w:tc>
      </w:tr>
      <w:tr>
        <w:tc>
          <w:tcPr>
            <w:tcW w:type="dxa" w:w="2160"/>
          </w:tcPr>
          <w:p>
            <w:r>
              <w:t>decrement</w:t>
            </w:r>
          </w:p>
        </w:tc>
        <w:tc>
          <w:tcPr>
            <w:tcW w:type="dxa" w:w="2160"/>
          </w:tcPr>
          <w:p>
            <w:r>
              <w:t>2jS5np1YH9NS83azmnFhHxH7E53crJP3psvnpboJFVJRQpy6B2dyiMqByd5BwZC6wPnJwY7YDJfLQdFKfToZrrFL</w:t>
            </w:r>
          </w:p>
        </w:tc>
        <w:tc>
          <w:tcPr>
            <w:tcW w:type="dxa" w:w="2160"/>
          </w:tcPr>
          <w:p>
            <w:hyperlink r:id="rId14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2</w:t>
            </w:r>
          </w:p>
        </w:tc>
      </w:tr>
    </w:tbl>
    <w:p>
      <w:pPr>
        <w:pStyle w:val="Heading2"/>
      </w:pPr>
      <w:r>
        <w:t>Вывод</w:t>
      </w:r>
    </w:p>
    <w:p>
      <w:r>
        <w:t>Anchor убирает ручную работу, которую в неделе 4 пришлось делать самому: проверки владельца, подписи и размера выражены атрибутами constraints, а сериализация state делается автоматически. IDL и сгенерированные типы позволяют писать клиент и тесты без ручной упаковки байтов. Ошибки через #[error_code] получают коды и имена, которые видны клиенту. Цена удобства — размер: Anchor-программа 135 896 байт против 18 312 байт нативной, поэтому деплой стоит примерно в 7 раз дороже (≈ 0.69 SOL против 0.09 SOL). Выбор между нативным кодом и Anchor — осознанный компромисс между удобством и стоимостью.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address/673AWrposEH54uTFKn9fEi7L2z2jGEKG72F2CuDqG85E?cluster=devnet" TargetMode="External"/><Relationship Id="rId10" Type="http://schemas.openxmlformats.org/officeDocument/2006/relationships/hyperlink" Target="https://explorer.solana.com/tx/qmAuSuTjCg8B9p2sU8soAVk7TVVrm19qJDHVP8QMpdpZQ8ChYDmuijJd8j68X5gzz15hsvKoN6k3uYK4FLmmVCS?cluster=devnet" TargetMode="External"/><Relationship Id="rId11" Type="http://schemas.openxmlformats.org/officeDocument/2006/relationships/hyperlink" Target="https://explorer.solana.com/tx/gvyRWuVyFSXPDqZFhZZuQQ7TsDdRQCs99gQMRnnvfCEpVQMyaWqs32Lq4fYGf7VmF4QZMTgnmXNAzttsGHokEuR?cluster=devnet" TargetMode="External"/><Relationship Id="rId12" Type="http://schemas.openxmlformats.org/officeDocument/2006/relationships/hyperlink" Target="https://explorer.solana.com/tx/27NmamFh7vrgkimLkMctru7DELRbc9VfUkSMJq6KkW4LGnK769qxNtBKnCdiHKJAcx5PNav2M7LALZweMpT2C1Q3?cluster=devnet" TargetMode="External"/><Relationship Id="rId13" Type="http://schemas.openxmlformats.org/officeDocument/2006/relationships/hyperlink" Target="https://explorer.solana.com/tx/5iJQct8LfiVpSDPoYMNFsVhBjmRJmDnv2awKfTm9Dfod26NF7XccZE7BqmzeY325HCNTKZ8NspzAaQmmppCsE2H1?cluster=devnet" TargetMode="External"/><Relationship Id="rId14" Type="http://schemas.openxmlformats.org/officeDocument/2006/relationships/hyperlink" Target="https://explorer.solana.com/tx/2jS5np1YH9NS83azmnFhHxH7E53crJP3psvnpboJFVJRQpy6B2dyiMqByd5BwZC6wPnJwY7YDJfLQdFKfToZrrFL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