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NAT.Планирование</w:t>
      </w:r>
    </w:p>
    <w:p>
      <w:pPr>
        <w:pStyle w:val="Author"/>
      </w:pPr>
      <w:r>
        <w:t xml:space="preserve">Джахангиров</w:t>
      </w:r>
      <w:r>
        <w:t xml:space="preserve"> </w:t>
      </w:r>
      <w:r>
        <w:t xml:space="preserve">Илгар</w:t>
      </w:r>
      <w:r>
        <w:t xml:space="preserve"> </w:t>
      </w:r>
      <w:r>
        <w:t xml:space="preserve">Залид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подготовительные мероприятия по подключению локальной сети</w:t>
      </w:r>
      <w:r>
        <w:t xml:space="preserve"> </w:t>
      </w:r>
      <w:r>
        <w:t xml:space="preserve">организации к Интернету.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Построить схему подсоединения локальной сети к Интернету;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модельные сети провайдера и сети Интернет;</w:t>
      </w:r>
    </w:p>
    <w:p>
      <w:pPr>
        <w:pStyle w:val="Compact"/>
        <w:numPr>
          <w:ilvl w:val="0"/>
          <w:numId w:val="1001"/>
        </w:numPr>
      </w:pPr>
      <w:r>
        <w:t xml:space="preserve">Построить схемы сетей L1, L2, L3;</w:t>
      </w:r>
    </w:p>
    <w:p>
      <w:pPr>
        <w:pStyle w:val="Compact"/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Модельные предположения:</w:t>
      </w:r>
    </w:p>
    <w:p>
      <w:pPr>
        <w:pStyle w:val="Compact"/>
        <w:numPr>
          <w:ilvl w:val="0"/>
          <w:numId w:val="1002"/>
        </w:numPr>
      </w:pPr>
      <w:r>
        <w:t xml:space="preserve">В сети провайдера располагаются 2 медиаконвертера provider-mc-1 и provider-mc-2 для связи с подсетью «Донская» и сетью модельного Интернета, маршрутизатор provider-gw-1 и коммутатор provider-sw-1. Оборудование соединяется между собой по Fast Ethernet согласно схеме.</w:t>
      </w:r>
    </w:p>
    <w:p>
      <w:pPr>
        <w:pStyle w:val="Compact"/>
        <w:numPr>
          <w:ilvl w:val="0"/>
          <w:numId w:val="1002"/>
        </w:numPr>
      </w:pPr>
      <w:r>
        <w:t xml:space="preserve">В модельной сети Интернет располагаются 4 сервера www.yandex.ru, www.rudn.ru, stud.rudn.university и esystem.pfur.ru, коммутатор internet-sw-1 и медиаконвертер internet-mc-1 для связи с сетью провайдера. Серверы подключены к коммутатору посредством Fast Ethernet, коммутатор подсоединён к медиаконвертеру также по Fast Ethernet.</w:t>
      </w:r>
    </w:p>
    <w:p>
      <w:pPr>
        <w:pStyle w:val="Compact"/>
        <w:numPr>
          <w:ilvl w:val="0"/>
          <w:numId w:val="1002"/>
        </w:numPr>
      </w:pPr>
      <w:r>
        <w:t xml:space="preserve">Имена и адреса серверам Интернета и маршрутизатору провайдера задаются согласно табл. 1. При этом учитывается, что под сеть адресов модельного Интернета выделяется адрес 192.0.2.0/24, а под сеть провайдера</w:t>
      </w:r>
    </w:p>
    <w:p>
      <w:pPr>
        <w:pStyle w:val="Compact"/>
        <w:numPr>
          <w:ilvl w:val="0"/>
          <w:numId w:val="1002"/>
        </w:numPr>
      </w:pPr>
      <w:r>
        <w:t xml:space="preserve">198.51.100.1 (как рекомендовано в [4] для использования в примерах и документации при описании тестовых сетей).</w:t>
      </w:r>
    </w:p>
    <w:bookmarkStart w:id="22" w:name="tbl:ip"/>
    <w:p>
      <w:pPr>
        <w:pStyle w:val="TableCaption"/>
      </w:pPr>
      <w:r>
        <w:t xml:space="preserve">Таблица 1: Распределение ip-адресов модельного Интернета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1: Распределение ip-адресов модельного Интернета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provider-gw-1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www.yandex.ru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stud.rudn.university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esystem.pfur.ru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www.rudn.ru</w:t>
            </w:r>
          </w:p>
        </w:tc>
      </w:tr>
    </w:tbl>
    <w:bookmarkEnd w:id="22"/>
    <w:p>
      <w:pPr>
        <w:pStyle w:val="BodyText"/>
      </w:pPr>
      <w:r>
        <w:t xml:space="preserve">Network Address Translation (NAT) — механизм преобразования IP-адресов</w:t>
      </w:r>
      <w:r>
        <w:t xml:space="preserve"> </w:t>
      </w:r>
      <w:r>
        <w:t xml:space="preserve">транзитных пакетов.</w:t>
      </w:r>
      <w:r>
        <w:t xml:space="preserve"> </w:t>
      </w:r>
      <w:r>
        <w:t xml:space="preserve">В частности, механизм NAT используется для обеспечения доступа устройств</w:t>
      </w:r>
      <w:r>
        <w:t xml:space="preserve"> </w:t>
      </w:r>
      <w:r>
        <w:t xml:space="preserve">локальных сетей с внутренними IP-адресами к сети Интернет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</w:p>
    <w:p>
      <w:pPr>
        <w:pStyle w:val="CaptionedFigure"/>
      </w:pPr>
      <w:r>
        <w:drawing>
          <wp:inline>
            <wp:extent cx="5334000" cy="4617303"/>
            <wp:effectExtent b="0" l="0" r="0" t="0"/>
            <wp:docPr descr="Схема сети с NAT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7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сети с NAT</w:t>
      </w:r>
    </w:p>
    <w:p>
      <w:pPr>
        <w:pStyle w:val="BodyText"/>
      </w:pPr>
      <w:r>
        <w:t xml:space="preserve">Внесем изменения в схему L1 сети, добавив в неё сеть провайдера и сеть модельного Интернета с указанием названий оборудования и портов подключения 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).</w:t>
      </w:r>
    </w:p>
    <w:p>
      <w:pPr>
        <w:pStyle w:val="CaptionedFigure"/>
      </w:pPr>
      <w:r>
        <w:drawing>
          <wp:inline>
            <wp:extent cx="5334000" cy="3591295"/>
            <wp:effectExtent b="0" l="0" r="0" t="0"/>
            <wp:docPr descr="Схема L1 сети с выходом в Интернет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1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L1 сети с выходом в Интернет</w:t>
      </w:r>
    </w:p>
    <w:p>
      <w:pPr>
        <w:pStyle w:val="BodyText"/>
      </w:pPr>
      <w:r>
        <w:t xml:space="preserve">Внесем изменения в схемы L2(рис.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) и L3 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 сети, указав адреса и VLAN сети провайдера и модельной сети Интернета.</w:t>
      </w:r>
    </w:p>
    <w:p>
      <w:pPr>
        <w:pStyle w:val="CaptionedFigure"/>
      </w:pPr>
      <w:r>
        <w:drawing>
          <wp:inline>
            <wp:extent cx="5334000" cy="3918065"/>
            <wp:effectExtent b="0" l="0" r="0" t="0"/>
            <wp:docPr descr="Схема L2 сети с выходом в Интернет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8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L2 сети с выходом в Интернет</w:t>
      </w:r>
    </w:p>
    <w:p>
      <w:pPr>
        <w:pStyle w:val="CaptionedFigure"/>
      </w:pPr>
      <w:r>
        <w:drawing>
          <wp:inline>
            <wp:extent cx="5334000" cy="3991211"/>
            <wp:effectExtent b="0" l="0" r="0" t="0"/>
            <wp:docPr descr="Схема L3 сети с выходом в Интернет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1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L3 сети с выходом в Интернет</w:t>
      </w:r>
    </w:p>
    <w:p>
      <w:pPr>
        <w:pStyle w:val="BodyText"/>
      </w:pPr>
      <w:r>
        <w:t xml:space="preserve">Скорректируем также таблицы распределения IP-адресов (табл. 3) и портов (табл. 2).</w:t>
      </w:r>
    </w:p>
    <w:bookmarkStart w:id="35" w:name="tbl:port"/>
    <w:p>
      <w:pPr>
        <w:pStyle w:val="TableCaption"/>
      </w:pPr>
      <w:r>
        <w:t xml:space="preserve">Таблица 2: Таблица портов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2: Таблица портов"/>
      </w:tblPr>
      <w:tblGrid>
        <w:gridCol w:w="1777"/>
        <w:gridCol w:w="1212"/>
        <w:gridCol w:w="1777"/>
        <w:gridCol w:w="1050"/>
        <w:gridCol w:w="210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Устройство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Порт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 VLAN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Trunk 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f0/20 — f0/23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f0/20 — f0/23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f0/6–f0/10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f0/16–f0/24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msk-donskaya-mc-1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msk-donskaya-mc-2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msk-pavlovskaya-mc-1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admin-pavlovskaya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provider-gw-1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provider-mc-2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provider-sw-1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provider-mc-1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msk-donskaya-mc-2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provider-mc-2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internet-sw-1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internet-mc-1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esystem.pfur.ru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www.rudn.ru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stud.rudn.university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www.yandex.ru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internet-mc-1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provider-mc-2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Start w:id="36" w:name="tbl:ipplan"/>
    <w:p>
      <w:pPr>
        <w:pStyle w:val="TableCaption"/>
      </w:pPr>
      <w:r>
        <w:t xml:space="preserve">Таблица 3: Таблица IP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3: Таблица IP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Вся сеть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Серверная ферма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10.128.0.6-10.128.0.254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Управление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10.128.1.7-10.128.1.254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Cеть Point-to-Point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10.128.2.2-10.128.2.254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 (ДК)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10.128.3.2-10.128.3.254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Кафедры (К)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10.128.4.2-10.128.4.254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 (А)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10.128.5.2-10.128.5.254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Другие пользователи (Д)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10.128.6.2-10.128.6.254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provider-gw-1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www.yandex.ru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stud.rudn.university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esystem.pfur.ru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192.0.2.14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www.rudn.ru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</w:tbl>
    <w:bookmarkEnd w:id="36"/>
    <w:p>
      <w:pPr>
        <w:pStyle w:val="BodyText"/>
      </w:pPr>
      <w:r>
        <w:t xml:space="preserve">На схеме предыдущего вашего проекта разместим необходимое оборудование для сети провайдера и сети модельного Интернета: 4 медиаконвертера (Repeater-PT), 2 коммутатора типа Cisco 2960-24TT,</w:t>
      </w:r>
      <w:r>
        <w:t xml:space="preserve"> </w:t>
      </w:r>
      <w:r>
        <w:t xml:space="preserve">маршрутизатор типа Cisco 2811, 4 сервера. Присвоим названия размещённым в сети провайдера и в сети модельного</w:t>
      </w:r>
      <w:r>
        <w:t xml:space="preserve"> </w:t>
      </w:r>
      <w:r>
        <w:t xml:space="preserve">Интернета объектам согласно модельным предположениям и схеме L1.</w:t>
      </w:r>
    </w:p>
    <w:p>
      <w:pPr>
        <w:pStyle w:val="CaptionedFigure"/>
      </w:pPr>
      <w:r>
        <w:drawing>
          <wp:inline>
            <wp:extent cx="5334000" cy="4887172"/>
            <wp:effectExtent b="0" l="0" r="0" t="0"/>
            <wp:docPr descr="Размещение новых устройств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7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Размещение новых устройств</w:t>
      </w:r>
    </w:p>
    <w:p>
      <w:pPr>
        <w:pStyle w:val="BodyText"/>
      </w:pPr>
      <w:r>
        <w:t xml:space="preserve">В физической рабочей области добавим здание провайдера и здание,</w:t>
      </w:r>
      <w:r>
        <w:t xml:space="preserve"> </w:t>
      </w:r>
      <w:r>
        <w:t xml:space="preserve">имитирующее расположение серверов модельного Интернета (рис.</w:t>
      </w:r>
      <w:r>
        <w:t xml:space="preserve"> </w:t>
      </w:r>
      <w:r>
        <w:rPr>
          <w:b/>
          <w:bCs/>
        </w:rPr>
        <w:t xml:space="preserve">¿fig:006?</w:t>
      </w:r>
      <w:r>
        <w:t xml:space="preserve">).</w:t>
      </w:r>
      <w:r>
        <w:t xml:space="preserve"> </w:t>
      </w:r>
      <w:r>
        <w:t xml:space="preserve">Присвоим им соответствующие названия. Перенесем из сети «Донская» оборудование провайдера (рис.</w:t>
      </w:r>
      <w:r>
        <w:t xml:space="preserve"> </w:t>
      </w:r>
      <w:r>
        <w:rPr>
          <w:b/>
          <w:bCs/>
        </w:rPr>
        <w:t xml:space="preserve">¿fig:008?</w:t>
      </w:r>
      <w:r>
        <w:t xml:space="preserve">) и модельной сети Интернета (рис.</w:t>
      </w:r>
      <w:r>
        <w:t xml:space="preserve"> </w:t>
      </w:r>
      <w:r>
        <w:rPr>
          <w:b/>
          <w:bCs/>
        </w:rPr>
        <w:t xml:space="preserve">¿fig:009?</w:t>
      </w:r>
      <w:r>
        <w:t xml:space="preserve">) в соответствующие здания.</w:t>
      </w:r>
    </w:p>
    <w:p>
      <w:pPr>
        <w:pStyle w:val="CaptionedFigure"/>
      </w:pPr>
      <w:r>
        <w:drawing>
          <wp:inline>
            <wp:extent cx="5334000" cy="2835323"/>
            <wp:effectExtent b="0" l="0" r="0" t="0"/>
            <wp:docPr descr="Схема сети в физической рабочей области Packet Tracer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5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сети в физической рабочей области Packet Tracer</w:t>
      </w:r>
    </w:p>
    <w:p>
      <w:pPr>
        <w:pStyle w:val="BodyText"/>
      </w:pPr>
      <w:r>
        <w:t xml:space="preserve">На медиаконвертерах заменим имеющиеся модули на PT-REPEATERNM-1FFE и PT-REPEATER-NM-1CFE для подключения витой пары по</w:t>
      </w:r>
      <w:r>
        <w:t xml:space="preserve"> </w:t>
      </w:r>
      <w:r>
        <w:t xml:space="preserve">технологии Fast Ethernet и оптоволокна соответственно (рис.</w:t>
      </w:r>
      <w:r>
        <w:t xml:space="preserve"> </w:t>
      </w:r>
      <w:r>
        <w:rPr>
          <w:b/>
          <w:bCs/>
        </w:rPr>
        <w:t xml:space="preserve">¿fig:007?</w:t>
      </w:r>
      <w:r>
        <w:t xml:space="preserve">).</w:t>
      </w:r>
    </w:p>
    <w:p>
      <w:pPr>
        <w:pStyle w:val="CaptionedFigure"/>
      </w:pPr>
      <w:r>
        <w:drawing>
          <wp:inline>
            <wp:extent cx="5334000" cy="1826546"/>
            <wp:effectExtent b="0" l="0" r="0" t="0"/>
            <wp:docPr descr="Медиаконвертер с модулями PT-REPEATER-NM-1FFE и PT-REPEATER-NM-1CFE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6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Медиаконвертер с модулями PT-REPEATER-NM-1FFE и PT-REPEATER-NM-1CFE</w:t>
      </w:r>
    </w:p>
    <w:p>
      <w:pPr>
        <w:pStyle w:val="CaptionedFigure"/>
      </w:pPr>
      <w:r>
        <w:drawing>
          <wp:inline>
            <wp:extent cx="5109882" cy="4764100"/>
            <wp:effectExtent b="0" l="0" r="0" t="0"/>
            <wp:docPr descr="Оборудование в здании сети провайдера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82" cy="476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Оборудование в здании сети провайдера</w:t>
      </w:r>
    </w:p>
    <w:p>
      <w:pPr>
        <w:pStyle w:val="CaptionedFigure"/>
      </w:pPr>
      <w:r>
        <w:drawing>
          <wp:inline>
            <wp:extent cx="5334000" cy="3449745"/>
            <wp:effectExtent b="0" l="0" r="0" t="0"/>
            <wp:docPr descr="Оборудование в здании сети модельного Интернета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9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Оборудование в здании сети модельного Интернета</w:t>
      </w:r>
    </w:p>
    <w:p>
      <w:pPr>
        <w:pStyle w:val="BodyText"/>
      </w:pPr>
      <w:r>
        <w:t xml:space="preserve">Проведем соединение объектов согласно скорректированной схеме L1 (рис.</w:t>
      </w:r>
      <w:r>
        <w:t xml:space="preserve"> </w:t>
      </w:r>
      <w:r>
        <w:rPr>
          <w:b/>
          <w:bCs/>
        </w:rPr>
        <w:t xml:space="preserve">¿fig:010?</w:t>
      </w:r>
      <w:r>
        <w:t xml:space="preserve">).</w:t>
      </w:r>
    </w:p>
    <w:p>
      <w:pPr>
        <w:pStyle w:val="CaptionedFigure"/>
      </w:pPr>
      <w:r>
        <w:drawing>
          <wp:inline>
            <wp:extent cx="4533579" cy="4326110"/>
            <wp:effectExtent b="0" l="0" r="0" t="0"/>
            <wp:docPr descr="Схема сети с выходом в Интернет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579" cy="4326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сети с выходом в Интернет</w:t>
      </w:r>
    </w:p>
    <w:p>
      <w:pPr>
        <w:pStyle w:val="CaptionedFigure"/>
      </w:pPr>
      <w:r>
        <w:drawing>
          <wp:inline>
            <wp:extent cx="4249270" cy="3465499"/>
            <wp:effectExtent b="0" l="0" r="0" t="0"/>
            <wp:docPr descr="Схема сети с выходом в Интернет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270" cy="3465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сети с выходом в Интернет</w:t>
      </w:r>
    </w:p>
    <w:p>
      <w:pPr>
        <w:pStyle w:val="BodyText"/>
      </w:pPr>
      <w:r>
        <w:t xml:space="preserve">Пропишем IP-адреса серверам согласно табл. 1. В качестве примера показываю задание адреса шлюза и ip-адреса для сервера www.yandex.ru (рис.</w:t>
      </w:r>
      <w:r>
        <w:t xml:space="preserve"> </w:t>
      </w:r>
      <w:r>
        <w:rPr>
          <w:b/>
          <w:bCs/>
        </w:rPr>
        <w:t xml:space="preserve">¿fig:010?</w:t>
      </w:r>
      <w:r>
        <w:t xml:space="preserve">,</w:t>
      </w:r>
      <w:r>
        <w:rPr>
          <w:b/>
          <w:bCs/>
        </w:rPr>
        <w:t xml:space="preserve">¿fig:011?</w:t>
      </w:r>
      <w:r>
        <w:t xml:space="preserve">).</w:t>
      </w:r>
    </w:p>
    <w:p>
      <w:pPr>
        <w:pStyle w:val="CaptionedFigure"/>
      </w:pPr>
      <w:r>
        <w:drawing>
          <wp:inline>
            <wp:extent cx="5334000" cy="3641061"/>
            <wp:effectExtent b="0" l="0" r="0" t="0"/>
            <wp:docPr descr="Задание адреса шлюза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1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адреса шлюза</w:t>
      </w:r>
    </w:p>
    <w:p>
      <w:pPr>
        <w:pStyle w:val="CaptionedFigure"/>
      </w:pPr>
      <w:r>
        <w:drawing>
          <wp:inline>
            <wp:extent cx="5334000" cy="3492791"/>
            <wp:effectExtent b="0" l="0" r="0" t="0"/>
            <wp:docPr descr="Задание ip-адреса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2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ip-адреса</w:t>
      </w:r>
    </w:p>
    <w:p>
      <w:pPr>
        <w:pStyle w:val="BodyText"/>
      </w:pPr>
      <w:r>
        <w:t xml:space="preserve">Пропишем сведения о серверах на DNS-сервере сети</w:t>
      </w:r>
      <w:r>
        <w:t xml:space="preserve"> </w:t>
      </w:r>
      <w:r>
        <w:t xml:space="preserve">“</w:t>
      </w:r>
      <w:r>
        <w:t xml:space="preserve">Донская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r>
        <w:rPr>
          <w:b/>
          <w:bCs/>
        </w:rPr>
        <w:t xml:space="preserve">¿fig:013?</w:t>
      </w:r>
      <w:r>
        <w:t xml:space="preserve">).</w:t>
      </w:r>
    </w:p>
    <w:p>
      <w:pPr>
        <w:pStyle w:val="CaptionedFigure"/>
      </w:pPr>
      <w:r>
        <w:drawing>
          <wp:inline>
            <wp:extent cx="5334000" cy="4343747"/>
            <wp:effectExtent b="0" l="0" r="0" t="0"/>
            <wp:docPr descr="Добавление DNS-записей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3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DNS-записей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провел подготовительные мероприятия по подключению локальной сети организации к Интернету.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11</dc:title>
  <dc:creator>Джахангиров Илгар Залид оглы</dc:creator>
  <dc:language>ru-RU</dc:language>
  <cp:keywords/>
  <dcterms:created xsi:type="dcterms:W3CDTF">2025-04-25T22:26:00Z</dcterms:created>
  <dcterms:modified xsi:type="dcterms:W3CDTF">2025-04-25T22:26:00Z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Настройка NAT.Планирование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