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Динамическая</w:t>
      </w:r>
      <w:r>
        <w:t xml:space="preserve"> </w:t>
      </w:r>
      <w:r>
        <w:t xml:space="preserve">маршрутизация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динамическую маршрутизацию по протоколу OSPF на маршрутизаторах msk-donskaya-gw-1, msk-q42-gw-1, msk-hostel-gw-1, sch-sochi-gw-1.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сети квартала 42 в Москве с сетью филиала в г. Сочи напрямую.</w:t>
      </w:r>
    </w:p>
    <w:p>
      <w:pPr>
        <w:pStyle w:val="Compact"/>
        <w:numPr>
          <w:ilvl w:val="0"/>
          <w:numId w:val="1001"/>
        </w:numPr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1" w:name="настройка-osp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OSPF</w:t>
      </w:r>
    </w:p>
    <w:p>
      <w:pPr>
        <w:pStyle w:val="FirstParagraph"/>
      </w:pPr>
      <w:r>
        <w:t xml:space="preserve">Включим OSPF на маршрутизаторах: включим процесс OSPF командой</w:t>
      </w:r>
      <w:r>
        <w:t xml:space="preserve"> </w:t>
      </w:r>
      <w:r>
        <w:rPr>
          <w:rStyle w:val="VerbatimChar"/>
        </w:rPr>
        <w:t xml:space="preserve">router ospf &lt;process-id&gt;</w:t>
      </w:r>
      <w:r>
        <w:t xml:space="preserve">, и назначим области (зоны) интерфейсам с помощью команды</w:t>
      </w:r>
      <w:r>
        <w:t xml:space="preserve"> </w:t>
      </w:r>
      <w:r>
        <w:rPr>
          <w:rStyle w:val="VerbatimChar"/>
        </w:rPr>
        <w:t xml:space="preserve">network &lt;network or IP address&gt; &lt;mask&gt; area &lt;area-id&gt;</w:t>
      </w:r>
      <w:r>
        <w:t xml:space="preserve">.</w:t>
      </w:r>
    </w:p>
    <w:p>
      <w:pPr>
        <w:pStyle w:val="BodyText"/>
      </w:pPr>
      <w:r>
        <w:t xml:space="preserve">Сначала включим на маршрутизаторе msk-donskaya-gw-1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5334000" cy="2032000"/>
            <wp:effectExtent b="0" l="0" r="0" t="0"/>
            <wp:docPr descr="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msk-donskaya-gw-1</w:t>
      </w:r>
    </w:p>
    <w:p>
      <w:pPr>
        <w:pStyle w:val="BodyText"/>
      </w:pP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</w:t>
      </w:r>
      <w:r>
        <w:t xml:space="preserve"> </w:t>
      </w:r>
      <w:r>
        <w:t xml:space="preserve">с идентификаторами процессов на других маршрутизаторах.</w:t>
      </w:r>
    </w:p>
    <w:p>
      <w:pPr>
        <w:pStyle w:val="BodyText"/>
      </w:pPr>
      <w:r>
        <w:t xml:space="preserve">И посмотрим состояние протокола: общую информацию об OSPF, соседей маршрутизатора(на этом тапе их нет, так как это единственный маршрутизатор с этим протоколом) и таблицу маршрутизации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,</w:t>
      </w:r>
      <w:r>
        <w:t xml:space="preserve"> </w:t>
      </w:r>
      <w:r>
        <w:rPr>
          <w:b/>
          <w:bCs/>
        </w:rPr>
        <w:t xml:space="preserve">¿fig:003?</w:t>
      </w:r>
      <w:r>
        <w:t xml:space="preserve">):</w:t>
      </w:r>
    </w:p>
    <w:p>
      <w:pPr>
        <w:pStyle w:val="CaptionedFigure"/>
      </w:pPr>
      <w:r>
        <w:drawing>
          <wp:inline>
            <wp:extent cx="4003381" cy="3112033"/>
            <wp:effectExtent b="0" l="0" r="0" t="0"/>
            <wp:docPr descr="Проверка состояния протокола OSPF на маршрутизаторе msk-donskaya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311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состояния протокола OSPF на маршрутизаторе msk-donskaya-gw-1</w:t>
      </w:r>
    </w:p>
    <w:p>
      <w:pPr>
        <w:pStyle w:val="CaptionedFigure"/>
      </w:pPr>
      <w:r>
        <w:drawing>
          <wp:inline>
            <wp:extent cx="5334000" cy="4360333"/>
            <wp:effectExtent b="0" l="0" r="0" t="0"/>
            <wp:docPr descr="Проверка состояния протокола OSPF на маршрутизаторе msk-donskaya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состояния протокола OSPF на маршрутизаторе msk-donskaya-gw-1</w:t>
      </w:r>
    </w:p>
    <w:p>
      <w:pPr>
        <w:pStyle w:val="BodyText"/>
      </w:pPr>
      <w:hyperlink r:id="rId31">
        <w:r>
          <w:rPr>
            <w:rStyle w:val="Hyperlink"/>
          </w:rPr>
          <w:t xml:space="preserve">Проверка состояния протокола OSPF на маршрутизаторе msk-donskaya-gw-1</w:t>
        </w:r>
      </w:hyperlink>
    </w:p>
    <w:p>
      <w:pPr>
        <w:pStyle w:val="BodyText"/>
      </w:pPr>
      <w:r>
        <w:t xml:space="preserve">Затем включим OSPF на остальных маршрутизаторах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CaptionedFigure"/>
      </w:pPr>
      <w:r>
        <w:drawing>
          <wp:inline>
            <wp:extent cx="5155986" cy="1713539"/>
            <wp:effectExtent b="0" l="0" r="0" t="0"/>
            <wp:docPr descr="Настройка маршрутизатора msk-q42-gw-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msk-q42-gw-1</w:t>
      </w:r>
    </w:p>
    <w:p>
      <w:pPr>
        <w:pStyle w:val="CaptionedFigure"/>
      </w:pPr>
      <w:r>
        <w:drawing>
          <wp:inline>
            <wp:extent cx="5334000" cy="2061560"/>
            <wp:effectExtent b="0" l="0" r="0" t="0"/>
            <wp:docPr descr="Настройка маршрутизирующего коммутатора msk-hostel-gw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маршрутизирующего коммутатора msk-hostel-gw-1</w:t>
      </w:r>
    </w:p>
    <w:p>
      <w:pPr>
        <w:pStyle w:val="CaptionedFigure"/>
      </w:pPr>
      <w:r>
        <w:drawing>
          <wp:inline>
            <wp:extent cx="4902413" cy="2043952"/>
            <wp:effectExtent b="0" l="0" r="0" t="0"/>
            <wp:docPr descr="Настройка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sch-sochi-gw-1</w:t>
      </w:r>
    </w:p>
    <w:p>
      <w:pPr>
        <w:pStyle w:val="BodyText"/>
      </w:pPr>
      <w:r>
        <w:t xml:space="preserve">Проверим состояние протокола OSPF на всех маршрутизаторах. Для маршрутизатора на Донской появилась информация о соседях, в ней нет маршрутизирующего коммутатора msk-hostel-gw-1, так как с ним связь происходит через маршрутизатор msk-q42-gw-1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bookmarkEnd w:id="41"/>
    <w:bookmarkStart w:id="57" w:name="настройка-линка-42-й-кварталсоч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линка 42-й квартал–Сочи</w:t>
      </w:r>
    </w:p>
    <w:p>
      <w:pPr>
        <w:pStyle w:val="FirstParagraph"/>
      </w:pPr>
      <w:r>
        <w:t xml:space="preserve">Настроим маршруты между маршрутизаторами на 42 квартале, добавив 7 vlan для их коммуникации на коммутаторе с территории провайдера(так как через него будут идти пакеты) и на маршрутизаторе в Сочи, коммутаторе в Сочи и маршрутизаторе в 42 квартале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,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CaptionedFigure"/>
      </w:pPr>
      <w:r>
        <w:drawing>
          <wp:inline>
            <wp:extent cx="4687260" cy="2989089"/>
            <wp:effectExtent b="0" l="0" r="0" t="0"/>
            <wp:docPr descr="Настройка интерфейсов коммутатора provider-sw-1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298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provider-sw-1</w:t>
      </w:r>
    </w:p>
    <w:p>
      <w:pPr>
        <w:pStyle w:val="CaptionedFigure"/>
      </w:pPr>
      <w:r>
        <w:drawing>
          <wp:inline>
            <wp:extent cx="5334000" cy="2481634"/>
            <wp:effectExtent b="0" l="0" r="0" t="0"/>
            <wp:docPr descr="Настройка маршрутизатора msk-q42-gw-1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msk-q42-gw-1</w:t>
      </w:r>
    </w:p>
    <w:p>
      <w:pPr>
        <w:pStyle w:val="CaptionedFigure"/>
      </w:pPr>
      <w:r>
        <w:drawing>
          <wp:inline>
            <wp:extent cx="5225142" cy="2597203"/>
            <wp:effectExtent b="0" l="0" r="0" t="0"/>
            <wp:docPr descr="Настройка коммутатора sch-sochi-sw-1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sch-sochi-sw-1</w:t>
      </w:r>
    </w:p>
    <w:p>
      <w:pPr>
        <w:pStyle w:val="CaptionedFigure"/>
      </w:pPr>
      <w:r>
        <w:drawing>
          <wp:inline>
            <wp:extent cx="5017673" cy="2297526"/>
            <wp:effectExtent b="0" l="0" r="0" t="0"/>
            <wp:docPr descr="Настройка маршрутизатора sch-sochi-gw-1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sch-sochi-gw-1</w:t>
      </w:r>
    </w:p>
    <w:p>
      <w:pPr>
        <w:pStyle w:val="CaptionedFigure"/>
      </w:pPr>
      <w:r>
        <w:drawing>
          <wp:inline>
            <wp:extent cx="5240510" cy="3211926"/>
            <wp:effectExtent b="0" l="0" r="0" t="0"/>
            <wp:docPr descr="Пинг не проходит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32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 не проходит</w:t>
      </w:r>
    </w:p>
    <w:p>
      <w:pPr>
        <w:pStyle w:val="BodyText"/>
      </w:pPr>
      <w:r>
        <w:t xml:space="preserve">Потом включим vlan 5, и маршрут снова перестраивается на кратчайший (на изначальный).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я приобрел практические навыки по настройке динамической маршрутизации между территориями организации.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31" Target="image/12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image/12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15</dc:title>
  <dc:creator>Джахангиров Илгар Залид оглы</dc:creator>
  <dc:language>ru-RU</dc:language>
  <cp:keywords/>
  <dcterms:created xsi:type="dcterms:W3CDTF">2025-05-09T02:51:50Z</dcterms:created>
  <dcterms:modified xsi:type="dcterms:W3CDTF">2025-05-09T02:51:50Z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Динамическая маршрутизация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