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EXCELENTÍSSIMO SENHOR DESEMBARGADOR RELATOR HELVÉCIO DE BRITO MAIA NETO – 2ª CÂMARA CÍVEL DO EGRÉGIO TRIBUNAL DE JUSTIÇA DO ESTADO DO TOCANTINS</w:t>
      </w: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Ação Rescisória nº 0019748-05.2024.8.27.2700</w:t>
      </w:r>
    </w:p>
    <w:p>
      <w:pPr>
        <w:spacing w:after="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Processo originário nº 0004621-63.2021.8.27.2722 – 2ª Vara Cível da Comarca de Gurupi/TO</w:t>
      </w:r>
    </w:p>
    <w:p>
      <w:pPr>
        <w:spacing w:after="0" w:line="360" w:lineRule="auto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Requerentes: Ramos e Fernandes Ltda e Antônio Luiz Peres Ramos</w:t>
      </w:r>
    </w:p>
    <w:p>
      <w:pPr>
        <w:spacing w:after="0" w:line="360" w:lineRule="auto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Requerido: Antônio Matias Lemes (Espólio)</w:t>
      </w:r>
    </w:p>
    <w:p>
      <w:pPr>
        <w:spacing w:after="0" w:line="360" w:lineRule="auto"/>
        <w:jc w:val="both"/>
      </w:pP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PAULO IZIDIO DA SILVA REZENDE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brasileiro, casado, advogado, inscrito na OAB/TO sob o nº 5.168, com endereço profissional na Rua Euridice Rodrigues de Brito, nº 1241, Centro, Gurupi/TO, na condição de patrono que foi do requerido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ANTÔNIO MATIAS LEMES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nos autos originários e,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ad cautelam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em nome do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ESPÓLIO DE ANTÔNIO MATIAS LEMES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com fundamento no art. 104 do Código de Processo Civil, vem, respeitosamente, à presença de Vossa Excelência,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COMUNICAR O FALECIMENTO DO REQUERIDO, ARGUIR A NULIDADE DA CITAÇÃO E, AD CAUTELAM, APRESENTAR CONTESTAÇÃO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à ação rescisória proposta por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RAMOS E FERNANDES LTDA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e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ANTÔNIO LUIZ PERES RAMOS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pelas razões de fato e de direito a seguir expostas.</w:t>
      </w:r>
    </w:p>
    <w:p>
      <w:pPr>
        <w:spacing w:after="0" w:line="360" w:lineRule="auto"/>
        <w:jc w:val="both"/>
      </w:pPr>
    </w:p>
    <w:p>
      <w:pPr>
        <w:keepNext/>
        <w:spacing w:before="120" w:after="12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1. QUESTÃO PRÉVIA – DO FALECIMENTO DO REQUERIDO, DA EXTINÇÃO DO MANDATO E DA POSTULAÇÃO AD CAUTELAM (ART. 104 DO CPC)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O requerido ANTÔNIO MATIAS LEMES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faleceu em [__/__/____]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conforme certidão de óbito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[anexa / a ser juntada]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fato que, inclusive, já consta da autuação deste feito, na qual o requerido figura como “Pessoa Física (Espólio)”.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Com a morte do mandante extingue-se o mandato (art. 682, II, do Código Civil). Os poderes outorgados ao subscritor nos autos originários (procuração ad judicia com cláusula geral, evento 1 daqueles autos) cessaram com o óbito, de modo que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o subscritor não detém, nesta data, poderes de representação do espólio ou dos herdeiros do falecido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tampouco foi por eles constituído para atuar nesta ação rescisória, que é ação autônoma e exige mandato próprio.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Registre-se, ainda, que o subscritor tomou conhecimento do prazo em curso apenas nesta data, encontrando-se em viagem, e que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o espólio não foi citado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. Ainda assim, considerando (i) a gravidade das consequências de eventual decretação de revelia, (ii) a impossibilidade de contato imediato com os sucessores do falecido para a outorga de mandato e (iii) o interesse jurídico próprio do subscritor na preservação do julgado, que fixou honorários sucumbenciais de 15% (quinze por cento) que lhe pertencem por força do art. 85, § 14, do CPC, o subscritor apresenta a presente manifestação e a contestação que se segue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com fundamento no art. 104 do CPC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para evitar preclusão, comprometendo-se a exibir a procuração outorgada pelo inventariante ou pelos herdeiros, ou a ratificação dos atos ora praticados,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no prazo de 15 (quinze) dias, prorrogável por igual período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(art. 104, § 1º, do CPC).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Esclarece-se, desde logo, que a presente postulação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não configura comparecimento espontâneo do espólio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para os fins do art. 239, § 1º, do CPC, justamente porque o subscritor não detém poderes de representação do espólio. Trata-se de ato praticado por advogado sem procuração, sujeito à ratificação, e cuja finalidade primeira é dar ciência ao Juízo do óbito e da nulidade da citação, matéria de ordem pública cognoscível de ofício. Caso, todavia, este Egrégio Tribunal entenda que a citação foi validamente realizada ou que a presença do subscritor supre a citação do espólio, requer-se, subsidiariamente, que a contestação a seguir seja recebida e apreciada em sua integralidade, como tempestiva.</w:t>
      </w:r>
    </w:p>
    <w:p>
      <w:pPr>
        <w:spacing w:after="0" w:line="360" w:lineRule="auto"/>
        <w:jc w:val="both"/>
      </w:pPr>
    </w:p>
    <w:p>
      <w:pPr>
        <w:keepNext/>
        <w:spacing w:before="120" w:after="12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2. DA NULIDADE DA CITAÇÃO – DA NECESSIDADE DE SUSPENSÃO DO PROCESSO E DE HABILITAÇÃO DO ESPÓLIO (ARTS. 75, VII, 110, 313, I, E 687 A 692 DO CPC)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A ação rescisória é ação autônoma de impugnação, e não recurso. O requerido deve ser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citado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para responder (art. 970 do CPC). Falecido o requerido, a citação somente pode ser dirigida ao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espólio, na pessoa do inventariante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(art. 75, VII, do CPC) ou, não havendo inventário aberto, aos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herdeiros/sucessores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(arts. 110 e 313, § 2º, II, do CPC), mediante o procedimento de habilitação (arts. 687 a 692 do CPC).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Dispõe o art. 313, I e § 1º, do CPC que o processo se suspende pela morte de qualquer das partes e que, nessa hipótese, o juiz suspenderá o processo, observando-se o disposto no art. 689, segundo o qual a habilitação se processa nos próprios autos, na instância em que estiver o processo, suspendendo-se o feito a partir de então. Enquanto não citado o espólio (ou os sucessores),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não há relação processual validamente formada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em relação ao polo passivo, e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nenhum prazo pode correr contra o espólio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Qualquer intimação ou citação dirigida ao subscritor, na qualidade de advogado do falecido, é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inexistente/nula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porque dirigida a quem não tem poderes de representação (art. 682, II, do CC; art. 239 do CPC). A falta ou nulidade da citação é vício transrescisório, que contamina todos os atos subsequentes (arts. 239, 280 e 525, § 1º, I, do CPC), podendo ser reconhecida a qualquer tempo e de ofício.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Anota-se, por oportuno, que consta dos autos a expedição de Carta de Ordem à Comarca de Gurupi (autos nº 0006890-02.2026.8.27.2722), o que evidencia que o próprio Tribunal reconheceu a necessidade de citação pessoal do requerido, ato que, pelo óbito, não se aperfeiçoou na pessoa do espólio.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Requer-se, portanto, que Vossa Excelência: (a) declare 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inexistência/nulidade da citação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do requerido; (b) determine 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suspensão do processo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(art. 313, I, do CPC) e 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habilitação do espólio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ou dos sucessores do falecido, intimando-se os requerentes para promoverem a citação do espólio na pessoa do inventariante ou dos herdeiros (art. 313, § 2º, II, do CPC), indicando-os e qualificando-os, sob pena de extinção (art. 313, § 2º, II, c/c art. 485, IV, do CPC); e (c) reconheça que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o prazo de resposta somente fluirá a partir da citação válida do espólio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devolvendo-se-lhe o prazo integral do art. 970 do CPC.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Subsidiariamente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caso assim não se entenda, requer o recebimento da contestação que segue.</w:t>
      </w:r>
    </w:p>
    <w:p>
      <w:pPr>
        <w:spacing w:after="0" w:line="360" w:lineRule="auto"/>
        <w:jc w:val="both"/>
      </w:pPr>
    </w:p>
    <w:p>
      <w:pPr>
        <w:keepNext/>
        <w:spacing w:before="120" w:after="12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3. AD CAUTELAM – CONTESTAÇÃO</w:t>
      </w:r>
    </w:p>
    <w:p>
      <w:pPr>
        <w:keepNext/>
        <w:spacing w:before="120" w:after="12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3.1. SÍNTESE DA DEMANDA RESCISÓRIA E DOS AUTOS ORIGINÁRIOS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Nos autos originários (nº 0004621-63.2021.8.27.2722), ANTÔNIO MATIAS LEMES, na qualidade de proprietário e arrendador da Fazenda Bananal (matrícula nº 11.165 do CRI de Gurupi/TO), ajuizou, em 21/05/2021, ação de rescisão de contrato de arrendamento c/c cobrança e indenização em face de RAMOS E FERNANDES LTDA, arrendatária de uma área de 24,20 ha destinada à extração de cascalho, por descumprimento das cláusulas quarta, quinta e nona do contrato firmado em 12/05/2020, e para cobrança do saldo de R$ 3.868,00 (três mil, oitocentos e sessenta e oito reais), relativo a 932 viagens de cascalho já realizadas, além da multa da cláusula décima segunda.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Antes mesmo do ajuizamento, o arrendador havia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notificado extrajudicialmente a arrendatária, em 30/04/2021, para o encerramento do contrato e desocupação da área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tendo, em seguida, fechado as entradas da fazenda. A tutela de urgência foi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deferida no evento 4, ainda em maio/2021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proibindo o retorno das atividades de extração. A partir de então,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a arrendatária não mais exerceu posse ou atividade alguma sobre a área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A requerida contestou em 26/07/2021 (evento 9), ocasião em que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confessou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que o valor apurado até 30/03/2021 era exatamente o cobrado (alegando compensação nunca provada) e que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“o único valor que está sem acerto é o do mês de abril/2021, no montante de R$ 6.336,00”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(seis mil, trezentos e trinta e seis reais), valor esse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superior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ao que veio a ser objeto da condenação.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Instruído o feito, com audiência e oitiva de testemunha trazida pela própria requerida (que confirmou a inexistência de requisições dos carregamentos e desconheceu o alegado pagamento por serviços de máquina), sobreveio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sentença em 18/10/2022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(evento 70), que julgou procedentes os pedidos para rescindir o contrato, condenar a requerida ao pagamento de R$ 3.868,00, com correção e juros, da multa contratual de 10% e de honorários de 15%.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A requerida foi intimada da sentença (eventos 73/74), não interpôs apelação e limitou-se a manifestar ciência (evento 76).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Certificado o trânsito em julgado, iniciou-se o cumprimento de sentença em 25/11/2022, que tramita há quase quatro anos sem que a devedora tenha pago um centavo voluntariamente.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Somente em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25/11/2024, às 21h30, no último dia possível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a requerida e seu sócio ajuizaram a presente rescisória, com fundamento no art. 966, V, do CPC, sob o único argumento de que o autor teria vendido o imóvel em 19/10/2021, no curso do processo, e, por isso, teria “perdido a legitimidade ativa”, o que configuraria violação aos arts. 1.227 e 1.245 do CC, 92, § 5º, da Lei nº 4.504/64 e 15 do Decreto nº 59.566/66, pretendendo a extinção do feito originário sem resolução do mérito. Não lhes assiste razão, como se demonstra.</w:t>
      </w:r>
    </w:p>
    <w:p>
      <w:pPr>
        <w:spacing w:after="0" w:line="360" w:lineRule="auto"/>
        <w:jc w:val="both"/>
      </w:pPr>
    </w:p>
    <w:p>
      <w:pPr>
        <w:keepNext/>
        <w:spacing w:before="120" w:after="12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3.2. PRELIMINARES DE ADMISSIBILIDADE</w:t>
      </w:r>
    </w:p>
    <w:p>
      <w:pPr>
        <w:keepNext/>
        <w:spacing w:before="120" w:after="12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3.2.1. ILEGITIMIDADE ATIVA E AUSÊNCIA DE INTERESSE DE ANTÔNIO LUIZ PERES RAMOS (ART. 967 DO CPC)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Nos termos do art. 967 do CPC, têm legitimidade para propor a ação rescisória quem foi parte no processo ou seu sucessor, o terceiro juridicamente interessado e o Ministério Público. ANTÔNIO LUIZ PERES RAMOS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não foi parte na fase de conhecimento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dos autos originários. A sentença rescindenda foi proferida exclusivamente entre ANTÔNIO MATIAS LEMES e RAMOS E FERNANDES LTDA.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Sua inclusão no polo passivo do cumprimento de sentença, por desconsideração da personalidade jurídica, foi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reformada por este Egrégio Tribunal nos autos do Agravo de Instrumento nº 0011390-51.2024.8.27.2700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de modo que, atualmente, sequer responde pela execução. O interesse de sócio na sorte de demanda proposta contra a sociedade é meramente econômico, e não jurídico, o que não autoriza o manejo da rescisória. Impõe-se, quanto a ele, 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extinção do processo sem resolução do mérito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(art. 485, VI, do CPC), com condenação em honorários.</w:t>
      </w:r>
    </w:p>
    <w:p>
      <w:pPr>
        <w:spacing w:after="0" w:line="360" w:lineRule="auto"/>
        <w:jc w:val="both"/>
      </w:pPr>
    </w:p>
    <w:p>
      <w:pPr>
        <w:keepNext/>
        <w:spacing w:before="120" w:after="12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3.2.2. DECADÊNCIA (ART. 975 DO CPC) – ACEITAÇÃO EXPRESSA DA SENTENÇA PELA REQUERIDA (ART. 1.000 DO CPC)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Os requerentes sustentam que o trânsito em julgado teria ocorrido em 25/11/2022 e que a rescisória, protocolada em 25/11/2024, seria tempestiva. Contudo, a própria requerida,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intimada da sentença (eventos 73/74), manifestou-se nos autos originários (evento 76) dando ciência da decisão, sem qualquer ressalva e sem recorrer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. Nos termos do art. 1.000 do CPC, a parte que aceitar expressa ou tacitamente a decisão não poderá recorrer, considerando-se aceitação tácita a prática, sem nenhuma reserva, de ato incompatível com a vontade de recorrer.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Para a requerida, portanto, a sentença tornou-se imutável na data da manifestação do evento 76 –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[__/11/2022]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–, anterior a 25/11/2022, pois, com a aceitação, operou-se a preclusão lógica do direito de recorrer, e a coisa julgada se formou desde então. Contado o biênio do art. 975 do CPC a partir dessa data, o direito de rescindir extinguiu-se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antes de 25/11/2024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sendo decadente a pretensão. Requer-se, ao menos, que este Egrégio Tribunal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confira a data exata do trânsito em julgado na certidão dos autos originários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pois a rescisória foi proposta no limite absoluto do prazo, e qualquer antecipação do termo inicial em relação à data indicada pelos requerentes implica decadência (art. 487, II, do CPC).</w:t>
      </w:r>
    </w:p>
    <w:p>
      <w:pPr>
        <w:spacing w:after="0" w:line="360" w:lineRule="auto"/>
        <w:jc w:val="both"/>
      </w:pPr>
    </w:p>
    <w:p>
      <w:pPr>
        <w:keepNext/>
        <w:spacing w:before="120" w:after="12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3.2.3. AUSÊNCIA DO DEPÓSITO PRÉVIO E DAS CUSTAS – IMPUGNAÇÃO À GRATUIDADE DA JUSTIÇA (ARTS. 968, II E § 3º, E 100 DO CPC)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O depósito de 5% sobre o valor da causa (art. 968, II, do CPC) é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pressuposto processual específico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da ação rescisória, cuja ausência conduz ao indeferimento da inicial (art. 968, § 3º). No caso, o valor do depósito corresponde 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R$ 193,40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(cento e noventa e três reais e quarenta centavos), e as custas iniciais e taxa judiciária somam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R$ 113,02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(guias dos eventos 2 e 3). Os requerentes não recolheram nem um nem outro e pleitearam gratuidade, sem apresentar declaração de hipossuficiência, como reconheceu a decisão do evento 7.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Na forma do art. 100 do CPC,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impugna-se a gratuidade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pleiteada (ou, se já deferida, requer-se sua revogação), pelas seguintes razões: (a) a pessoa jurídica só faz jus ao benefício se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demonstrar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a impossibilidade de arcar com os encargos (Súmula 481 do STJ), não bastando a alegação; (b) a afirmação de que a empresa teve suas atividades “praticamente inviabilizadas” pela sentença é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inverídica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: a sociedade tem por objeto a extração de areia, cascalho e argila em qualquer local, atua desde 2004, mantinha sede própria na Rodovia BR-153, km 648, e, conforme consulta juntada nos autos originários (evento 189 e seguintes),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encontra-se com situação cadastral ATIVA perante a Receita Federal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em regular exercício de suas atividades; (c) o sócio requerente, além de ilegítimo, nada comprovou; (d) é inverossímil que uma empresa em atividade não possa recolher pouco mais de R$ 300,00 (trezentos reais) entre custas e depósito; (e) a mesma requerida, que se diz sem recursos,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jamais alegou impossibilidade de pagamento no cumprimento de sentença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onde chegou a ter valores bloqueados em conta bancária (eventos 199/200 dos autos originários).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Ademais, o pedido alternativo de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“diferimento” do depósito do art. 968, II, para o final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não encontra amparo legal: o depósito tem natureza de garantia contra a litigância temerária e de multa antecipada (art. 974, parágrafo único, do CPC), não se confundindo com custas, e a única dispensa admitida pela lei é a do § 1º do art. 968, que não contempla os requerentes. Indeferida a gratuidade e não efetuado o depósito,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impõe-se o indeferimento da inicial e a extinção do processo sem resolução do mérito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(arts. 968, § 3º, 321, parágrafo único, e 485, I e IV, do CPC).</w:t>
      </w:r>
    </w:p>
    <w:p>
      <w:pPr>
        <w:spacing w:after="0" w:line="360" w:lineRule="auto"/>
        <w:jc w:val="both"/>
      </w:pPr>
    </w:p>
    <w:p>
      <w:pPr>
        <w:keepNext/>
        <w:spacing w:before="120" w:after="12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3.2.4. NÃO CABIMENTO DA RESCISÓRIA – AUSÊNCIA DE VIOLAÇÃO NA SENTENÇA E FATO NUNCA SUBMETIDO AO JUÍZO – UTILIZAÇÃO DA RESCISÓRIA COMO SUCEDÂNEO DE APELAÇÃO NÃO INTERPOSTA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A hipótese do art. 966, V, do CPC exige que 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própria decisão rescindenda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tenha violado, de forma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manifesta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norma jurídica, ou seja, que o julgador, ao decidir a questão que lhe foi posta, tenha aplicado a norma de modo aberrante, contrário ao seu texto ou sentido inequívoco. Não se presta a rescisória a rediscutir a justiça da decisão, a reexaminar provas ou, menos ainda, 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introduzir no debate fato que jamais foi levado ao conhecimento do juízo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É exatamente o que ocorre aqui. A alegada venda do imóvel (19/10/2021)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não foi alegada por nenhuma das partes nos autos originários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embora a requerida tivesse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um ano inteiro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entre a alienação e a sentença para fazê-lo, e mais quinze dias úteis para apelar. A matrícula do imóvel é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documento público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acessível a qualquer interessado desde o registro. O juízo não pode ter “violado manifestamente” norma alguma ao não apreciar fato que não lhe foi apresentado. A pretensão dos requerentes, na verdade, é de que o Tribunal julgue, em rescisória, uma questão nova com base em documento que a parte podia e devia ter produzido no processo originário, o que a lei veda: a hipótese de documento novo (art. 966, VII) exige que a parte ignorasse sua existência ou não pudesse dele fazer uso, requisitos aqui inexistentes e sequer invocados.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A requerida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não apelou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da sentença; conformou-se com ela, manifestando ciência (evento 76). A ação rescisória não é recurso com prazo de dois anos, nem sucedâneo de apelação não interposta. Admiti-la como tal significaria aniquilar a garantia constitucional da coisa julgada (art. 5º, XXXVI, da CF), transformando a exceção em regra.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Incide, ainda, 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Súmula 343 do STF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: não cabe ação rescisória por ofensa a literal disposição de lei quando a decisão rescindenda se tiver baseado em texto legal de interpretação controvertida nos tribunais. A questão da manutenção do alienante no polo ativo da demanda, após a alienação da coisa litigiosa, é regida pelo art. 109 do CPC e, quando muito, comporta interpretação razoável no sentido adotado pela sentença, o que afasta, por si só, o cabimento da rescisória.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Por fim, falta aos requerentes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interesse processual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pois o resultado que buscam (extinção do processo sem resolução do mérito) sequer lhes traria utilidade quanto ao núcleo da condenação: os créditos de R$ 3.868,00 e a multa referem-se a fatos ocorridos e vencidos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antes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da alienação, e pertencem ao arrendador originário (e hoje ao seu espólio), quem quer que seja o atual proprietário do imóvel. Impõe-se, assim, o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indeferimento da petição inicial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ou a extinção do feito sem resolução do mérito (art. 485, I e VI, c/c art. 968, § 3º, do CPC).</w:t>
      </w:r>
    </w:p>
    <w:p>
      <w:pPr>
        <w:spacing w:after="0" w:line="360" w:lineRule="auto"/>
        <w:jc w:val="both"/>
      </w:pPr>
    </w:p>
    <w:p>
      <w:pPr>
        <w:keepNext/>
        <w:spacing w:before="120" w:after="12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3.3. MÉRITO – INEXISTÊNCIA DE VIOLAÇÃO MANIFESTA A NORMA JURÍDICA</w:t>
      </w:r>
    </w:p>
    <w:p>
      <w:pPr>
        <w:keepNext/>
        <w:spacing w:before="120" w:after="12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3.3.1. A ALIENAÇÃO DA COISA LITIGIOSA NÃO ALTERA A LEGITIMIDADE DAS PARTES (ART. 109 DO CPC) – A SENTENÇA APLICOU A LEI, NÃO A VIOLOU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Toda a tese dos requerentes repousa na premissa de que a alienação do imóvel no curso do processo fez o autor “perder a legitimidade ativa”. Essa premissa é frontalmente contrária à lei processual, que os requerentes simplesmente ignoram. Dispõe o art. 109 do CPC:</w:t>
      </w:r>
    </w:p>
    <w:p>
      <w:pPr>
        <w:spacing w:before="120" w:after="120" w:line="240" w:lineRule="auto"/>
        <w:ind w:left="2268"/>
        <w:jc w:val="both"/>
      </w:pPr>
      <w:r>
        <w:rPr>
          <w:rFonts w:ascii="Cambria" w:hAnsi="Cambria" w:cs="Cambria"/>
          <w:i/>
          <w:iCs/>
          <w:color w:val="000000" w:themeColor="text1"/>
          <w:sz w:val="22"/>
          <w:szCs w:val="22"/>
        </w:rPr>
        <w:t xml:space="preserve">“Art. 109. A alienação da coisa ou do direito litigioso por ato entre vivos, a título particular, não altera a legitimidade das partes. § 1º O adquirente ou cessionário não poderá ingressar em juízo, sucedendo o alienante ou cedente, sem que o consinta a parte contrária. § 2º O adquirente ou cessionário poderá intervir no processo como assistente litisconsorcial do alienante ou cedente. § 3º Estendem-se os efeitos da sentença proferida entre as partes originárias ao adquirente ou cessionário.”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A norma consagra o princípio da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perpetuatio legitimationis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: alienado o bem ou o direito litigioso no curso do processo, o alienante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permanece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no polo em que se encontra, como legitimado extraordinário, e a sentença proferida entre as partes originárias estende seus efeitos ao adquirente. A sucessão processual pelo adquirente é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facultativa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e depende do consentimento da parte contrária. Logo, a manutenção de ANTÔNIO MATIAS LEMES no polo ativo após 19/10/2021 não foi um vício, mas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a exata solução determinada pela lei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. A sentença que julgou a causa entre as partes originárias não violou norma alguma; ao contrário, observou o art. 109 do CPC.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Os arts. 1.227 e 1.245 do CC, invocados pelos requerentes, tratam da aquisição da propriedade pelo registro e nada dizem sobre legitimidade processual. Já o art. 92, § 5º, do Estatuto da Terra e o art. 15 do Decreto nº 59.566/66 disciplinam a sub-rogação do adquirente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nos direitos e obrigações do contrato em vigência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ou seja, a continuidade do contrato agrário perante o novo proprietário. Não se ocupam da legitimidade para a causa já ajuizada, matéria que é do art. 109 do CPC, norma processual especial e posterior.</w:t>
      </w:r>
    </w:p>
    <w:p>
      <w:pPr>
        <w:spacing w:after="0" w:line="360" w:lineRule="auto"/>
        <w:jc w:val="both"/>
      </w:pPr>
    </w:p>
    <w:p>
      <w:pPr>
        <w:keepNext/>
        <w:spacing w:before="120" w:after="12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3.3.2. OS PRECEDENTES INVOCADOS TRATAM DE ALIENAÇÃO ANTERIOR À PROPOSITURA DA AÇÃO DE DESPEJO – SITUAÇÃO DIVERSA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Os julgados transcritos na inicial (TJGO e TJPR) cuidam de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ação de despejo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proposta por quem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já havia alienado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o imóvel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antes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do ajuizamento, hipótese em que, de fato, o ex-proprietário não tem legitimidade para pedir a retomada da posse. O caso dos autos é radicalmente diverso: (a) a ação foi ajuizada em 21/05/2021 por quem era, então,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proprietário, arrendador e credor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; (b) a alienação ocorreu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cinco meses depois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no curso do processo, atraindo o art. 109 do CPC; (c)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não se tratava de ação de despejo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mas de rescisão por inadimplemento cumulada com cobrança de créditos vencidos e multa.</w:t>
      </w:r>
    </w:p>
    <w:p>
      <w:pPr>
        <w:spacing w:after="0" w:line="360" w:lineRule="auto"/>
        <w:jc w:val="both"/>
      </w:pPr>
    </w:p>
    <w:p>
      <w:pPr>
        <w:keepNext/>
        <w:spacing w:before="120" w:after="12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3.3.3. OS CRÉDITOS OBJETO DA CONDENAÇÃO SÃO ANTERIORES À ALIENAÇÃO E PERTENCEM AO ARRENDADOR ORIGINÁRIO – A SUB-ROGAÇÃO NÃO TRANSFERE CRÉDITOS VENCIDOS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A sentença condenou a requerida ao pagamento de R$ 3.868,00, saldo das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932 viagens realizadas entre 25/11/2020 e 30/03/2021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e da multa contratual pelo inadimplemento das cláusulas quarta, quinta e nona,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ocorrido no período de vigência do contrato, entre novembro/2020 e abril/2021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. Todos esses fatos são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anteriores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à alienação de 19/10/2021 e geraram créditos que se incorporaram ao patrimônio do arrendador ANTÔNIO MATIAS LEMES no momento em que se tornaram exigíveis.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A sub-rogação do adquirente prevista no art. 92, § 5º, do Estatuto da Terra opera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para o futuro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: o comprador assume a posição contratual do arrendador quanto às prestações vincendas e às obrigações a cumprir a partir da aquisição.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Não transfere ao adquirente créditos já vencidos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de titularidade do alienante, o que somente ocorreria mediante cessão de crédito expressa (arts. 286 e seguintes do CC), inexistente e sequer alegada. Fosse verdadeira a tese dos requerentes, o resultado seria absurdo: a arrendatária confessadamente inadimplente ficaria desobrigada de pagar a quem lhe cedeu a área e a quem devia, e o comprador, estranho aos fatos, nada poderia cobrar, porque a dívida não é sua. Não há norma que autorize esse enriquecimento sem causa (art. 884 do CC).</w:t>
      </w:r>
    </w:p>
    <w:p>
      <w:pPr>
        <w:spacing w:after="0" w:line="360" w:lineRule="auto"/>
        <w:jc w:val="both"/>
      </w:pPr>
    </w:p>
    <w:p>
      <w:pPr>
        <w:keepNext/>
        <w:spacing w:before="120" w:after="12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3.3.4. O CONTRATO JÁ ESTAVA ROMPIDO E A ARRENDATÁRIA FORA DA ÁREA QUANDO DA ALIENAÇÃO – NADA HAVIA A SUB-ROGAR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Ainda que se admitisse, apenas para argumentar, a aplicação do art. 92, § 5º, do Estatuto da Terra à legitimidade processual, a sub-rogação pressupõe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contrato em vigência e arrendatário na posse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. Nada disso existia em 19/10/2021: o arrendador havia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denunciado o contrato em 30/04/2021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(notificação extrajudicial recebida pela requerida, conforme rastreamento dos Correios por ela própria transcrito na contestação), a requerida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respondeu por contranotificação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o arrendador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fechou as entradas da fazenda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e 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tutela de urgência de maio/2021 (evento 4) proibiu o retorno das atividades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. A requerida, desde então,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não exerceu posse nem atividade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sobre a área, tanto que, em sua contestação, pediu a revogação da tutela justamente para “retomar” a extração.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O adquirente, portanto, recebeu o imóvel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livre de qualquer ocupação da requerida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não assumiu contrato algum e jamais compareceu aos autos, nem foi procurado pela requerida. É a própria inicial da rescisória que revela a contradição: os requerentes afirmam que a legitimidade “foi transferida ao comprador”, mas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nunca demandaram o comprador, nunca pediram sua intervenção, e nada há nos autos que indique que ele reclame a posição contratual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. A tese é puramente formal e desprovida de qualquer conteúdo, servindo apenas para tentar escapar de uma condenação pequena, líquida e confessada.</w:t>
      </w:r>
    </w:p>
    <w:p>
      <w:pPr>
        <w:spacing w:after="0" w:line="360" w:lineRule="auto"/>
        <w:jc w:val="both"/>
      </w:pPr>
    </w:p>
    <w:p>
      <w:pPr>
        <w:keepNext/>
        <w:spacing w:before="120" w:after="12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3.3.5. LEGITIMIDADE AFERIDA IN STATUS ASSERTIONIS – A QUESTÃO É DE MÉRITO E FOI CORRETAMENTE DECIDIDA – CONFISSÃO DA DÍVIDA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Consoante a teoria da asserção, adotada pela jurisprudência pátria, as condições da ação são aferidas em abstrato, à luz das afirmações do autor. ANTÔNIO MATIAS LEMES afirmou-se proprietário, arrendador e credor; era, quando ajuizou a ação, exatamente isso. Saber se, após a venda, permanecia titular dos créditos é matéria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de mérito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e o mérito foi decidido corretamente, pois, como visto, os créditos vencidos permaneceram com ele.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Não bastasse, a própria requerida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confessou a dívida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em sua contestação nos autos originários, ao afirmar que “o único valor que está sem acerto é o do mês de abril/2021, no montante de R$ 6.336,00”, e chegou a pedir a indicação de conta bancária para depósito. A condenação (R$ 3.868,00) é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inferior ao valor confessado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. Ainda que, por hipótese absurda, a sentença fosse rescindida, o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juízo rescisório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(art. 974 do CPC) conduziria ao mesmo resultado: procedência do pedido de cobrança e da multa, com base na confissão e na prova produzida, inclusive na testemunha da própria requerida. Não há, portanto, qualquer utilidade na pretensão, o que reforça a falta de interesse de agir.</w:t>
      </w:r>
    </w:p>
    <w:p>
      <w:pPr>
        <w:spacing w:after="0" w:line="360" w:lineRule="auto"/>
        <w:jc w:val="both"/>
      </w:pPr>
    </w:p>
    <w:p>
      <w:pPr>
        <w:keepNext/>
        <w:spacing w:before="120" w:after="12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3.3.6. PRECLUSÃO, BOA-FÉ OBJETIVA E SEGURANÇA JURÍDICA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A requerida teve todas as oportunidades de suscitar a suposta alienação: doze meses antes da sentença, na apelação que optou por não interpor e, ainda, na impugnação ao cumprimento de sentença, onde nada disse a respeito. Conformou-se expressamente com a sentença (evento 76) e, ao longo de quatro anos de execução, limitou-se a resistir ao pagamento. Reservar a tese para o último dia do biênio decadencial, contra parte que veio a falecer, é conduta que afronta a boa-fé objetiva (arts. 5º e 6º do CPC) e o dever de cooperação, além de configurar comportamento contraditório (venire contra factum proprium).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A coisa julgada é garantia constitucional (art. 5º, XXXVI, da CF) e sua desconstituição é medida excepcionalíssima, reservada aos vícios graves taxativamente previstos no art. 966 do CPC. Nenhum deles se configura. A rescisória deve ser julgada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improcedente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.</w:t>
      </w:r>
    </w:p>
    <w:p>
      <w:pPr>
        <w:spacing w:after="0" w:line="360" w:lineRule="auto"/>
        <w:jc w:val="both"/>
      </w:pPr>
    </w:p>
    <w:p>
      <w:pPr>
        <w:keepNext/>
        <w:spacing w:before="120" w:after="12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3.4. DA TUTELA DE URGÊNCIA (ART. 969 DO CPC)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Inexiste probabilidade do direito, como demonstrado. Tampouco há perigo de dano: o cumprimento de sentença tramita desde novembro/2022, o valor executado é modesto e o eventual bloqueio de valores decorre de sentença transitada em julgado há quase quatro anos, cujo cumprimento a devedora vem obstando. O perigo, na verdade, é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inverso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: a suspensão da execução, com o falecimento do exequente, apenas premiaria a inadimplência e agravaria o prejuízo do espólio. Requer-se o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indeferimento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da tutela de urgência ou, se já concedida, a sua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imediata revogação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com a comunicação ao Juízo da 2ª Vara Cível de Gurupi para o prosseguimento do cumprimento de sentença.</w:t>
      </w:r>
    </w:p>
    <w:p>
      <w:pPr>
        <w:spacing w:after="0" w:line="360" w:lineRule="auto"/>
        <w:jc w:val="both"/>
      </w:pPr>
    </w:p>
    <w:p>
      <w:pPr>
        <w:keepNext/>
        <w:spacing w:before="120" w:after="12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3.5. DA LITIGÂNCIA DE MÁ-FÉ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Os requerentes (a) alteraram a verdade dos fatos, ao afirmar que a empresa teve suas atividades inviabilizadas e que não pode arcar com custas de pouco mais de R$ 300,00, quando se encontra ativa e em funcionamento; (b) sustentaram que a arrendatária estaria na posse do imóvel quando da venda, quando estavam fora da área desde maio/2021 por força de tutela judicial; (c) omitiram do Tribunal a própria confissão da dívida; e (d) deduziram pretensão contra texto expresso de lei (art. 109 do CPC), com o objetivo de procrastinar o cumprimento de sentença. Incidem nas hipóteses do art. 80, I, II, III, VI e VII, do CPC, pelo que se requer a condenação ao pagamento de multa de até 10% sobre o valor corrigido da causa e à indenização dos prejuízos causados (art. 81 do CPC), sem prejuízo da reversão do depósito do art. 968, II, em favor do requerido (art. 974, parágrafo único, do CPC).</w:t>
      </w:r>
    </w:p>
    <w:p>
      <w:pPr>
        <w:spacing w:after="0" w:line="360" w:lineRule="auto"/>
        <w:jc w:val="both"/>
      </w:pPr>
    </w:p>
    <w:p>
      <w:pPr>
        <w:keepNext/>
        <w:spacing w:before="120" w:after="120" w:line="360" w:lineRule="auto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4. DOS PEDIDOS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Ante o exposto, requer-se a Vossa Excelência e à Colenda Câmara: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a)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o recebimento da presente manifestação e contestação, na forma do art. 104 do CPC, com a concessão do prazo de 15 (quinze) dias, prorrogável por igual período, para a juntada de procuração outorgada pelo inventariante ou pelos sucessores do falecido, ou da ratificação dos atos ora praticados;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b)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a declaração da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inexistência/nulidade da citação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do requerido falecido, com 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suspensão do processo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(art. 313, I, do CPC) e a determinação de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habilitação do espólio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ou dos sucessores de ANTÔNIO MATIAS LEMES (arts. 75, VII, 110, 313, § 2º, II, e 687 a 692 do CPC), intimando-se os requerentes para promoverem a citação válida, sob pena de extinção, e reconhecendo-se que o prazo de resposta somente fluirá a partir da citação do espólio;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c)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subsidiariamente, caso se entenda válida a citação ou suprida pela presente manifestação, o recebimento e a apreciação integral da contestação ora apresentada;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d)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o acolhimento das preliminares para: (i) extinguir o processo sem resolução do mérito em relação a ANTÔNIO LUIZ PERES RAMOS, por ilegitimidade ativa e ausência de interesse (art. 485, VI, do CPC); (ii) pronunciar 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decadência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do direito de rescindir (arts. 975 e 487, II, do CPC); (iii) indeferir ou revogar a gratuidade da justiça, e, não efetuados o depósito do art. 968, II, e o recolhimento das custas,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indeferir a petição inicial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(arts. 968, § 3º, 321, parágrafo único, e 485, I e IV, do CPC); (iv) reconhecer o não cabimento da rescisória e a ausência de interesse processual (arts. 485, VI, e 966, V, do CPC);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e)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o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indeferimento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da tutela de urgência ou, se concedida, a sua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revogação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com comunicação ao Juízo da 2ª Vara Cível de Gurupi/TO;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f)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no mérito, 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improcedência total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da ação rescisória, por inexistência de violação manifesta a norma jurídica, mantendo-se íntegra a sentença proferida nos autos nº 0004621-63.2021.8.27.2722; e, se por hipótese rescindida, que, em juízo rescisório, sejam julgados procedentes os pedidos da ação originária, nos mesmos termos da sentença;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g)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a condenação dos requerentes ao pagamento das custas processuais e de honorários advocatícios, que se requer sejam fixados em 20% (vinte por cento) sobre o valor atualizado da causa (art. 85, §§ 2º e 8º-A, do CPC), em favor do subscritor, bem como 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reversão do depósito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do art. 968, II, do CPC em favor do requerido (art. 974, parágrafo único, do CPC);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h)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a condenação dos requerentes nas penas da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litigância de má-fé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(arts. 80 e 81 do CPC);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i)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a produção de todas as provas em direito admitidas, especialmente a documental, com a juntada da certidão de óbito do requerido e das peças dos autos originários eletrônicos (nº 0004621-63.2021.8.27.2722), cujo acesso integral se requer seja considerado pelo Tribunal, notadamente os eventos 1, 4, 9, 61, 70, 73, 74, 76 e 189 e seguintes;</w:t>
      </w: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j)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 que todas as intimações sejam realizadas em nome do subscritor, </w:t>
      </w: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Paulo Izidio da Silva Rezende, OAB/TO 5.168</w:t>
      </w:r>
      <w:r>
        <w:rPr>
          <w:rFonts w:ascii="Cambria" w:hAnsi="Cambria" w:cs="Cambria"/>
          <w:color w:val="000000" w:themeColor="text1"/>
          <w:sz w:val="24"/>
          <w:szCs w:val="24"/>
        </w:rPr>
        <w:t xml:space="preserve">, até a regularização da representação do espólio.</w:t>
      </w:r>
    </w:p>
    <w:p>
      <w:pPr>
        <w:spacing w:after="0" w:line="360" w:lineRule="auto"/>
        <w:jc w:val="both"/>
      </w:pPr>
    </w:p>
    <w:p>
      <w:pPr>
        <w:spacing w:after="0" w:line="360" w:lineRule="auto"/>
        <w:ind w:firstLine="1134"/>
        <w:jc w:val="both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Nestes termos, pede deferimento.</w:t>
      </w:r>
    </w:p>
    <w:p>
      <w:pPr>
        <w:spacing w:after="0" w:line="360" w:lineRule="auto"/>
        <w:jc w:val="both"/>
      </w:pPr>
    </w:p>
    <w:p>
      <w:pPr>
        <w:spacing w:after="0" w:line="360" w:lineRule="auto"/>
        <w:jc w:val="center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Gurupi/TO, 4 de setembro de 2026.</w:t>
      </w: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center"/>
      </w:pPr>
      <w:r>
        <w:rPr>
          <w:rFonts w:ascii="Cambria" w:hAnsi="Cambria" w:cs="Cambria"/>
          <w:b/>
          <w:bCs/>
          <w:color w:val="000000" w:themeColor="text1"/>
          <w:sz w:val="24"/>
          <w:szCs w:val="24"/>
        </w:rPr>
        <w:t xml:space="preserve">PAULO IZIDIO DA SILVA REZENDE</w:t>
      </w:r>
    </w:p>
    <w:p>
      <w:pPr>
        <w:spacing w:after="0" w:line="360" w:lineRule="auto"/>
        <w:jc w:val="center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OAB/TO 5.168</w:t>
      </w:r>
    </w:p>
    <w:p>
      <w:pPr>
        <w:spacing w:after="0" w:line="360" w:lineRule="auto"/>
        <w:jc w:val="center"/>
      </w:pPr>
      <w:r>
        <w:rPr>
          <w:rFonts w:ascii="Cambria" w:hAnsi="Cambria" w:cs="Cambria"/>
          <w:color w:val="000000" w:themeColor="text1"/>
          <w:sz w:val="24"/>
          <w:szCs w:val="24"/>
        </w:rPr>
        <w:t xml:space="preserve">Rua Euridice Rodrigues de Brito, nº 1241, Centro, Gurupi/TO</w:t>
      </w:r>
    </w:p>
    <w:sectPr w:rsidR="00941A40" w:rsidRPr="002131D2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A92AAA" w14:textId="77777777" w:rsidR="00D94BBD" w:rsidRDefault="00D94BBD" w:rsidP="00D50248">
      <w:pPr>
        <w:spacing w:after="0" w:line="240" w:lineRule="auto"/>
      </w:pPr>
      <w:r>
        <w:separator/>
      </w:r>
    </w:p>
  </w:endnote>
  <w:endnote w:type="continuationSeparator" w:id="0">
    <w:p w14:paraId="49EBFD2B" w14:textId="77777777" w:rsidR="00D94BBD" w:rsidRDefault="00D94BBD" w:rsidP="00D50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E85F02" w14:textId="77777777" w:rsidR="00D50248" w:rsidRDefault="00D50248" w:rsidP="00D50248">
    <w:pPr>
      <w:pStyle w:val="Rodap"/>
      <w:ind w:left="-1134"/>
    </w:pPr>
    <w:r w:rsidRPr="00D50248"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1B16C6D2" wp14:editId="53D61E8F">
          <wp:simplePos x="0" y="0"/>
          <wp:positionH relativeFrom="page">
            <wp:align>left</wp:align>
          </wp:positionH>
          <wp:positionV relativeFrom="page">
            <wp:posOffset>9610725</wp:posOffset>
          </wp:positionV>
          <wp:extent cx="7558405" cy="1083310"/>
          <wp:effectExtent l="0" t="0" r="4445" b="2540"/>
          <wp:wrapSquare wrapText="bothSides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83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3D460A" w14:textId="77777777" w:rsidR="00D94BBD" w:rsidRDefault="00D94BBD" w:rsidP="00D50248">
      <w:pPr>
        <w:spacing w:after="0" w:line="240" w:lineRule="auto"/>
      </w:pPr>
      <w:r>
        <w:separator/>
      </w:r>
    </w:p>
  </w:footnote>
  <w:footnote w:type="continuationSeparator" w:id="0">
    <w:p w14:paraId="766C3D97" w14:textId="77777777" w:rsidR="00D94BBD" w:rsidRDefault="00D94BBD" w:rsidP="00D502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692A5" w14:textId="77777777" w:rsidR="00D50248" w:rsidRDefault="00D50248" w:rsidP="00D50248">
    <w:pPr>
      <w:pStyle w:val="Cabealho"/>
      <w:jc w:val="center"/>
    </w:pPr>
    <w:r w:rsidRPr="00D50248">
      <w:rPr>
        <w:noProof/>
        <w:lang w:eastAsia="pt-BR"/>
      </w:rPr>
      <w:drawing>
        <wp:inline distT="0" distB="0" distL="0" distR="0" wp14:anchorId="2F947822" wp14:editId="6DD18CE3">
          <wp:extent cx="4176122" cy="952583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76122" cy="9525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B34AB6C" w14:textId="77777777" w:rsidR="006656DB" w:rsidRDefault="006656DB" w:rsidP="00D50248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E6126"/>
    <w:multiLevelType w:val="hybridMultilevel"/>
    <w:tmpl w:val="C930D154"/>
    <w:lvl w:ilvl="0" w:tplc="426E0008">
      <w:start w:val="1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10565D6F"/>
    <w:multiLevelType w:val="hybridMultilevel"/>
    <w:tmpl w:val="C58AF628"/>
    <w:lvl w:ilvl="0" w:tplc="EFECEE32">
      <w:start w:val="1"/>
      <w:numFmt w:val="upperLetter"/>
      <w:lvlText w:val="%1."/>
      <w:lvlJc w:val="left"/>
      <w:pPr>
        <w:ind w:left="1854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73211174"/>
    <w:multiLevelType w:val="hybridMultilevel"/>
    <w:tmpl w:val="B4EC7800"/>
    <w:lvl w:ilvl="0" w:tplc="4E0A62B2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248"/>
    <w:rsid w:val="00001225"/>
    <w:rsid w:val="0000152B"/>
    <w:rsid w:val="00002095"/>
    <w:rsid w:val="0000236D"/>
    <w:rsid w:val="00004A0C"/>
    <w:rsid w:val="000118DD"/>
    <w:rsid w:val="00012DE2"/>
    <w:rsid w:val="00037F24"/>
    <w:rsid w:val="000428FC"/>
    <w:rsid w:val="000465B9"/>
    <w:rsid w:val="000536AF"/>
    <w:rsid w:val="000549E5"/>
    <w:rsid w:val="00061B69"/>
    <w:rsid w:val="000628E1"/>
    <w:rsid w:val="000654A3"/>
    <w:rsid w:val="00067F7B"/>
    <w:rsid w:val="000704F8"/>
    <w:rsid w:val="0007186B"/>
    <w:rsid w:val="00072ECE"/>
    <w:rsid w:val="00076395"/>
    <w:rsid w:val="00081B17"/>
    <w:rsid w:val="00083B5D"/>
    <w:rsid w:val="0008557B"/>
    <w:rsid w:val="000869F2"/>
    <w:rsid w:val="000928C4"/>
    <w:rsid w:val="00092F21"/>
    <w:rsid w:val="00093B2E"/>
    <w:rsid w:val="0009467A"/>
    <w:rsid w:val="00094706"/>
    <w:rsid w:val="000957D1"/>
    <w:rsid w:val="00095F88"/>
    <w:rsid w:val="00097DD5"/>
    <w:rsid w:val="000A51AF"/>
    <w:rsid w:val="000A5457"/>
    <w:rsid w:val="000B4100"/>
    <w:rsid w:val="000B5BD1"/>
    <w:rsid w:val="000C2CA4"/>
    <w:rsid w:val="000C485C"/>
    <w:rsid w:val="000C6084"/>
    <w:rsid w:val="000C6C27"/>
    <w:rsid w:val="000D2905"/>
    <w:rsid w:val="000D46A5"/>
    <w:rsid w:val="000E0D25"/>
    <w:rsid w:val="000E48F9"/>
    <w:rsid w:val="000E61D8"/>
    <w:rsid w:val="000E66E1"/>
    <w:rsid w:val="000F1B1C"/>
    <w:rsid w:val="000F1C41"/>
    <w:rsid w:val="000F3CE3"/>
    <w:rsid w:val="001046EA"/>
    <w:rsid w:val="00106E25"/>
    <w:rsid w:val="0011008D"/>
    <w:rsid w:val="00110D69"/>
    <w:rsid w:val="001172D1"/>
    <w:rsid w:val="00122E82"/>
    <w:rsid w:val="00124C28"/>
    <w:rsid w:val="00124D1E"/>
    <w:rsid w:val="00125440"/>
    <w:rsid w:val="001264E1"/>
    <w:rsid w:val="001337BA"/>
    <w:rsid w:val="0013403B"/>
    <w:rsid w:val="001349F1"/>
    <w:rsid w:val="00140DDC"/>
    <w:rsid w:val="00142194"/>
    <w:rsid w:val="00144669"/>
    <w:rsid w:val="001464DF"/>
    <w:rsid w:val="00146564"/>
    <w:rsid w:val="00150A77"/>
    <w:rsid w:val="00151CE2"/>
    <w:rsid w:val="001555B8"/>
    <w:rsid w:val="0015589E"/>
    <w:rsid w:val="0016209F"/>
    <w:rsid w:val="0016574E"/>
    <w:rsid w:val="00165E32"/>
    <w:rsid w:val="001707C6"/>
    <w:rsid w:val="00173FB0"/>
    <w:rsid w:val="00175FE9"/>
    <w:rsid w:val="001777DC"/>
    <w:rsid w:val="00187306"/>
    <w:rsid w:val="001875AD"/>
    <w:rsid w:val="0019693D"/>
    <w:rsid w:val="001A1A89"/>
    <w:rsid w:val="001A296F"/>
    <w:rsid w:val="001A607A"/>
    <w:rsid w:val="001A7C58"/>
    <w:rsid w:val="001B36B4"/>
    <w:rsid w:val="001B4821"/>
    <w:rsid w:val="001B7C48"/>
    <w:rsid w:val="001C0F60"/>
    <w:rsid w:val="001C6972"/>
    <w:rsid w:val="001D2B12"/>
    <w:rsid w:val="001D57E5"/>
    <w:rsid w:val="001D62A1"/>
    <w:rsid w:val="001E091D"/>
    <w:rsid w:val="001E1A40"/>
    <w:rsid w:val="001E4A50"/>
    <w:rsid w:val="001E6C54"/>
    <w:rsid w:val="001E73CE"/>
    <w:rsid w:val="001F0D4F"/>
    <w:rsid w:val="001F532A"/>
    <w:rsid w:val="001F78DA"/>
    <w:rsid w:val="0020603A"/>
    <w:rsid w:val="002064EB"/>
    <w:rsid w:val="00207FA8"/>
    <w:rsid w:val="002131D2"/>
    <w:rsid w:val="002147A2"/>
    <w:rsid w:val="00231FB2"/>
    <w:rsid w:val="002367C6"/>
    <w:rsid w:val="00237732"/>
    <w:rsid w:val="0024040F"/>
    <w:rsid w:val="00250404"/>
    <w:rsid w:val="002604DA"/>
    <w:rsid w:val="00262D38"/>
    <w:rsid w:val="0026604B"/>
    <w:rsid w:val="00266F41"/>
    <w:rsid w:val="002676E6"/>
    <w:rsid w:val="00267FBA"/>
    <w:rsid w:val="002762AD"/>
    <w:rsid w:val="002824AB"/>
    <w:rsid w:val="0028488D"/>
    <w:rsid w:val="002878D8"/>
    <w:rsid w:val="002915BD"/>
    <w:rsid w:val="00294F89"/>
    <w:rsid w:val="002A074A"/>
    <w:rsid w:val="002B1915"/>
    <w:rsid w:val="002B4B10"/>
    <w:rsid w:val="002C25B5"/>
    <w:rsid w:val="002C71D4"/>
    <w:rsid w:val="002D1CBA"/>
    <w:rsid w:val="002E1484"/>
    <w:rsid w:val="002E2B41"/>
    <w:rsid w:val="002E2C4A"/>
    <w:rsid w:val="002E30DA"/>
    <w:rsid w:val="002E4D73"/>
    <w:rsid w:val="002F0F35"/>
    <w:rsid w:val="002F1B26"/>
    <w:rsid w:val="002F41EB"/>
    <w:rsid w:val="003017BD"/>
    <w:rsid w:val="00304373"/>
    <w:rsid w:val="00304D7A"/>
    <w:rsid w:val="00306935"/>
    <w:rsid w:val="00317B61"/>
    <w:rsid w:val="00323044"/>
    <w:rsid w:val="003233A7"/>
    <w:rsid w:val="00326ACD"/>
    <w:rsid w:val="00332BB4"/>
    <w:rsid w:val="00333A77"/>
    <w:rsid w:val="003350A4"/>
    <w:rsid w:val="0033543B"/>
    <w:rsid w:val="00336DDF"/>
    <w:rsid w:val="00342140"/>
    <w:rsid w:val="003437A5"/>
    <w:rsid w:val="00345C46"/>
    <w:rsid w:val="003504FF"/>
    <w:rsid w:val="00350765"/>
    <w:rsid w:val="0035175D"/>
    <w:rsid w:val="00355139"/>
    <w:rsid w:val="0035530E"/>
    <w:rsid w:val="00356156"/>
    <w:rsid w:val="00356C56"/>
    <w:rsid w:val="00360260"/>
    <w:rsid w:val="00360374"/>
    <w:rsid w:val="003619F8"/>
    <w:rsid w:val="00363482"/>
    <w:rsid w:val="003678A9"/>
    <w:rsid w:val="00382617"/>
    <w:rsid w:val="003873DB"/>
    <w:rsid w:val="003A25A1"/>
    <w:rsid w:val="003B3941"/>
    <w:rsid w:val="003B70E9"/>
    <w:rsid w:val="003C444C"/>
    <w:rsid w:val="003C4B61"/>
    <w:rsid w:val="003D0F8A"/>
    <w:rsid w:val="003D2413"/>
    <w:rsid w:val="003D44E6"/>
    <w:rsid w:val="003E0E61"/>
    <w:rsid w:val="003E26E1"/>
    <w:rsid w:val="003E6C0B"/>
    <w:rsid w:val="003F15E6"/>
    <w:rsid w:val="003F1781"/>
    <w:rsid w:val="003F480C"/>
    <w:rsid w:val="003F567A"/>
    <w:rsid w:val="003F5763"/>
    <w:rsid w:val="003F6B86"/>
    <w:rsid w:val="00401E0D"/>
    <w:rsid w:val="00405566"/>
    <w:rsid w:val="0042211B"/>
    <w:rsid w:val="00427D38"/>
    <w:rsid w:val="0043056D"/>
    <w:rsid w:val="00431906"/>
    <w:rsid w:val="00432298"/>
    <w:rsid w:val="00432CD7"/>
    <w:rsid w:val="00436F63"/>
    <w:rsid w:val="00454D95"/>
    <w:rsid w:val="004557DA"/>
    <w:rsid w:val="0045672D"/>
    <w:rsid w:val="00456886"/>
    <w:rsid w:val="00461274"/>
    <w:rsid w:val="0046449D"/>
    <w:rsid w:val="00466B86"/>
    <w:rsid w:val="00467AEA"/>
    <w:rsid w:val="00474D56"/>
    <w:rsid w:val="00476C45"/>
    <w:rsid w:val="00480FD3"/>
    <w:rsid w:val="00483006"/>
    <w:rsid w:val="004842F1"/>
    <w:rsid w:val="00493EEC"/>
    <w:rsid w:val="004951EB"/>
    <w:rsid w:val="00497B9F"/>
    <w:rsid w:val="004A5FE8"/>
    <w:rsid w:val="004B03A0"/>
    <w:rsid w:val="004B164D"/>
    <w:rsid w:val="004B4955"/>
    <w:rsid w:val="004D15E5"/>
    <w:rsid w:val="004D2162"/>
    <w:rsid w:val="004D24EA"/>
    <w:rsid w:val="004D3235"/>
    <w:rsid w:val="004E2597"/>
    <w:rsid w:val="004E473A"/>
    <w:rsid w:val="004E7525"/>
    <w:rsid w:val="004F7F42"/>
    <w:rsid w:val="005077A9"/>
    <w:rsid w:val="0051065C"/>
    <w:rsid w:val="0051135D"/>
    <w:rsid w:val="005207BB"/>
    <w:rsid w:val="00527040"/>
    <w:rsid w:val="0053068F"/>
    <w:rsid w:val="00532BD8"/>
    <w:rsid w:val="005336EB"/>
    <w:rsid w:val="00534785"/>
    <w:rsid w:val="00540104"/>
    <w:rsid w:val="005472FD"/>
    <w:rsid w:val="00551F09"/>
    <w:rsid w:val="005604B3"/>
    <w:rsid w:val="00562514"/>
    <w:rsid w:val="00566C18"/>
    <w:rsid w:val="0056742F"/>
    <w:rsid w:val="00583C23"/>
    <w:rsid w:val="00590764"/>
    <w:rsid w:val="00591107"/>
    <w:rsid w:val="00591D12"/>
    <w:rsid w:val="005946C1"/>
    <w:rsid w:val="00596591"/>
    <w:rsid w:val="00596CE2"/>
    <w:rsid w:val="005A1D43"/>
    <w:rsid w:val="005A31E1"/>
    <w:rsid w:val="005B10A7"/>
    <w:rsid w:val="005C0F6A"/>
    <w:rsid w:val="005D05B4"/>
    <w:rsid w:val="005D48E4"/>
    <w:rsid w:val="005E11A9"/>
    <w:rsid w:val="005E68EB"/>
    <w:rsid w:val="005E7B06"/>
    <w:rsid w:val="005F1627"/>
    <w:rsid w:val="005F20FB"/>
    <w:rsid w:val="005F2220"/>
    <w:rsid w:val="005F4A1F"/>
    <w:rsid w:val="0060360B"/>
    <w:rsid w:val="00606946"/>
    <w:rsid w:val="00617EEE"/>
    <w:rsid w:val="006235F0"/>
    <w:rsid w:val="00624FB5"/>
    <w:rsid w:val="00625172"/>
    <w:rsid w:val="00626DE9"/>
    <w:rsid w:val="006309B9"/>
    <w:rsid w:val="006324F2"/>
    <w:rsid w:val="006325F3"/>
    <w:rsid w:val="00632F69"/>
    <w:rsid w:val="00643D69"/>
    <w:rsid w:val="00644084"/>
    <w:rsid w:val="006502E8"/>
    <w:rsid w:val="0065356A"/>
    <w:rsid w:val="00656024"/>
    <w:rsid w:val="00657134"/>
    <w:rsid w:val="006606A3"/>
    <w:rsid w:val="006656DB"/>
    <w:rsid w:val="00673A1B"/>
    <w:rsid w:val="00683E0F"/>
    <w:rsid w:val="006842C8"/>
    <w:rsid w:val="0068462D"/>
    <w:rsid w:val="006861C4"/>
    <w:rsid w:val="006900C2"/>
    <w:rsid w:val="006A225B"/>
    <w:rsid w:val="006A34EF"/>
    <w:rsid w:val="006A6D6A"/>
    <w:rsid w:val="006B057E"/>
    <w:rsid w:val="006B5262"/>
    <w:rsid w:val="006B5917"/>
    <w:rsid w:val="006C077F"/>
    <w:rsid w:val="006E3252"/>
    <w:rsid w:val="006F39A6"/>
    <w:rsid w:val="006F5EB4"/>
    <w:rsid w:val="006F69AE"/>
    <w:rsid w:val="007010A2"/>
    <w:rsid w:val="00704036"/>
    <w:rsid w:val="00705341"/>
    <w:rsid w:val="007103F1"/>
    <w:rsid w:val="00711CA5"/>
    <w:rsid w:val="00717990"/>
    <w:rsid w:val="007209AC"/>
    <w:rsid w:val="007225AA"/>
    <w:rsid w:val="007336ED"/>
    <w:rsid w:val="007419EB"/>
    <w:rsid w:val="00743338"/>
    <w:rsid w:val="007513FD"/>
    <w:rsid w:val="00777D12"/>
    <w:rsid w:val="00782592"/>
    <w:rsid w:val="0079089E"/>
    <w:rsid w:val="00792728"/>
    <w:rsid w:val="00794D41"/>
    <w:rsid w:val="00797D71"/>
    <w:rsid w:val="007A0A6F"/>
    <w:rsid w:val="007B211F"/>
    <w:rsid w:val="007B4746"/>
    <w:rsid w:val="007B561E"/>
    <w:rsid w:val="007B686A"/>
    <w:rsid w:val="007C028B"/>
    <w:rsid w:val="007C55F9"/>
    <w:rsid w:val="007D37F0"/>
    <w:rsid w:val="007D4FAD"/>
    <w:rsid w:val="007D5DE9"/>
    <w:rsid w:val="00801354"/>
    <w:rsid w:val="00813203"/>
    <w:rsid w:val="0081432A"/>
    <w:rsid w:val="00814769"/>
    <w:rsid w:val="008164C8"/>
    <w:rsid w:val="00821786"/>
    <w:rsid w:val="008239F1"/>
    <w:rsid w:val="00825298"/>
    <w:rsid w:val="00825709"/>
    <w:rsid w:val="00833FFE"/>
    <w:rsid w:val="008345EC"/>
    <w:rsid w:val="008430AC"/>
    <w:rsid w:val="008506D7"/>
    <w:rsid w:val="00850903"/>
    <w:rsid w:val="00851E59"/>
    <w:rsid w:val="00852E8E"/>
    <w:rsid w:val="00855139"/>
    <w:rsid w:val="00855853"/>
    <w:rsid w:val="00857179"/>
    <w:rsid w:val="00863AB2"/>
    <w:rsid w:val="0086771E"/>
    <w:rsid w:val="00870BDC"/>
    <w:rsid w:val="008813A9"/>
    <w:rsid w:val="008817C9"/>
    <w:rsid w:val="00882F65"/>
    <w:rsid w:val="00886EFF"/>
    <w:rsid w:val="00891151"/>
    <w:rsid w:val="00896D37"/>
    <w:rsid w:val="008A557A"/>
    <w:rsid w:val="008B0A22"/>
    <w:rsid w:val="008B4342"/>
    <w:rsid w:val="008C09FC"/>
    <w:rsid w:val="008C6570"/>
    <w:rsid w:val="008D0076"/>
    <w:rsid w:val="008D019D"/>
    <w:rsid w:val="008D37F6"/>
    <w:rsid w:val="008D3B54"/>
    <w:rsid w:val="008D3C08"/>
    <w:rsid w:val="008E1EBB"/>
    <w:rsid w:val="008E4407"/>
    <w:rsid w:val="008F1970"/>
    <w:rsid w:val="008F4717"/>
    <w:rsid w:val="008F508E"/>
    <w:rsid w:val="00901C01"/>
    <w:rsid w:val="00902AD4"/>
    <w:rsid w:val="00905DDF"/>
    <w:rsid w:val="00907082"/>
    <w:rsid w:val="009159E6"/>
    <w:rsid w:val="009249F3"/>
    <w:rsid w:val="009311CA"/>
    <w:rsid w:val="009312D8"/>
    <w:rsid w:val="00933AF0"/>
    <w:rsid w:val="00934867"/>
    <w:rsid w:val="009361E4"/>
    <w:rsid w:val="00941A40"/>
    <w:rsid w:val="00942D27"/>
    <w:rsid w:val="00944F1F"/>
    <w:rsid w:val="00945BD6"/>
    <w:rsid w:val="00947987"/>
    <w:rsid w:val="009507A3"/>
    <w:rsid w:val="00953670"/>
    <w:rsid w:val="00954478"/>
    <w:rsid w:val="00957521"/>
    <w:rsid w:val="009575E4"/>
    <w:rsid w:val="009578B8"/>
    <w:rsid w:val="00965897"/>
    <w:rsid w:val="0096611A"/>
    <w:rsid w:val="009703F1"/>
    <w:rsid w:val="009708CF"/>
    <w:rsid w:val="00972261"/>
    <w:rsid w:val="0097645D"/>
    <w:rsid w:val="009772A3"/>
    <w:rsid w:val="0098028E"/>
    <w:rsid w:val="00980ECD"/>
    <w:rsid w:val="009817B3"/>
    <w:rsid w:val="00981D84"/>
    <w:rsid w:val="00981E43"/>
    <w:rsid w:val="00984AA5"/>
    <w:rsid w:val="00985D2E"/>
    <w:rsid w:val="00991879"/>
    <w:rsid w:val="00997CE6"/>
    <w:rsid w:val="009A2C58"/>
    <w:rsid w:val="009A431C"/>
    <w:rsid w:val="009A7E78"/>
    <w:rsid w:val="009B7E59"/>
    <w:rsid w:val="009C2336"/>
    <w:rsid w:val="009C296C"/>
    <w:rsid w:val="009C5F6D"/>
    <w:rsid w:val="009D4479"/>
    <w:rsid w:val="009F2E1C"/>
    <w:rsid w:val="009F4D8E"/>
    <w:rsid w:val="00A00396"/>
    <w:rsid w:val="00A025FA"/>
    <w:rsid w:val="00A13DB4"/>
    <w:rsid w:val="00A14C25"/>
    <w:rsid w:val="00A15DB5"/>
    <w:rsid w:val="00A16752"/>
    <w:rsid w:val="00A16BC6"/>
    <w:rsid w:val="00A20367"/>
    <w:rsid w:val="00A230FC"/>
    <w:rsid w:val="00A25A43"/>
    <w:rsid w:val="00A34035"/>
    <w:rsid w:val="00A37F43"/>
    <w:rsid w:val="00A41C3A"/>
    <w:rsid w:val="00A44CDA"/>
    <w:rsid w:val="00A47041"/>
    <w:rsid w:val="00A52D46"/>
    <w:rsid w:val="00A5516A"/>
    <w:rsid w:val="00A6206C"/>
    <w:rsid w:val="00A6436D"/>
    <w:rsid w:val="00A7046D"/>
    <w:rsid w:val="00A72D69"/>
    <w:rsid w:val="00A740F5"/>
    <w:rsid w:val="00A74ADC"/>
    <w:rsid w:val="00A75146"/>
    <w:rsid w:val="00A76875"/>
    <w:rsid w:val="00A80433"/>
    <w:rsid w:val="00A829A2"/>
    <w:rsid w:val="00A90432"/>
    <w:rsid w:val="00A9169D"/>
    <w:rsid w:val="00A9612B"/>
    <w:rsid w:val="00A97AE1"/>
    <w:rsid w:val="00AA3C3A"/>
    <w:rsid w:val="00AB2B95"/>
    <w:rsid w:val="00AB4FF4"/>
    <w:rsid w:val="00AB575E"/>
    <w:rsid w:val="00AB7BAF"/>
    <w:rsid w:val="00AB7CC3"/>
    <w:rsid w:val="00AC225F"/>
    <w:rsid w:val="00AC2E0B"/>
    <w:rsid w:val="00AC5E9C"/>
    <w:rsid w:val="00AD1132"/>
    <w:rsid w:val="00AD4692"/>
    <w:rsid w:val="00AD681B"/>
    <w:rsid w:val="00AE291F"/>
    <w:rsid w:val="00AE2B4D"/>
    <w:rsid w:val="00AE5040"/>
    <w:rsid w:val="00AE58C8"/>
    <w:rsid w:val="00AF2BB6"/>
    <w:rsid w:val="00AF70FA"/>
    <w:rsid w:val="00B044BC"/>
    <w:rsid w:val="00B059DF"/>
    <w:rsid w:val="00B07A3D"/>
    <w:rsid w:val="00B07E20"/>
    <w:rsid w:val="00B11C2E"/>
    <w:rsid w:val="00B1277B"/>
    <w:rsid w:val="00B17BB8"/>
    <w:rsid w:val="00B21C2E"/>
    <w:rsid w:val="00B2215C"/>
    <w:rsid w:val="00B24844"/>
    <w:rsid w:val="00B31959"/>
    <w:rsid w:val="00B34B62"/>
    <w:rsid w:val="00B42E75"/>
    <w:rsid w:val="00B46478"/>
    <w:rsid w:val="00B541CB"/>
    <w:rsid w:val="00B544BC"/>
    <w:rsid w:val="00B55AED"/>
    <w:rsid w:val="00B65B51"/>
    <w:rsid w:val="00B6720C"/>
    <w:rsid w:val="00B731C5"/>
    <w:rsid w:val="00B75E8C"/>
    <w:rsid w:val="00B83C32"/>
    <w:rsid w:val="00B8521D"/>
    <w:rsid w:val="00B956AA"/>
    <w:rsid w:val="00B96066"/>
    <w:rsid w:val="00B97B2F"/>
    <w:rsid w:val="00BA3D4D"/>
    <w:rsid w:val="00BB5D7D"/>
    <w:rsid w:val="00BB6E5D"/>
    <w:rsid w:val="00BB7BF2"/>
    <w:rsid w:val="00BC0D6D"/>
    <w:rsid w:val="00BC1088"/>
    <w:rsid w:val="00BD04D7"/>
    <w:rsid w:val="00BD6EB0"/>
    <w:rsid w:val="00BD7415"/>
    <w:rsid w:val="00BE0669"/>
    <w:rsid w:val="00BE0A7C"/>
    <w:rsid w:val="00BF1C6E"/>
    <w:rsid w:val="00BF4755"/>
    <w:rsid w:val="00BF7A80"/>
    <w:rsid w:val="00BF7B83"/>
    <w:rsid w:val="00BF7EFD"/>
    <w:rsid w:val="00C004CB"/>
    <w:rsid w:val="00C06A23"/>
    <w:rsid w:val="00C07E15"/>
    <w:rsid w:val="00C1154E"/>
    <w:rsid w:val="00C116BB"/>
    <w:rsid w:val="00C1174E"/>
    <w:rsid w:val="00C119A6"/>
    <w:rsid w:val="00C21997"/>
    <w:rsid w:val="00C23828"/>
    <w:rsid w:val="00C30BB0"/>
    <w:rsid w:val="00C32F12"/>
    <w:rsid w:val="00C5343A"/>
    <w:rsid w:val="00C53524"/>
    <w:rsid w:val="00C5646C"/>
    <w:rsid w:val="00C60080"/>
    <w:rsid w:val="00C6027F"/>
    <w:rsid w:val="00C6259A"/>
    <w:rsid w:val="00C673B8"/>
    <w:rsid w:val="00C72FC4"/>
    <w:rsid w:val="00C74FD2"/>
    <w:rsid w:val="00C75836"/>
    <w:rsid w:val="00C76523"/>
    <w:rsid w:val="00C770BE"/>
    <w:rsid w:val="00C82230"/>
    <w:rsid w:val="00C90B3F"/>
    <w:rsid w:val="00C90DB6"/>
    <w:rsid w:val="00CA19FB"/>
    <w:rsid w:val="00CA339B"/>
    <w:rsid w:val="00CA347D"/>
    <w:rsid w:val="00CA5539"/>
    <w:rsid w:val="00CA5ABB"/>
    <w:rsid w:val="00CB5DDE"/>
    <w:rsid w:val="00CB5FC1"/>
    <w:rsid w:val="00CC5EB5"/>
    <w:rsid w:val="00CE103A"/>
    <w:rsid w:val="00CE2FA7"/>
    <w:rsid w:val="00CE3C1C"/>
    <w:rsid w:val="00CE71EA"/>
    <w:rsid w:val="00CF2938"/>
    <w:rsid w:val="00CF7733"/>
    <w:rsid w:val="00CF7CAF"/>
    <w:rsid w:val="00D001DD"/>
    <w:rsid w:val="00D00446"/>
    <w:rsid w:val="00D0475E"/>
    <w:rsid w:val="00D12D4F"/>
    <w:rsid w:val="00D144D5"/>
    <w:rsid w:val="00D164AF"/>
    <w:rsid w:val="00D1766D"/>
    <w:rsid w:val="00D317B8"/>
    <w:rsid w:val="00D31B4F"/>
    <w:rsid w:val="00D329E0"/>
    <w:rsid w:val="00D3368D"/>
    <w:rsid w:val="00D4016A"/>
    <w:rsid w:val="00D451C1"/>
    <w:rsid w:val="00D476F9"/>
    <w:rsid w:val="00D50248"/>
    <w:rsid w:val="00D51B82"/>
    <w:rsid w:val="00D5559D"/>
    <w:rsid w:val="00D57920"/>
    <w:rsid w:val="00D57D79"/>
    <w:rsid w:val="00D614C4"/>
    <w:rsid w:val="00D6157D"/>
    <w:rsid w:val="00D666C2"/>
    <w:rsid w:val="00D7385A"/>
    <w:rsid w:val="00D772B2"/>
    <w:rsid w:val="00D83C4D"/>
    <w:rsid w:val="00D85128"/>
    <w:rsid w:val="00D85336"/>
    <w:rsid w:val="00D8734D"/>
    <w:rsid w:val="00D94BBD"/>
    <w:rsid w:val="00DA1CAA"/>
    <w:rsid w:val="00DA21B1"/>
    <w:rsid w:val="00DA35BF"/>
    <w:rsid w:val="00DB39C3"/>
    <w:rsid w:val="00DC2491"/>
    <w:rsid w:val="00DC5379"/>
    <w:rsid w:val="00DD0482"/>
    <w:rsid w:val="00DD2F30"/>
    <w:rsid w:val="00DD309A"/>
    <w:rsid w:val="00DE301C"/>
    <w:rsid w:val="00DE4C5A"/>
    <w:rsid w:val="00DE4D27"/>
    <w:rsid w:val="00DE753F"/>
    <w:rsid w:val="00DF3971"/>
    <w:rsid w:val="00DF6DE6"/>
    <w:rsid w:val="00E01E65"/>
    <w:rsid w:val="00E026FC"/>
    <w:rsid w:val="00E036F4"/>
    <w:rsid w:val="00E043A5"/>
    <w:rsid w:val="00E05D42"/>
    <w:rsid w:val="00E103EF"/>
    <w:rsid w:val="00E151AC"/>
    <w:rsid w:val="00E16493"/>
    <w:rsid w:val="00E22261"/>
    <w:rsid w:val="00E22E72"/>
    <w:rsid w:val="00E23C21"/>
    <w:rsid w:val="00E260BE"/>
    <w:rsid w:val="00E27603"/>
    <w:rsid w:val="00E27A09"/>
    <w:rsid w:val="00E348A5"/>
    <w:rsid w:val="00E358D9"/>
    <w:rsid w:val="00E40836"/>
    <w:rsid w:val="00E41D4D"/>
    <w:rsid w:val="00E4292F"/>
    <w:rsid w:val="00E446F2"/>
    <w:rsid w:val="00E468CA"/>
    <w:rsid w:val="00E468D2"/>
    <w:rsid w:val="00E50918"/>
    <w:rsid w:val="00E56695"/>
    <w:rsid w:val="00E64010"/>
    <w:rsid w:val="00E7095A"/>
    <w:rsid w:val="00E7355E"/>
    <w:rsid w:val="00E74AC7"/>
    <w:rsid w:val="00E7583D"/>
    <w:rsid w:val="00E80CA0"/>
    <w:rsid w:val="00E831E5"/>
    <w:rsid w:val="00E87F43"/>
    <w:rsid w:val="00E91A1D"/>
    <w:rsid w:val="00E972FB"/>
    <w:rsid w:val="00EA29A7"/>
    <w:rsid w:val="00EA7D75"/>
    <w:rsid w:val="00EC0755"/>
    <w:rsid w:val="00EC1F40"/>
    <w:rsid w:val="00EC2937"/>
    <w:rsid w:val="00EC38C0"/>
    <w:rsid w:val="00EC4FFA"/>
    <w:rsid w:val="00EC6C8C"/>
    <w:rsid w:val="00EC7E7C"/>
    <w:rsid w:val="00ED06D8"/>
    <w:rsid w:val="00ED315E"/>
    <w:rsid w:val="00ED52FB"/>
    <w:rsid w:val="00ED59FE"/>
    <w:rsid w:val="00EE31E2"/>
    <w:rsid w:val="00EE54C7"/>
    <w:rsid w:val="00EE5513"/>
    <w:rsid w:val="00EE5761"/>
    <w:rsid w:val="00EE5AC5"/>
    <w:rsid w:val="00EF17AE"/>
    <w:rsid w:val="00EF3D5C"/>
    <w:rsid w:val="00EF542D"/>
    <w:rsid w:val="00EF7BC1"/>
    <w:rsid w:val="00F011B0"/>
    <w:rsid w:val="00F0134B"/>
    <w:rsid w:val="00F024EA"/>
    <w:rsid w:val="00F1113A"/>
    <w:rsid w:val="00F1166B"/>
    <w:rsid w:val="00F13B04"/>
    <w:rsid w:val="00F15EF9"/>
    <w:rsid w:val="00F23141"/>
    <w:rsid w:val="00F30C03"/>
    <w:rsid w:val="00F31C0E"/>
    <w:rsid w:val="00F358FD"/>
    <w:rsid w:val="00F44319"/>
    <w:rsid w:val="00F51A53"/>
    <w:rsid w:val="00F51DB3"/>
    <w:rsid w:val="00F53765"/>
    <w:rsid w:val="00F54938"/>
    <w:rsid w:val="00F551C7"/>
    <w:rsid w:val="00F603CB"/>
    <w:rsid w:val="00F61C8C"/>
    <w:rsid w:val="00F71EEF"/>
    <w:rsid w:val="00F72A96"/>
    <w:rsid w:val="00F76B76"/>
    <w:rsid w:val="00F83A8A"/>
    <w:rsid w:val="00F906CD"/>
    <w:rsid w:val="00F92838"/>
    <w:rsid w:val="00FA0506"/>
    <w:rsid w:val="00FA6EC0"/>
    <w:rsid w:val="00FB170C"/>
    <w:rsid w:val="00FB52A6"/>
    <w:rsid w:val="00FB73E4"/>
    <w:rsid w:val="00FB780C"/>
    <w:rsid w:val="00FC1331"/>
    <w:rsid w:val="00FC3DC4"/>
    <w:rsid w:val="00FC4F39"/>
    <w:rsid w:val="00FD52CD"/>
    <w:rsid w:val="00FD536C"/>
    <w:rsid w:val="00FE0D03"/>
    <w:rsid w:val="00FE1DCC"/>
    <w:rsid w:val="00FE223F"/>
    <w:rsid w:val="00FE44C4"/>
    <w:rsid w:val="00FF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CAF4C4"/>
  <w15:chartTrackingRefBased/>
  <w15:docId w15:val="{4252076E-A665-49BD-AC94-25E3F68AB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6570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502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50248"/>
  </w:style>
  <w:style w:type="paragraph" w:styleId="Rodap">
    <w:name w:val="footer"/>
    <w:basedOn w:val="Normal"/>
    <w:link w:val="RodapChar"/>
    <w:uiPriority w:val="99"/>
    <w:unhideWhenUsed/>
    <w:rsid w:val="00D502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50248"/>
  </w:style>
  <w:style w:type="paragraph" w:customStyle="1" w:styleId="xmsonormal">
    <w:name w:val="x_msonormal"/>
    <w:basedOn w:val="Normal"/>
    <w:rsid w:val="00941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41A4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41A40"/>
    <w:rPr>
      <w:b/>
      <w:bCs/>
    </w:rPr>
  </w:style>
  <w:style w:type="character" w:styleId="nfase">
    <w:name w:val="Emphasis"/>
    <w:basedOn w:val="Fontepargpadro"/>
    <w:uiPriority w:val="20"/>
    <w:qFormat/>
    <w:rsid w:val="00941A4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96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A0A6F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A0A6F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A0A6F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DA1CAA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DA1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7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69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986412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CF2A6-90BF-4439-950C-7F36EA4D7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</Pages>
  <Words>274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cp:keywords/>
  <dc:description/>
  <cp:lastModifiedBy>USUARIO</cp:lastModifiedBy>
  <cp:revision>195</cp:revision>
  <dcterms:created xsi:type="dcterms:W3CDTF">2023-04-25T19:13:00Z</dcterms:created>
  <dcterms:modified xsi:type="dcterms:W3CDTF">2025-12-12T17:33:00Z</dcterms:modified>
</cp:coreProperties>
</file>