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b/>
          <w:sz w:val="28"/>
        </w:rPr>
        <w:t>ROTEIRO DE SUSTENTAÇÃO ORAL</w:t>
      </w:r>
    </w:p>
    <w:p>
      <w:r>
        <w:rPr>
          <w:b/>
        </w:rPr>
        <w:t>AGRAVO DE INSTRUMENTO Nº 0010028-43.2026.8.27.2700/TO</w:t>
      </w:r>
    </w:p>
    <w:p>
      <w:r>
        <w:rPr>
          <w:b/>
        </w:rPr>
        <w:t>5ª Turma da 1ª Câmara Cível — TJTO | Relatora: Desa. Silvana Maria Parfieniuk</w:t>
      </w:r>
    </w:p>
    <w:p>
      <w:r>
        <w:rPr>
          <w:b/>
        </w:rPr>
        <w:t>Sessão: 16/09/2026 | Sustentante: Dr. Paulo Izidio da Silva Rezende — OAB/TO 5.168</w:t>
      </w:r>
    </w:p>
    <w:p>
      <w:r>
        <w:rPr>
          <w:b/>
        </w:rPr>
        <w:t>Posição: AGRAVADA — MAGNÓLIA RODRIGUES COSTA (fala DEPOIS do agravante)</w:t>
      </w:r>
    </w:p>
    <w:p>
      <w:pPr>
        <w:spacing w:line="240" w:lineRule="auto" w:after="120"/>
        <w:ind w:left="1134"/>
      </w:pPr>
      <w:r>
        <w:rPr>
          <w:b/>
          <w:sz w:val="22"/>
        </w:rPr>
        <w:t>Tempos:</w:t>
      </w:r>
      <w:r>
        <w:rPr>
          <w:sz w:val="22"/>
        </w:rPr>
        <w:t xml:space="preserve"> 15 min (sessão presencial física) · 8 min prorrogáveis até 15 (videoconferência) — RITJTO, art. 104.</w:t>
      </w:r>
    </w:p>
    <w:p>
      <w:pPr>
        <w:spacing w:line="240" w:lineRule="auto" w:after="120"/>
        <w:ind w:left="1134"/>
      </w:pPr>
      <w:r>
        <w:rPr>
          <w:b/>
          <w:sz w:val="22"/>
        </w:rPr>
        <w:t>Roteiro principal calibrado para 12 min efetivos.</w:t>
      </w:r>
      <w:r>
        <w:rPr>
          <w:sz w:val="22"/>
        </w:rPr>
        <w:t xml:space="preserve"> Versão compacta de 8 min ao final.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center"/>
      </w:pPr>
      <w:r>
        <w:rPr>
          <w:b/>
          <w:sz w:val="28"/>
        </w:rPr>
        <w:t>🚨 ADVERTÊNCIA ESTRATÉGICA — LEIA ANTES DE TUDO</w:t>
      </w:r>
    </w:p>
    <w:p>
      <w:r>
        <w:t xml:space="preserve">A leitura integral dos autos mudou a estratégia. </w:t>
      </w:r>
      <w:r>
        <w:rPr>
          <w:b/>
        </w:rPr>
        <w:t>NÃO peça ao Tribunal que reconheça o crédito de R$ 202.974,70 da Fazenda Palmeira.</w:t>
      </w:r>
    </w:p>
    <w:p>
      <w:r>
        <w:t xml:space="preserve">Motivo: a prestação de contas do evento 347 traz contabilidade </w:t>
      </w:r>
      <w:r>
        <w:rPr>
          <w:b/>
        </w:rPr>
        <w:t>fechada</w:t>
      </w:r>
      <w:r>
        <w:t xml:space="preserve"> (espólio líquido de R$ 7.395.878,73 → quinhão de R$ 284.456,87 por herdeiro), os alvarás de 2018 mostram que os herdeiros bilaterais receberam </w:t>
      </w:r>
      <w:r>
        <w:rPr>
          <w:b/>
        </w:rPr>
        <w:t>R$ 41.394,80 cada</w:t>
      </w:r>
      <w:r>
        <w:t xml:space="preserve"> — e a nossa cliente recebeu exatamente isso (</w:t>
      </w:r>
      <w:r>
        <w:rPr>
          <w:b/>
        </w:rPr>
        <w:t>R$ 6.394,80 em dinheiro + trator adjudicado por R$ 35.000,00</w:t>
      </w:r>
      <w:r>
        <w:t xml:space="preserve">) —, e há </w:t>
      </w:r>
      <w:r>
        <w:rPr>
          <w:b/>
        </w:rPr>
        <w:t>acordo homologado com resolução de mérito</w:t>
      </w:r>
      <w:r>
        <w:t xml:space="preserve"> nos autos nº 0009192-87.2015.827.2722 </w:t>
      </w:r>
      <w:r>
        <w:rPr>
          <w:b/>
        </w:rPr>
        <w:t>do qual ela é parte nomeada</w:t>
      </w:r>
      <w:r>
        <w:t xml:space="preserve">. Se o Colegiado entrar nessa aritmética, tende a </w:t>
      </w:r>
      <w:r>
        <w:rPr>
          <w:b/>
        </w:rPr>
        <w:t>dar provimento</w:t>
      </w:r>
      <w:r>
        <w:t xml:space="preserve"> ao agravo.</w:t>
      </w:r>
    </w:p>
    <w:p>
      <w:r>
        <w:rPr>
          <w:b/>
        </w:rPr>
        <w:t>Nossa vitória é processual, não contábil.</w:t>
      </w:r>
      <w:r>
        <w:t xml:space="preserve"> O objetivo é que o Tribunal </w:t>
      </w:r>
      <w:r>
        <w:rPr>
          <w:b/>
        </w:rPr>
        <w:t>não decida</w:t>
      </w:r>
      <w:r>
        <w:t xml:space="preserve"> esse ponto e devolva tudo ao Juízo de origem, onde os autos já estão conclusos.</w:t>
      </w:r>
    </w:p>
    <w:p>
      <w:r>
        <w:rPr>
          <w:b/>
        </w:rPr>
        <w:t>Se o patrono contrário levar os alvarás à tribuna, a resposta é uma só:</w:t>
      </w:r>
      <w:r>
        <w:t xml:space="preserve"> </w:t>
      </w:r>
      <w:r>
        <w:rPr>
          <w:i/>
        </w:rPr>
        <w:t>"Excelência, esse é exatamente o debate que está concluso na mesa do Juiz de primeiro grau desde 31 de julho. Não é matéria deste recurso."</w:t>
      </w:r>
      <w:r>
        <w:t xml:space="preserve"> </w:t>
      </w:r>
      <w:r>
        <w:rPr>
          <w:b/>
        </w:rPr>
        <w:t>Não entre no mérito contábil.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⚑ A TESE EM UMA FRASE (decore esta)</w:t>
      </w:r>
    </w:p>
    <w:p>
      <w:pPr>
        <w:spacing w:line="240" w:lineRule="auto" w:after="120"/>
        <w:ind w:left="1134"/>
      </w:pPr>
      <w:r>
        <w:rPr>
          <w:i/>
          <w:sz w:val="22"/>
        </w:rPr>
        <w:t>"O agravante pede a este Tribunal que decida hoje aquilo que o Juízo de origem disse que ainda vai decidir — e pede com base em uma tese que ele mesmo deixou precluir quando, na apelação, discutiu apenas honorários."</w:t>
      </w:r>
    </w:p>
    <w:p>
      <w:pPr>
        <w:spacing w:before="240" w:after="120"/>
        <w:jc w:val="left"/>
      </w:pPr>
      <w:r>
        <w:rPr>
          <w:b/>
          <w:sz w:val="25"/>
        </w:rPr>
        <w:t>⚑ O PEDIDO EM UMA FRASE</w:t>
      </w:r>
    </w:p>
    <w:p>
      <w:pPr>
        <w:spacing w:line="240" w:lineRule="auto" w:after="120"/>
        <w:ind w:left="1134"/>
      </w:pPr>
      <w:r>
        <w:rPr>
          <w:i/>
          <w:sz w:val="22"/>
        </w:rPr>
        <w:t>"Não conhecimento por perda superveniente de objeto; subsidiariamente, desprovimento, com ressalva expressa de que nada se prejulga quanto às contas e ao valor."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BLOCO 0 — ABERTURA (40 segundos)</w:t>
      </w:r>
    </w:p>
    <w:p>
      <w:pPr>
        <w:spacing w:line="240" w:lineRule="auto" w:after="120"/>
        <w:ind w:left="1134"/>
      </w:pPr>
      <w:r>
        <w:rPr>
          <w:sz w:val="22"/>
        </w:rPr>
        <w:t>"Excelentíssima Senhora Desembargadora Relatora, Excelentíssimos Desembargadores, ilustre representante do Ministério Público, senhores advogados.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Paulo Izidio da Silva Rezende, OAB/TO 5.168</w:t>
      </w:r>
      <w:r>
        <w:rPr>
          <w:sz w:val="22"/>
        </w:rPr>
        <w:t xml:space="preserve">, pela agravada </w:t>
      </w:r>
      <w:r>
        <w:rPr>
          <w:b/>
          <w:sz w:val="22"/>
        </w:rPr>
        <w:t>Magnólia Rodrigues Costa</w:t>
      </w:r>
      <w:r>
        <w:rPr>
          <w:sz w:val="22"/>
        </w:rPr>
        <w:t>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Excelências, esta causa tem uma data que explica tudo: </w:t>
      </w:r>
      <w:r>
        <w:rPr>
          <w:b/>
          <w:sz w:val="22"/>
        </w:rPr>
        <w:t>27 de abril de 2015</w:t>
      </w:r>
      <w:r>
        <w:rPr>
          <w:sz w:val="22"/>
        </w:rPr>
        <w:t xml:space="preserve">. Foi quando se lavrou a escritura de inventário e partilha do espólio de Aquiles Gonçalves Arruda. </w:t>
      </w:r>
      <w:r>
        <w:rPr>
          <w:b/>
          <w:sz w:val="22"/>
        </w:rPr>
        <w:t>Onze anos depois</w:t>
      </w:r>
      <w:r>
        <w:rPr>
          <w:sz w:val="22"/>
        </w:rPr>
        <w:t>, minha constituinte — herdeira de 7,14% — ainda não recebeu a sua parte, e o inventariante ainda não prestou as contas a que foi condenado.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>Peço a Vossas Excelências atenção para três pontos, e todos eles são processuais."</w:t>
      </w:r>
    </w:p>
    <w:p>
      <w:r>
        <w:rPr>
          <w:i/>
        </w:rPr>
        <w:t>(Respirar. Olhar para a Relatora.)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BLOCO 1 — O RECURSO PERDEU O OBJETO (3 min 30) ★ PONTO MAIS FORTE</w:t>
      </w:r>
    </w:p>
    <w:p>
      <w:pPr>
        <w:spacing w:line="240" w:lineRule="auto" w:after="120"/>
        <w:ind w:left="1134"/>
      </w:pPr>
      <w:r>
        <w:rPr>
          <w:sz w:val="22"/>
        </w:rPr>
        <w:t>"</w:t>
      </w:r>
      <w:r>
        <w:rPr>
          <w:b/>
          <w:sz w:val="22"/>
        </w:rPr>
        <w:t>Primeiro ponto: este recurso, no seu pedido central, perdeu o objeto.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>O agravante pede — é o item 'c' das razões — que este Tribunal 'exclua a suposta supressão de quinhão sobre o valor da venda da Fazenda Palmeira'.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Só que a decisão agravada não decidiu isso.</w:t>
      </w:r>
      <w:r>
        <w:rPr>
          <w:sz w:val="22"/>
        </w:rPr>
        <w:t xml:space="preserve"> Leio o dispositivo do evento 325: não conheceu matérias preclusas; rejeitou o excesso de execução por falta de demonstrativo; reconheceu a adjudicação do trator como pagamento parcial; afastou a má-fé; mandou prestar contas; determinou o prosseguimento. </w:t>
      </w:r>
      <w:r>
        <w:rPr>
          <w:b/>
          <w:sz w:val="22"/>
        </w:rPr>
        <w:t>Não condenou a pagar valor nenhum. Não homologou planilha. Não designou leilão.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E não é interpretação minha, Excelências — </w:t>
      </w:r>
      <w:r>
        <w:rPr>
          <w:b/>
          <w:sz w:val="22"/>
        </w:rPr>
        <w:t>o Juiz disse expressamente que deixaria esse ponto para depois.</w:t>
      </w:r>
      <w:r>
        <w:rPr>
          <w:sz w:val="22"/>
        </w:rPr>
        <w:t xml:space="preserve"> No evento 290, de 27 de fevereiro de 2026, escreveu: </w:t>
      </w:r>
      <w:r>
        <w:rPr>
          <w:i/>
          <w:sz w:val="22"/>
        </w:rPr>
        <w:t>'No que se refere aos pedidos de alienação judicial dos bens, prestação de contas pelo inventariante e</w:t>
      </w:r>
      <w:r>
        <w:rPr>
          <w:sz w:val="22"/>
        </w:rPr>
        <w:t xml:space="preserve"> </w:t>
      </w:r>
      <w:r>
        <w:rPr>
          <w:b/>
          <w:i/>
          <w:sz w:val="22"/>
        </w:rPr>
        <w:t>pagamento do quinhão decorrente da venda do imóvel rural denominado Fazenda Palmeira, deixo para apreciação após o decurso do prazo</w:t>
      </w:r>
      <w:r>
        <w:rPr>
          <w:i/>
          <w:sz w:val="22"/>
        </w:rPr>
        <w:t>…'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>E depois da interposição deste agravo o quadro andou: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— </w:t>
      </w:r>
      <w:r>
        <w:rPr>
          <w:b/>
          <w:sz w:val="22"/>
        </w:rPr>
        <w:t>Evento 347</w:t>
      </w:r>
      <w:r>
        <w:rPr>
          <w:sz w:val="22"/>
        </w:rPr>
        <w:t>: o agravante apresentou a prestação de contas.</w:t>
      </w:r>
    </w:p>
    <w:p>
      <w:pPr>
        <w:spacing w:line="240" w:lineRule="auto" w:after="120"/>
        <w:ind w:left="1134"/>
      </w:pPr>
      <w:r>
        <w:rPr>
          <w:sz w:val="22"/>
        </w:rPr>
        <w:t xml:space="preserve">— </w:t>
      </w:r>
      <w:r>
        <w:rPr>
          <w:b/>
          <w:sz w:val="22"/>
        </w:rPr>
        <w:t>Evento 348, de 8 de julho de 2026</w:t>
      </w:r>
      <w:r>
        <w:rPr>
          <w:sz w:val="22"/>
        </w:rPr>
        <w:t xml:space="preserve">: o Juízo determinou o contraditório e disse o que vai decidir. Cito: </w:t>
      </w:r>
      <w:r>
        <w:rPr>
          <w:i/>
          <w:sz w:val="22"/>
        </w:rPr>
        <w:t>'da suficiência da prestação de contas apresentada'</w:t>
      </w:r>
      <w:r>
        <w:rPr>
          <w:sz w:val="22"/>
        </w:rPr>
        <w:t xml:space="preserve"> e — palavras do Magistrado — </w:t>
      </w:r>
      <w:r>
        <w:rPr>
          <w:b/>
          <w:i/>
          <w:sz w:val="22"/>
        </w:rPr>
        <w:t>'dos pedidos de prosseguimento da execução formulados pela exequente, inclusive quanto à alienação judicial dos bens penhorados'</w:t>
      </w:r>
      <w:r>
        <w:rPr>
          <w:sz w:val="22"/>
        </w:rPr>
        <w:t>.</w:t>
      </w:r>
    </w:p>
    <w:p>
      <w:pPr>
        <w:spacing w:line="240" w:lineRule="auto" w:after="120"/>
        <w:ind w:left="1134"/>
      </w:pPr>
      <w:r>
        <w:rPr>
          <w:sz w:val="22"/>
        </w:rPr>
        <w:t xml:space="preserve">— </w:t>
      </w:r>
      <w:r>
        <w:rPr>
          <w:b/>
          <w:sz w:val="22"/>
        </w:rPr>
        <w:t>Evento 352</w:t>
      </w:r>
      <w:r>
        <w:rPr>
          <w:sz w:val="22"/>
        </w:rPr>
        <w:t>, em 30 de julho: replicamos.</w:t>
      </w:r>
    </w:p>
    <w:p>
      <w:pPr>
        <w:spacing w:line="240" w:lineRule="auto" w:after="120"/>
        <w:ind w:left="1134"/>
      </w:pPr>
      <w:r>
        <w:rPr>
          <w:sz w:val="22"/>
        </w:rPr>
        <w:t xml:space="preserve">— </w:t>
      </w:r>
      <w:r>
        <w:rPr>
          <w:b/>
          <w:sz w:val="22"/>
        </w:rPr>
        <w:t>Evento 353</w:t>
      </w:r>
      <w:r>
        <w:rPr>
          <w:sz w:val="22"/>
        </w:rPr>
        <w:t xml:space="preserve">, em 31 de julho: </w:t>
      </w:r>
      <w:r>
        <w:rPr>
          <w:b/>
          <w:sz w:val="22"/>
        </w:rPr>
        <w:t>conclusos para decisão</w:t>
      </w:r>
      <w:r>
        <w:rPr>
          <w:sz w:val="22"/>
        </w:rPr>
        <w:t>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Vale dizer: </w:t>
      </w:r>
      <w:r>
        <w:rPr>
          <w:b/>
          <w:sz w:val="22"/>
        </w:rPr>
        <w:t>a exata controvérsia que o agravante quer ver resolvida aqui está, neste momento, concluso na mesa do Juiz de primeiro grau.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Julgá-la agora seria </w:t>
      </w:r>
      <w:r>
        <w:rPr>
          <w:b/>
          <w:sz w:val="22"/>
        </w:rPr>
        <w:t>suprimir um grau de jurisdição</w:t>
      </w:r>
      <w:r>
        <w:rPr>
          <w:sz w:val="22"/>
        </w:rPr>
        <w:t xml:space="preserve"> e </w:t>
      </w:r>
      <w:r>
        <w:rPr>
          <w:b/>
          <w:sz w:val="22"/>
        </w:rPr>
        <w:t>prejulgar</w:t>
      </w:r>
      <w:r>
        <w:rPr>
          <w:sz w:val="22"/>
        </w:rPr>
        <w:t xml:space="preserve"> a suficiência de uma prestação de contas cuja análise ainda nem começou.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E não há urgência alguma: a liminar do evento 7 já suspendeu os atos expropriatórios, e o Juízo </w:t>
      </w:r>
      <w:r>
        <w:rPr>
          <w:b/>
          <w:sz w:val="22"/>
        </w:rPr>
        <w:t>não designou leilão</w:t>
      </w:r>
      <w:r>
        <w:rPr>
          <w:sz w:val="22"/>
        </w:rPr>
        <w:t xml:space="preserve">. </w:t>
      </w:r>
      <w:r>
        <w:rPr>
          <w:b/>
          <w:sz w:val="22"/>
        </w:rPr>
        <w:t>O risco que o agravante alegou não existe mais.</w:t>
      </w:r>
      <w:r>
        <w:rPr>
          <w:sz w:val="22"/>
        </w:rPr>
        <w:t>"</w:t>
      </w:r>
    </w:p>
    <w:p>
      <w:r>
        <w:rPr>
          <w:b/>
        </w:rPr>
        <w:t>🔑 Fecho do bloco:</w:t>
      </w:r>
    </w:p>
    <w:p>
      <w:pPr>
        <w:spacing w:line="240" w:lineRule="auto" w:after="120"/>
        <w:ind w:left="1134"/>
      </w:pPr>
      <w:r>
        <w:rPr>
          <w:i/>
          <w:sz w:val="22"/>
        </w:rPr>
        <w:t>"Por isso o pedido principal da agravada é o não conhecimento do recurso, nesse ponto, por perda superveniente de objeto."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BLOCO 2 — A PRECLUSÃO É DELE, E QUEM CERTIFICOU FOI O JUIZ (3 min) ★ O ARGUMENTO QUE VIRA O JOGO</w:t>
      </w:r>
    </w:p>
    <w:p>
      <w:pPr>
        <w:spacing w:line="240" w:lineRule="auto" w:after="120"/>
        <w:ind w:left="1134"/>
      </w:pPr>
      <w:r>
        <w:rPr>
          <w:sz w:val="22"/>
        </w:rPr>
        <w:t>"</w:t>
      </w:r>
      <w:r>
        <w:rPr>
          <w:b/>
          <w:sz w:val="22"/>
        </w:rPr>
        <w:t>Segundo ponto.</w:t>
      </w:r>
      <w:r>
        <w:rPr>
          <w:sz w:val="22"/>
        </w:rPr>
        <w:t xml:space="preserve"> O agravante diz, do início ao fim do recurso, que </w:t>
      </w:r>
      <w:r>
        <w:rPr>
          <w:b/>
          <w:sz w:val="22"/>
        </w:rPr>
        <w:t>nós</w:t>
      </w:r>
      <w:r>
        <w:rPr>
          <w:sz w:val="22"/>
        </w:rPr>
        <w:t xml:space="preserve"> estaríamos afrontando a coisa julgada. A realidade dos autos é a oposta.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Ele </w:t>
      </w:r>
      <w:r>
        <w:rPr>
          <w:b/>
          <w:sz w:val="22"/>
        </w:rPr>
        <w:t>apelou</w:t>
      </w:r>
      <w:r>
        <w:rPr>
          <w:sz w:val="22"/>
        </w:rPr>
        <w:t xml:space="preserve"> da sentença do evento 137. Tinha ali — e só ali — a oportunidade de dizer que o título não alcançava a Fazenda Palmeira, que a condenação se limitava aos imóveis urbanos, que a prestação de contas não abrangia o produto da venda de bens do acervo.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Não disse uma palavra sobre nada disso.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E, Excelências, não preciso pedir que acreditem em mim. </w:t>
      </w:r>
      <w:r>
        <w:rPr>
          <w:b/>
          <w:sz w:val="22"/>
        </w:rPr>
        <w:t>Quem certificou isso foi o próprio Juízo de origem.</w:t>
      </w:r>
      <w:r>
        <w:rPr>
          <w:sz w:val="22"/>
        </w:rPr>
        <w:t xml:space="preserve"> Na sentença do evento 156 dos autos nº 0006601-11.2022.8.27.2722 — ação conexa, mesmas partes, mesmos imóveis — o Magistrado Nilson Afonso da Silva registrou, textualmente: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&gt; </w:t>
      </w:r>
      <w:r>
        <w:rPr>
          <w:b/>
          <w:i/>
          <w:sz w:val="22"/>
        </w:rPr>
        <w:t>'Registro que embora o requerido tenha apelado da decisão, o objeto do apelo se limitou à condenação sucumbencial, tendo a sentença transitado em julgado em 14/06/2024.'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No mesmo sentido, o relatório do eminente Desembargador Helvécio de Brito Maia Neto, no evento 8 daquela apelação: </w:t>
      </w:r>
      <w:r>
        <w:rPr>
          <w:i/>
          <w:sz w:val="22"/>
        </w:rPr>
        <w:t>'No presente apelo o recorrente</w:t>
      </w:r>
      <w:r>
        <w:rPr>
          <w:sz w:val="22"/>
        </w:rPr>
        <w:t xml:space="preserve"> </w:t>
      </w:r>
      <w:r>
        <w:rPr>
          <w:b/>
          <w:i/>
          <w:sz w:val="22"/>
        </w:rPr>
        <w:t>questiona apenas a sua condenação ao pagamento dos honorários de sucumbência</w:t>
      </w:r>
      <w:r>
        <w:rPr>
          <w:i/>
          <w:sz w:val="22"/>
        </w:rPr>
        <w:t>.'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O apelo foi </w:t>
      </w:r>
      <w:r>
        <w:rPr>
          <w:b/>
          <w:sz w:val="22"/>
        </w:rPr>
        <w:t>desprovido por unanimidade em 8 de maio de 2024</w:t>
      </w:r>
      <w:r>
        <w:rPr>
          <w:sz w:val="22"/>
        </w:rPr>
        <w:t xml:space="preserve">, com majoração dos honorários para 12%, e a sentença transitou em julgado </w:t>
      </w:r>
      <w:r>
        <w:rPr>
          <w:b/>
          <w:sz w:val="22"/>
        </w:rPr>
        <w:t>inteira e sem ressalva</w:t>
      </w:r>
      <w:r>
        <w:rPr>
          <w:sz w:val="22"/>
        </w:rPr>
        <w:t xml:space="preserve"> em </w:t>
      </w:r>
      <w:r>
        <w:rPr>
          <w:b/>
          <w:sz w:val="22"/>
        </w:rPr>
        <w:t>14 de junho de 2024</w:t>
      </w:r>
      <w:r>
        <w:rPr>
          <w:sz w:val="22"/>
        </w:rPr>
        <w:t>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O artigo 508 do Código de Processo Civil diz que, transitada em julgado a decisão de mérito, </w:t>
      </w:r>
      <w:r>
        <w:rPr>
          <w:b/>
          <w:sz w:val="22"/>
        </w:rPr>
        <w:t>consideram-se deduzidas e repelidas todas as alegações que a parte poderia opor</w:t>
      </w:r>
      <w:r>
        <w:rPr>
          <w:sz w:val="22"/>
        </w:rPr>
        <w:t>. É exatamente este caso."</w:t>
      </w:r>
    </w:p>
    <w:p>
      <w:r>
        <w:rPr>
          <w:b/>
        </w:rPr>
        <w:t>🔑 Fecho do bloco:</w:t>
      </w:r>
    </w:p>
    <w:p>
      <w:pPr>
        <w:spacing w:line="240" w:lineRule="auto" w:after="120"/>
        <w:ind w:left="1134"/>
      </w:pPr>
      <w:r>
        <w:rPr>
          <w:i/>
          <w:sz w:val="22"/>
        </w:rPr>
        <w:t>"A preclusão, nestes autos, opera contra o agravante — não contra a herdeira que espera há onze anos."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BLOCO 3 — A EXTENSÃO DO TÍTULO JÁ FOI FIXADA — E PELO PRÓPRIO JUÍZO (2 min 30) ★ TRUNFO NOVO</w:t>
      </w:r>
    </w:p>
    <w:p>
      <w:pPr>
        <w:spacing w:line="240" w:lineRule="auto" w:after="120"/>
        <w:ind w:left="1134"/>
      </w:pPr>
      <w:r>
        <w:rPr>
          <w:sz w:val="22"/>
        </w:rPr>
        <w:t>"</w:t>
      </w:r>
      <w:r>
        <w:rPr>
          <w:b/>
          <w:sz w:val="22"/>
        </w:rPr>
        <w:t>Terceiro ponto</w:t>
      </w:r>
      <w:r>
        <w:rPr>
          <w:sz w:val="22"/>
        </w:rPr>
        <w:t>, Excelências, e aqui trago aos autos um elemento que talvez não tenha chegado ao gabinete com o destaque que merece.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Paralelamente à ação da minha constituinte, a viúva meeira e outros herdeiros ajuizaram a ação nº </w:t>
      </w:r>
      <w:r>
        <w:rPr>
          <w:b/>
          <w:sz w:val="22"/>
        </w:rPr>
        <w:t>0006601-11.2022</w:t>
      </w:r>
      <w:r>
        <w:rPr>
          <w:sz w:val="22"/>
        </w:rPr>
        <w:t xml:space="preserve">, também de extinção de condomínio, sobre quatro imóveis — </w:t>
      </w:r>
      <w:r>
        <w:rPr>
          <w:b/>
          <w:sz w:val="22"/>
        </w:rPr>
        <w:t>inclusive o lote urbano de Formoso do Araguaia</w:t>
      </w:r>
      <w:r>
        <w:rPr>
          <w:sz w:val="22"/>
        </w:rPr>
        <w:t xml:space="preserve">. Os feitos chegaram a ser </w:t>
      </w:r>
      <w:r>
        <w:rPr>
          <w:b/>
          <w:sz w:val="22"/>
        </w:rPr>
        <w:t>reunidos para julgamento conjunto</w:t>
      </w:r>
      <w:r>
        <w:rPr>
          <w:sz w:val="22"/>
        </w:rPr>
        <w:t xml:space="preserve"> em maio de 2023.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Pois bem: ao julgar aquela ação, na sentença do </w:t>
      </w:r>
      <w:r>
        <w:rPr>
          <w:b/>
          <w:sz w:val="22"/>
        </w:rPr>
        <w:t>evento 156</w:t>
      </w:r>
      <w:r>
        <w:rPr>
          <w:sz w:val="22"/>
        </w:rPr>
        <w:t xml:space="preserve">, o mesmo Magistrado </w:t>
      </w:r>
      <w:r>
        <w:rPr>
          <w:b/>
          <w:sz w:val="22"/>
        </w:rPr>
        <w:t>extinguiu-a por perda de objeto</w:t>
      </w:r>
      <w:r>
        <w:rPr>
          <w:sz w:val="22"/>
        </w:rPr>
        <w:t>, com esta fundamentação: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&gt; </w:t>
      </w:r>
      <w:r>
        <w:rPr>
          <w:b/>
          <w:i/>
          <w:sz w:val="22"/>
        </w:rPr>
        <w:t>'Conforme acima transcrito a referida sentença já determinou a alienação judicial dos imóveis urbanos que compõem a partilha do espólio, descritos na escritura pública de inventário e partilha do espólio de Aquiles Gonçalves Arruda, com prévia avaliação pericial, sendo inquestionável a perda do objeto do presente feito.'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Ou seja, Excelências: </w:t>
      </w:r>
      <w:r>
        <w:rPr>
          <w:b/>
          <w:sz w:val="22"/>
        </w:rPr>
        <w:t>o Juízo de origem já interpretou o título — e o interpretou de forma ampla</w:t>
      </w:r>
      <w:r>
        <w:rPr>
          <w:sz w:val="22"/>
        </w:rPr>
        <w:t>, como abrangente de todos os imóveis urbanos descritos na escritura de partilha, onde quer que estejam. E extraiu daí consequência definitiva: extinguiu outra ação.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O agravante não recorreu daquela sentença.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Acrescento apenas, e sem pedir que Vossas Excelências decidam nada sobre isso, que a </w:t>
      </w:r>
      <w:r>
        <w:rPr>
          <w:b/>
          <w:sz w:val="22"/>
        </w:rPr>
        <w:t>Fazenda Palmeira consta da mesma escritura de partilha</w:t>
      </w:r>
      <w:r>
        <w:rPr>
          <w:sz w:val="22"/>
        </w:rPr>
        <w:t xml:space="preserve">: a matrícula 6.631 de Formoso do Araguaia, no R-9 de abril de 2015, registra minha constituinte com </w:t>
      </w:r>
      <w:r>
        <w:rPr>
          <w:b/>
          <w:sz w:val="22"/>
        </w:rPr>
        <w:t>7,14%</w:t>
      </w:r>
      <w:r>
        <w:rPr>
          <w:sz w:val="22"/>
        </w:rPr>
        <w:t xml:space="preserve"> daquele imóvel. Discutir a destinação do produto daquele bem, portanto, </w:t>
      </w:r>
      <w:r>
        <w:rPr>
          <w:b/>
          <w:sz w:val="22"/>
        </w:rPr>
        <w:t>não é matéria estranha ao título</w:t>
      </w:r>
      <w:r>
        <w:rPr>
          <w:sz w:val="22"/>
        </w:rPr>
        <w:t xml:space="preserve"> — é matéria da prestação de contas que o próprio título impôs. E que está sendo examinada no primeiro grau."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BLOCO 4 — O EXCESSO DE EXECUÇÃO: REFORMA IMPOSSÍVEL (1 min 30)</w:t>
      </w:r>
    </w:p>
    <w:p>
      <w:pPr>
        <w:spacing w:line="240" w:lineRule="auto" w:after="120"/>
        <w:ind w:left="1134"/>
      </w:pPr>
      <w:r>
        <w:rPr>
          <w:sz w:val="22"/>
        </w:rPr>
        <w:t>"</w:t>
      </w:r>
      <w:r>
        <w:rPr>
          <w:b/>
          <w:sz w:val="22"/>
        </w:rPr>
        <w:t>Excelências, o capítulo em que a reforma é juridicamente impossível.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O artigo 525, § 4º, do CPC exige que quem alega excesso de execução </w:t>
      </w:r>
      <w:r>
        <w:rPr>
          <w:b/>
          <w:sz w:val="22"/>
        </w:rPr>
        <w:t>declare o valor que entende correto e apresente demonstrativo discriminado e atualizado</w:t>
      </w:r>
      <w:r>
        <w:rPr>
          <w:sz w:val="22"/>
        </w:rPr>
        <w:t xml:space="preserve">. E o § 5º é categórico: não apresentado o demonstrativo, a alegação </w:t>
      </w:r>
      <w:r>
        <w:rPr>
          <w:b/>
          <w:sz w:val="22"/>
        </w:rPr>
        <w:t>'será rejeitada liminarmente, devendo a execução prosseguir pelo valor indicado pelo exequente'</w:t>
      </w:r>
      <w:r>
        <w:rPr>
          <w:sz w:val="22"/>
        </w:rPr>
        <w:t>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>Norma cogente. Não admite mitigação.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O agravante </w:t>
      </w:r>
      <w:r>
        <w:rPr>
          <w:b/>
          <w:sz w:val="22"/>
        </w:rPr>
        <w:t>não apresentou demonstrativo na impugnação do evento 309. Não apresentou nas razões do agravo. Não apresentou até hoje.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E — peço vênia para o registro — </w:t>
      </w:r>
      <w:r>
        <w:rPr>
          <w:b/>
          <w:sz w:val="22"/>
        </w:rPr>
        <w:t>o recurso sequer enfrenta esse fundamento</w:t>
      </w:r>
      <w:r>
        <w:rPr>
          <w:sz w:val="22"/>
        </w:rPr>
        <w:t>. Repete o discurso da extrapolação do título e passa ao largo do requisito legal cuja ausência motivou a rejeição.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Esta Corte já decidiu exatamente assim, em acórdão da relatoria do Desembargador Helvécio de Brito Maia Neto — Agravo de Instrumento 0010192-13.2023, julgado em 22/11/2023: </w:t>
      </w:r>
      <w:r>
        <w:rPr>
          <w:i/>
          <w:sz w:val="22"/>
        </w:rPr>
        <w:t>'a simples impugnação genérica a cálculos apresentados pelo exequente não se revela suficiente para reconhecimento de excesso de execução'</w:t>
      </w:r>
      <w:r>
        <w:rPr>
          <w:sz w:val="22"/>
        </w:rPr>
        <w:t>."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left"/>
      </w:pPr>
      <w:r>
        <w:rPr>
          <w:b/>
          <w:sz w:val="25"/>
        </w:rPr>
        <w:t>BLOCO 5 — FECHAMENTO E PEDIDO (1 min 30)</w:t>
      </w:r>
    </w:p>
    <w:p>
      <w:pPr>
        <w:spacing w:line="240" w:lineRule="auto" w:after="120"/>
        <w:ind w:left="1134"/>
      </w:pPr>
      <w:r>
        <w:rPr>
          <w:sz w:val="22"/>
        </w:rPr>
        <w:t>"Excelências, para concluir.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Há um ponto nestes autos que ninguém discute — nem o agravante. </w:t>
      </w:r>
      <w:r>
        <w:rPr>
          <w:b/>
          <w:sz w:val="22"/>
        </w:rPr>
        <w:t>Minha constituinte é titular de 7,14% dos imóveis urbanos da partilha.</w:t>
      </w:r>
      <w:r>
        <w:rPr>
          <w:sz w:val="22"/>
        </w:rPr>
        <w:t xml:space="preserve"> É o que está registrado nas matrículas e é o que o próprio agravante afirma, expressamente, na petição do evento 347.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 xml:space="preserve">Esses imóveis foram judicialmente avaliados ao longo do cumprimento de sentença e somam hoje cerca de </w:t>
      </w:r>
      <w:r>
        <w:rPr>
          <w:b/>
          <w:sz w:val="22"/>
        </w:rPr>
        <w:t>quatro milhões, novecentos e oitenta mil reais</w:t>
      </w:r>
      <w:r>
        <w:rPr>
          <w:sz w:val="22"/>
        </w:rPr>
        <w:t xml:space="preserve">. Sete vírgula quatorze por cento disso são aproximadamente </w:t>
      </w:r>
      <w:r>
        <w:rPr>
          <w:b/>
          <w:sz w:val="22"/>
        </w:rPr>
        <w:t>trezentos e cinquenta e cinco mil reais</w:t>
      </w:r>
      <w:r>
        <w:rPr>
          <w:sz w:val="22"/>
        </w:rPr>
        <w:t xml:space="preserve"> — que ela </w:t>
      </w:r>
      <w:r>
        <w:rPr>
          <w:b/>
          <w:sz w:val="22"/>
        </w:rPr>
        <w:t>não recebeu</w:t>
      </w:r>
      <w:r>
        <w:rPr>
          <w:sz w:val="22"/>
        </w:rPr>
        <w:t>, onze anos depois do inventário e mais de dois anos depois do trânsito em julgado.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>Do outro lado desta tribuna há um inventariante condenado a prestar contas em 2023, que apelou apenas de honorários, que não apresentou um único demonstrativo de cálculo, e que agora pede a este Tribunal que decida, em segundo grau e sem instrução, matéria que o Juiz de primeiro grau tem conclusa desde 31 de julho.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Requeiro, portanto: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primeiro</w:t>
      </w:r>
      <w:r>
        <w:rPr>
          <w:sz w:val="22"/>
        </w:rPr>
        <w:t xml:space="preserve">, o </w:t>
      </w:r>
      <w:r>
        <w:rPr>
          <w:b/>
          <w:sz w:val="22"/>
        </w:rPr>
        <w:t>não conhecimento</w:t>
      </w:r>
      <w:r>
        <w:rPr>
          <w:sz w:val="22"/>
        </w:rPr>
        <w:t xml:space="preserve"> do recurso, no ponto central, por perda superveniente de objeto e vedação à supressão de instância;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segundo</w:t>
      </w:r>
      <w:r>
        <w:rPr>
          <w:sz w:val="22"/>
        </w:rPr>
        <w:t xml:space="preserve">, subsidiariamente, o </w:t>
      </w:r>
      <w:r>
        <w:rPr>
          <w:b/>
          <w:sz w:val="22"/>
        </w:rPr>
        <w:t>desprovimento</w:t>
      </w:r>
      <w:r>
        <w:rPr>
          <w:sz w:val="22"/>
        </w:rPr>
        <w:t>, mantida a decisão agravada por seus próprios fundamentos;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terceiro</w:t>
      </w:r>
      <w:r>
        <w:rPr>
          <w:sz w:val="22"/>
        </w:rPr>
        <w:t xml:space="preserve">, que conste </w:t>
      </w:r>
      <w:r>
        <w:rPr>
          <w:b/>
          <w:sz w:val="22"/>
        </w:rPr>
        <w:t>expressamente do acórdão a ressalva</w:t>
      </w:r>
      <w:r>
        <w:rPr>
          <w:sz w:val="22"/>
        </w:rPr>
        <w:t xml:space="preserve"> de que este julgamento </w:t>
      </w:r>
      <w:r>
        <w:rPr>
          <w:b/>
          <w:sz w:val="22"/>
        </w:rPr>
        <w:t>não prejulga</w:t>
      </w:r>
      <w:r>
        <w:rPr>
          <w:sz w:val="22"/>
        </w:rPr>
        <w:t xml:space="preserve"> a suficiência da prestação de contas do evento 347 nem o valor devido — matérias reservadas ao primeiro grau;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quarto</w:t>
      </w:r>
      <w:r>
        <w:rPr>
          <w:sz w:val="22"/>
        </w:rPr>
        <w:t xml:space="preserve">, a </w:t>
      </w:r>
      <w:r>
        <w:rPr>
          <w:b/>
          <w:sz w:val="22"/>
        </w:rPr>
        <w:t>revogação do efeito suspensivo parcial</w:t>
      </w:r>
      <w:r>
        <w:rPr>
          <w:sz w:val="22"/>
        </w:rPr>
        <w:t xml:space="preserve"> do evento 7, porque hoje não há nem probabilidade de provimento nem risco de dano;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b/>
          <w:sz w:val="22"/>
        </w:rPr>
        <w:t>quinto</w:t>
      </w:r>
      <w:r>
        <w:rPr>
          <w:sz w:val="22"/>
        </w:rPr>
        <w:t xml:space="preserve">, a </w:t>
      </w:r>
      <w:r>
        <w:rPr>
          <w:b/>
          <w:sz w:val="22"/>
        </w:rPr>
        <w:t>majoração dos honorários recursais</w:t>
      </w:r>
      <w:r>
        <w:rPr>
          <w:sz w:val="22"/>
        </w:rPr>
        <w:t>, na forma do artigo 85, § 11, do CPC.</w:t>
      </w:r>
    </w:p>
    <w:p>
      <w:pPr>
        <w:spacing w:line="240" w:lineRule="auto" w:after="120"/>
        <w:ind w:left="1134"/>
      </w:pPr>
    </w:p>
    <w:p>
      <w:pPr>
        <w:spacing w:line="240" w:lineRule="auto" w:after="120"/>
        <w:ind w:left="1134"/>
      </w:pPr>
      <w:r>
        <w:rPr>
          <w:sz w:val="22"/>
        </w:rPr>
        <w:t>Agradeço a atenção de Vossas Excelências."</w:t>
      </w:r>
    </w:p>
    <w:p>
      <w:pPr>
        <w:spacing w:after="40"/>
        <w:pBdr>
          <w:bottom w:val="single" w:sz="6" w:space="1" w:color="999999"/>
        </w:pBdr>
      </w:pP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center"/>
      </w:pPr>
      <w:r>
        <w:rPr>
          <w:b/>
          <w:sz w:val="28"/>
        </w:rPr>
        <w:t>🛡️ ANTECIPAÇÃO DE PERGUNTAS E APARTES</w:t>
      </w:r>
    </w:p>
    <w:p>
      <w:pPr>
        <w:spacing w:before="240" w:after="120"/>
        <w:jc w:val="left"/>
      </w:pPr>
      <w:r>
        <w:rPr>
          <w:b/>
          <w:sz w:val="24"/>
        </w:rPr>
        <w:t>🔴 ZONA DE PERIGO — perguntas sobre a contabilidade da Fazenda Palmeira</w:t>
      </w:r>
    </w:p>
    <w:p>
      <w:r>
        <w:rPr>
          <w:b/>
        </w:rPr>
        <w:t>P1. "Mas os alvarás de 2018 mostram que a sua cliente recebeu o mesmo que os irmãos. Onde está a supressão?"</w:t>
      </w:r>
    </w:p>
    <w:p>
      <w:pPr>
        <w:spacing w:line="240" w:lineRule="auto" w:after="120"/>
        <w:ind w:left="1134"/>
      </w:pPr>
      <w:r>
        <w:rPr>
          <w:sz w:val="22"/>
        </w:rPr>
        <w:t xml:space="preserve">"Excelência, com a devida vênia, </w:t>
      </w:r>
      <w:r>
        <w:rPr>
          <w:b/>
          <w:sz w:val="22"/>
        </w:rPr>
        <w:t>essa é precisamente a questão que o Juízo de origem tem conclusa para decidir desde 31 de julho</w:t>
      </w:r>
      <w:r>
        <w:rPr>
          <w:sz w:val="22"/>
        </w:rPr>
        <w:t xml:space="preserve">, depois de contraditório específico que ele próprio abriu no evento 348. A agravada não pede a este Tribunal que reconheça esse crédito — pede que </w:t>
      </w:r>
      <w:r>
        <w:rPr>
          <w:b/>
          <w:sz w:val="22"/>
        </w:rPr>
        <w:t>não o decida</w:t>
      </w:r>
      <w:r>
        <w:rPr>
          <w:sz w:val="22"/>
        </w:rPr>
        <w:t>. O que se discute neste recurso é se a decisão do evento 325, que apenas rejeitou uma impugnação sem demonstrativo de cálculo, merece reforma. E não merece."</w:t>
      </w:r>
    </w:p>
    <w:p>
      <w:r>
        <w:rPr>
          <w:i/>
        </w:rPr>
        <w:t>(Não avance. Não discuta valores. Devolva sempre ao primeiro grau.)</w:t>
      </w:r>
    </w:p>
    <w:p>
      <w:r>
        <w:rPr>
          <w:b/>
        </w:rPr>
        <w:t>P2. "Há acordo homologado nos autos de petição de herança do qual a sua cliente é parte. Isso não resolve a questão?"</w:t>
      </w:r>
    </w:p>
    <w:p>
      <w:pPr>
        <w:spacing w:line="240" w:lineRule="auto" w:after="120"/>
        <w:ind w:left="1134"/>
      </w:pPr>
      <w:r>
        <w:rPr>
          <w:sz w:val="22"/>
        </w:rPr>
        <w:t xml:space="preserve">"Excelência, o alcance daquele acordo é matéria de fato e de prova, que está sendo apreciada no primeiro grau — e sobre a qual </w:t>
      </w:r>
      <w:r>
        <w:rPr>
          <w:b/>
          <w:sz w:val="22"/>
        </w:rPr>
        <w:t>este recurso não pediu pronunciamento</w:t>
      </w:r>
      <w:r>
        <w:rPr>
          <w:sz w:val="22"/>
        </w:rPr>
        <w:t>: o agravo se dirige à decisão que rejeitou a impugnação por falta de demonstrativo de cálculo. Julgar o alcance do acordo aqui seria supressão de instância e prejulgamento da prestação de contas do evento 347."</w:t>
      </w:r>
    </w:p>
    <w:p>
      <w:r>
        <w:rPr>
          <w:b/>
        </w:rPr>
        <w:t>P3. "Então a senhora exequente nada mais tem a receber?"</w:t>
      </w:r>
    </w:p>
    <w:p>
      <w:pPr>
        <w:spacing w:line="240" w:lineRule="auto" w:after="120"/>
        <w:ind w:left="1134"/>
      </w:pPr>
      <w:r>
        <w:rPr>
          <w:sz w:val="22"/>
        </w:rPr>
        <w:t xml:space="preserve">"Ao contrário, Excelência, e é o único ponto de mérito que peço licença para afirmar: </w:t>
      </w:r>
      <w:r>
        <w:rPr>
          <w:b/>
          <w:sz w:val="22"/>
        </w:rPr>
        <w:t>os 7,14% sobre os imóveis urbanos são incontroversos</w:t>
      </w:r>
      <w:r>
        <w:rPr>
          <w:sz w:val="22"/>
        </w:rPr>
        <w:t xml:space="preserve"> — o próprio agravante os reconhece na petição do evento 347 e eles estão registrados nas matrículas. Sobre um acervo avaliado em cerca de R$ 4.980.000,00, isso representa aproximadamente R$ 355.000,00, que ela não recebeu. É por isso que a extinção do condomínio e a alienação judicial precisam prosseguir."</w:t>
      </w:r>
    </w:p>
    <w:p>
      <w:pPr>
        <w:spacing w:before="240" w:after="120"/>
        <w:jc w:val="left"/>
      </w:pPr>
      <w:r>
        <w:rPr>
          <w:b/>
          <w:sz w:val="24"/>
        </w:rPr>
        <w:t>Demais perguntas</w:t>
      </w:r>
    </w:p>
    <w:p>
      <w:r>
        <w:rPr>
          <w:b/>
        </w:rPr>
        <w:t>P4. "A adjudicação do trator não quitou a obrigação?"</w:t>
      </w:r>
    </w:p>
    <w:p>
      <w:pPr>
        <w:spacing w:line="240" w:lineRule="auto" w:after="120"/>
        <w:ind w:left="1134"/>
      </w:pPr>
      <w:r>
        <w:rPr>
          <w:sz w:val="22"/>
        </w:rPr>
        <w:t xml:space="preserve">"Não, Excelência — e, note-se, </w:t>
      </w:r>
      <w:r>
        <w:rPr>
          <w:b/>
          <w:sz w:val="22"/>
        </w:rPr>
        <w:t>nesse capítulo o agravante não é sucumbente</w:t>
      </w:r>
      <w:r>
        <w:rPr>
          <w:sz w:val="22"/>
        </w:rPr>
        <w:t xml:space="preserve">: a decisão agravada acolheu a tese dele apenas em parte, reconhecendo pagamento parcial a ser compensado. Falta-lhe interesse recursal. Acrescento que a própria planilha da agravada, no evento 334, </w:t>
      </w:r>
      <w:r>
        <w:rPr>
          <w:b/>
          <w:sz w:val="22"/>
        </w:rPr>
        <w:t>deduz expressamente</w:t>
      </w:r>
      <w:r>
        <w:rPr>
          <w:sz w:val="22"/>
        </w:rPr>
        <w:t xml:space="preserve"> o trator e o alvará, atualizados. Não há omissão de nossa parte."</w:t>
      </w:r>
    </w:p>
    <w:p>
      <w:r>
        <w:rPr>
          <w:b/>
        </w:rPr>
        <w:t>P5. "Não seria caso de anular e devolver ao primeiro grau?"</w:t>
      </w:r>
    </w:p>
    <w:p>
      <w:pPr>
        <w:spacing w:line="240" w:lineRule="auto" w:after="120"/>
        <w:ind w:left="1134"/>
      </w:pPr>
      <w:r>
        <w:rPr>
          <w:sz w:val="22"/>
        </w:rPr>
        <w:t xml:space="preserve">"Não há nulidade a sanar, Excelência. A decisão agravada é regular e, no capítulo do excesso de execução, de reforma legalmente impossível. O que se pede é apenas que este Tribunal </w:t>
      </w:r>
      <w:r>
        <w:rPr>
          <w:b/>
          <w:sz w:val="22"/>
        </w:rPr>
        <w:t>não avance</w:t>
      </w:r>
      <w:r>
        <w:rPr>
          <w:sz w:val="22"/>
        </w:rPr>
        <w:t xml:space="preserve"> sobre matéria que o primeiro grau ainda vai decidir."</w:t>
      </w:r>
    </w:p>
    <w:p>
      <w:r>
        <w:rPr>
          <w:b/>
        </w:rPr>
        <w:t>P6. "O efeito suspensivo foi deferido pela Relatora. Não seria incoerente revogá-lo agora?"</w:t>
      </w:r>
    </w:p>
    <w:p>
      <w:pPr>
        <w:spacing w:line="240" w:lineRule="auto" w:after="120"/>
        <w:ind w:left="1134"/>
      </w:pPr>
      <w:r>
        <w:rPr>
          <w:sz w:val="22"/>
        </w:rPr>
        <w:t xml:space="preserve">"Com a máxima vênia, não. A liminar foi concedida em </w:t>
      </w:r>
      <w:r>
        <w:rPr>
          <w:b/>
          <w:sz w:val="22"/>
        </w:rPr>
        <w:t>cognição sumária</w:t>
      </w:r>
      <w:r>
        <w:rPr>
          <w:sz w:val="22"/>
        </w:rPr>
        <w:t xml:space="preserve"> e 'até o julgamento definitivo do recurso' — a própria decisão ressalvou que a certeza sobre a extensão do título ficaria para a análise exauriente. E hoje se verifica que o Juízo de origem </w:t>
      </w:r>
      <w:r>
        <w:rPr>
          <w:b/>
          <w:sz w:val="22"/>
        </w:rPr>
        <w:t>sequer determinou expropriação</w:t>
      </w:r>
      <w:r>
        <w:rPr>
          <w:sz w:val="22"/>
        </w:rPr>
        <w:t>: reabriu o contraditório. O objeto da medida esvaziou-se por si mesmo."</w:t>
      </w:r>
    </w:p>
    <w:p>
      <w:r>
        <w:rPr>
          <w:b/>
        </w:rPr>
        <w:t>P7. "A prestação de contas já não foi feita, no evento 347?"</w:t>
      </w:r>
    </w:p>
    <w:p>
      <w:pPr>
        <w:spacing w:line="240" w:lineRule="auto" w:after="120"/>
        <w:ind w:left="1134"/>
      </w:pPr>
      <w:r>
        <w:rPr>
          <w:sz w:val="22"/>
        </w:rPr>
        <w:t xml:space="preserve">"Excelência, a suficiência dessas contas é exatamente o que o Juízo determinou examinar no despacho do evento 348. Registro apenas que o dever de prestar contas é do </w:t>
      </w:r>
      <w:r>
        <w:rPr>
          <w:b/>
          <w:sz w:val="22"/>
        </w:rPr>
        <w:t>inventariante</w:t>
      </w:r>
      <w:r>
        <w:rPr>
          <w:sz w:val="22"/>
        </w:rPr>
        <w:t>, por força do artigo 618, inciso VII, do CPC, e que a titularidade conjunta das contas bancárias gera solidariedade perante o banco — não altera a propriedade dos haveres, que integraram o acervo hereditário no instante da abertura da sucessão. Mas, de novo: esse exame é do primeiro grau."</w:t>
      </w:r>
    </w:p>
    <w:p>
      <w:r>
        <w:rPr>
          <w:b/>
        </w:rPr>
        <w:t>P8. Se o agravante invocar o trânsito em julgado para dizer que nada mais se cobra:</w:t>
      </w:r>
    </w:p>
    <w:p>
      <w:pPr>
        <w:spacing w:line="240" w:lineRule="auto" w:after="120"/>
        <w:ind w:left="1134"/>
      </w:pPr>
      <w:r>
        <w:rPr>
          <w:sz w:val="22"/>
        </w:rPr>
        <w:t xml:space="preserve">"Excelência, o trânsito em julgado que ele invoca é o de um acórdão que julgou </w:t>
      </w:r>
      <w:r>
        <w:rPr>
          <w:b/>
          <w:sz w:val="22"/>
        </w:rPr>
        <w:t>exclusivamente honorários de sucumbência</w:t>
      </w:r>
      <w:r>
        <w:rPr>
          <w:sz w:val="22"/>
        </w:rPr>
        <w:t xml:space="preserve"> — está no relatório do evento 8 daquela apelação e foi certificado pelo próprio Juízo na sentença do evento 156 dos autos nº 0006601-11. Não se extrai de um acórdão sobre honorários uma limitação ao mérito que ele não enfrentou."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center"/>
      </w:pPr>
      <w:r>
        <w:rPr>
          <w:b/>
          <w:sz w:val="28"/>
        </w:rPr>
        <w:t>⏱️ VERSÃO COMPACTA — 8 MINUTOS (videoconferência, sem prorrogação)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Tempo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Bloco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Conteúdo essencial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0:00–0:30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Abertura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Identificação + "onze anos desde 27/04/2015"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0:30–3:15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Perda de objeto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 xml:space="preserve">Dispositivo do ev. 325 não decidiu o crédito → </w:t>
            </w:r>
            <w:r>
              <w:rPr>
                <w:b/>
                <w:sz w:val="20"/>
              </w:rPr>
              <w:t>ev. 290: "deixo para apreciação"</w:t>
            </w:r>
            <w:r>
              <w:rPr>
                <w:sz w:val="20"/>
              </w:rPr>
              <w:t xml:space="preserve"> → ev. 347 / 348 (08/07/2026) / 352 / </w:t>
            </w:r>
            <w:r>
              <w:rPr>
                <w:b/>
                <w:sz w:val="20"/>
              </w:rPr>
              <w:t>353 conclusos</w:t>
            </w:r>
            <w:r>
              <w:rPr>
                <w:sz w:val="20"/>
              </w:rPr>
              <w:t xml:space="preserve"> → supressão de instância → liminar já afastou o risco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3:15–5:15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Preclusão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 xml:space="preserve">Apelação discutiu </w:t>
            </w:r>
            <w:r>
              <w:rPr>
                <w:b/>
                <w:sz w:val="20"/>
              </w:rPr>
              <w:t>só honorários</w:t>
            </w:r>
            <w:r>
              <w:rPr>
                <w:sz w:val="20"/>
              </w:rPr>
              <w:t xml:space="preserve"> → </w:t>
            </w:r>
            <w:r>
              <w:rPr>
                <w:b/>
                <w:sz w:val="20"/>
              </w:rPr>
              <w:t>certificado pelo próprio Juízo na sentença do ev. 156 dos autos 0006601-11</w:t>
            </w:r>
            <w:r>
              <w:rPr>
                <w:sz w:val="20"/>
              </w:rPr>
              <w:t xml:space="preserve"> → desprovida em 08/05/2024 → trânsito em 14/06/2024 → art. 508 CPC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5:15–6:30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Extensão do título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Sentença do ev. 156 extinguiu a ação conexa porque o título "já determinou a alienação judicial dos imóveis urbanos que compõem a partilha" → o Juízo já interpretou, de forma ampla, e o agravante não recorreu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6:30–7:20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  <w:t>Art. 525, §§ 4º e 5º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Sem demonstrativo → rejeição liminar obrigatória → precedente TJTO 0010192-13.2023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7:20–8:00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>Pedido</w:t>
            </w:r>
          </w:p>
        </w:tc>
        <w:tc>
          <w:tcPr>
            <w:tcW w:type="dxa" w:w="31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  <w:t xml:space="preserve">Não conhecimento; subsidiariamente desprovimento; </w:t>
            </w:r>
            <w:r>
              <w:rPr>
                <w:b/>
                <w:sz w:val="20"/>
              </w:rPr>
              <w:t>ressalva expressa de não prejulgamento</w:t>
            </w:r>
            <w:r>
              <w:rPr>
                <w:sz w:val="20"/>
              </w:rPr>
              <w:t>; revogação do efeito suspensivo; honorários recursais</w:t>
            </w:r>
          </w:p>
        </w:tc>
      </w:tr>
    </w:tbl>
    <w:p/>
    <w:p>
      <w:r>
        <w:rPr>
          <w:b/>
        </w:rPr>
        <w:t>Se precisar cortar mais, sacrifique nesta ordem:</w:t>
      </w:r>
      <w:r>
        <w:t xml:space="preserve"> (1) o Bloco 3 (extensão do título); (2) o detalhamento dos saldos bancários; (3) o parágrafo sobre a matrícula 6.631. </w:t>
      </w:r>
      <w:r>
        <w:rPr>
          <w:b/>
        </w:rPr>
        <w:t>Nunca corte</w:t>
      </w:r>
      <w:r>
        <w:t xml:space="preserve"> o evento 290, o evento 353 e a citação da sentença do evento 156.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center"/>
      </w:pPr>
      <w:r>
        <w:rPr>
          <w:b/>
          <w:sz w:val="28"/>
        </w:rPr>
        <w:t>🃏 CARTÕES DE MEMÓRIA (levar impresso na tribuna)</w:t>
      </w:r>
    </w:p>
    <w:p>
      <w:r>
        <w:rPr>
          <w:b/>
        </w:rPr>
        <w:t>AS QUATRO CITAÇÕES QUE GANHAM O CASO</w:t>
      </w:r>
    </w:p>
    <w:p>
      <w:pPr>
        <w:pStyle w:val="ListNumber"/>
        <w:spacing w:line="360" w:lineRule="auto"/>
      </w:pPr>
      <w:r>
        <w:rPr>
          <w:b/>
        </w:rPr>
        <w:t>Ev. 290 (27/02/2026):</w:t>
      </w:r>
      <w:r>
        <w:t xml:space="preserve"> </w:t>
      </w:r>
      <w:r>
        <w:rPr>
          <w:i/>
        </w:rPr>
        <w:t xml:space="preserve">"…pagamento do quinhão decorrente da venda do imóvel rural denominado 'Fazenda Palmeira', </w:t>
      </w:r>
      <w:r>
        <w:rPr>
          <w:i/>
        </w:rPr>
        <w:t>deixo para apreciação após o decurso do prazo</w:t>
      </w:r>
      <w:r>
        <w:rPr>
          <w:i/>
        </w:rPr>
        <w:t>…"</w:t>
      </w:r>
    </w:p>
    <w:p>
      <w:pPr>
        <w:pStyle w:val="ListNumber"/>
        <w:spacing w:line="360" w:lineRule="auto"/>
      </w:pPr>
      <w:r>
        <w:rPr>
          <w:b/>
        </w:rPr>
        <w:t>Ev. 348 (08/07/2026):</w:t>
      </w:r>
      <w:r>
        <w:t xml:space="preserve"> </w:t>
      </w:r>
      <w:r>
        <w:rPr>
          <w:i/>
        </w:rPr>
        <w:t>"…</w:t>
      </w:r>
      <w:r>
        <w:rPr>
          <w:i/>
        </w:rPr>
        <w:t>dos pedidos de prosseguimento da execução formulados pela exequente</w:t>
      </w:r>
      <w:r>
        <w:rPr>
          <w:i/>
        </w:rPr>
        <w:t>, inclusive quanto à alienação judicial dos bens penhorados"</w:t>
      </w:r>
    </w:p>
    <w:p>
      <w:pPr>
        <w:pStyle w:val="ListNumber"/>
        <w:spacing w:line="360" w:lineRule="auto"/>
      </w:pPr>
      <w:r>
        <w:rPr>
          <w:b/>
        </w:rPr>
        <w:t>Sentença ev. 156 / autos 0006601-11:</w:t>
      </w:r>
      <w:r>
        <w:t xml:space="preserve"> </w:t>
      </w:r>
      <w:r>
        <w:rPr>
          <w:i/>
        </w:rPr>
        <w:t>"…</w:t>
      </w:r>
      <w:r>
        <w:rPr>
          <w:i/>
        </w:rPr>
        <w:t>o objeto do apelo se limitou à condenação sucumbencial</w:t>
      </w:r>
      <w:r>
        <w:rPr>
          <w:i/>
        </w:rPr>
        <w:t>, tendo a sentença transitado em julgado em 14/06/2024"</w:t>
      </w:r>
    </w:p>
    <w:p>
      <w:pPr>
        <w:pStyle w:val="ListNumber"/>
        <w:spacing w:line="360" w:lineRule="auto"/>
      </w:pPr>
      <w:r>
        <w:rPr>
          <w:b/>
        </w:rPr>
        <w:t>Sentença ev. 156 / autos 0006601-11:</w:t>
      </w:r>
      <w:r>
        <w:t xml:space="preserve"> </w:t>
      </w:r>
      <w:r>
        <w:rPr>
          <w:i/>
        </w:rPr>
        <w:t xml:space="preserve">"…a referida sentença </w:t>
      </w:r>
      <w:r>
        <w:rPr>
          <w:i/>
        </w:rPr>
        <w:t>já determinou a alienação judicial dos imóveis urbanos que compõem a partilha do espólio</w:t>
      </w:r>
      <w:r>
        <w:rPr>
          <w:i/>
        </w:rPr>
        <w:t>…"</w:t>
      </w:r>
    </w:p>
    <w:p>
      <w:r>
        <w:rPr>
          <w:b/>
        </w:rPr>
        <w:t>DATAS</w:t>
      </w:r>
    </w:p>
    <w:p>
      <w:pPr>
        <w:pStyle w:val="ListBullet"/>
        <w:spacing w:line="360" w:lineRule="auto"/>
      </w:pPr>
      <w:r>
        <w:t>10/02/2015 — óbito · 27/04/2015 — escritura de partilha · 29/04/2015 — R-9-6.631 (Magnólia 7,14%)</w:t>
      </w:r>
    </w:p>
    <w:p>
      <w:pPr>
        <w:pStyle w:val="ListBullet"/>
        <w:spacing w:line="360" w:lineRule="auto"/>
      </w:pPr>
      <w:r>
        <w:t>18/04/2022 — ajuizamento · 27/04/2022 — ação conexa 0006601-11 · 09/05/2023 — reunião dos feitos</w:t>
      </w:r>
    </w:p>
    <w:p>
      <w:pPr>
        <w:pStyle w:val="ListBullet"/>
        <w:spacing w:line="360" w:lineRule="auto"/>
      </w:pPr>
      <w:r>
        <w:t xml:space="preserve">15/12/2023 — sentença (ev. 137) · 08/05/2024 — acórdão (só honorários), 12% · </w:t>
      </w:r>
      <w:r>
        <w:rPr>
          <w:b/>
        </w:rPr>
        <w:t>14/06/2024 — trânsito</w:t>
      </w:r>
    </w:p>
    <w:p>
      <w:pPr>
        <w:pStyle w:val="ListBullet"/>
        <w:spacing w:line="360" w:lineRule="auto"/>
      </w:pPr>
      <w:r>
        <w:t>10/03/2025 — ev. 207: custas de R$ 54.901,28 aos executados</w:t>
      </w:r>
    </w:p>
    <w:p>
      <w:pPr>
        <w:pStyle w:val="ListBullet"/>
        <w:spacing w:line="360" w:lineRule="auto"/>
      </w:pPr>
      <w:r>
        <w:t xml:space="preserve">27/02/2026 — ev. 290 ("deixo para apreciação") · 24/03/2026 — ev. 310 · </w:t>
      </w:r>
      <w:r>
        <w:rPr>
          <w:b/>
        </w:rPr>
        <w:t>07/04/2026 — decisão agravada (ev. 325)</w:t>
      </w:r>
    </w:p>
    <w:p>
      <w:pPr>
        <w:pStyle w:val="ListBullet"/>
        <w:spacing w:line="360" w:lineRule="auto"/>
      </w:pPr>
      <w:r>
        <w:t>13/05/2026 — agravo · 28/05/2026 — efeito suspensivo parcial (ev. 7) · 23/06/2026 — contraminuta (ev. 16)</w:t>
      </w:r>
    </w:p>
    <w:p>
      <w:pPr>
        <w:pStyle w:val="ListBullet"/>
        <w:spacing w:line="360" w:lineRule="auto"/>
      </w:pPr>
      <w:r>
        <w:rPr>
          <w:b/>
        </w:rPr>
        <w:t>08/07/2026 — ev. 348</w:t>
      </w:r>
      <w:r>
        <w:t xml:space="preserve"> · 30/07/2026 — ev. 352 · </w:t>
      </w:r>
      <w:r>
        <w:rPr>
          <w:b/>
        </w:rPr>
        <w:t>31/07/2026 — ev. 353 (conclusos)</w:t>
      </w:r>
    </w:p>
    <w:p>
      <w:r>
        <w:rPr>
          <w:b/>
        </w:rPr>
        <w:t>VALORES SEGUROS (pode citar)</w:t>
      </w:r>
    </w:p>
    <w:p>
      <w:pPr>
        <w:pStyle w:val="ListBullet"/>
        <w:spacing w:line="360" w:lineRule="auto"/>
      </w:pPr>
      <w:r>
        <w:t xml:space="preserve">Fração da cliente: </w:t>
      </w:r>
      <w:r>
        <w:rPr>
          <w:b/>
        </w:rPr>
        <w:t>7,14%</w:t>
      </w:r>
      <w:r>
        <w:t xml:space="preserve"> · Valor da causa: R$ 1.775.071,35 · Honorários: 10% → </w:t>
      </w:r>
      <w:r>
        <w:rPr>
          <w:b/>
        </w:rPr>
        <w:t>12%</w:t>
      </w:r>
    </w:p>
    <w:p>
      <w:pPr>
        <w:pStyle w:val="ListBullet"/>
        <w:spacing w:line="360" w:lineRule="auto"/>
      </w:pPr>
      <w:r>
        <w:t xml:space="preserve">Acervo urbano avaliado: </w:t>
      </w:r>
      <w:r>
        <w:rPr>
          <w:b/>
        </w:rPr>
        <w:t>≈ R$ 4.980.000,00</w:t>
      </w:r>
      <w:r>
        <w:t xml:space="preserve"> → </w:t>
      </w:r>
      <w:r>
        <w:rPr>
          <w:b/>
        </w:rPr>
        <w:t>7,14% ≈ R$ 355.572,00</w:t>
      </w:r>
    </w:p>
    <w:p>
      <w:pPr>
        <w:pStyle w:val="ListBullet"/>
        <w:spacing w:line="360" w:lineRule="auto"/>
      </w:pPr>
      <w:r>
        <w:t>Avaliações: Q.66 Amazonas R$ 1.100.000 · Lotes 07/09 Q.60 R$ 1.100.000 · Q.17 Goiás R$ 850.000 · Q.60 Lote 06 R$ 610.000 · Q.257 Paraná R$ 350.000 · Q.02 Rua 02 R$ 300.000 · Q.65 Waldir Lins R$ 285.000 · Q.123 Ceará R$ 265.000 · Formoso R$ 120.000</w:t>
      </w:r>
    </w:p>
    <w:p>
      <w:pPr>
        <w:pStyle w:val="ListBullet"/>
        <w:spacing w:line="360" w:lineRule="auto"/>
      </w:pPr>
      <w:r>
        <w:t xml:space="preserve">Saldos bancários do </w:t>
      </w:r>
      <w:r>
        <w:rPr>
          <w:i/>
        </w:rPr>
        <w:t>de cujus</w:t>
      </w:r>
      <w:r>
        <w:t xml:space="preserve"> em 10/02/2015: </w:t>
      </w:r>
      <w:r>
        <w:rPr>
          <w:b/>
        </w:rPr>
        <w:t>R$ 130.882,40</w:t>
      </w:r>
    </w:p>
    <w:p>
      <w:r>
        <w:rPr>
          <w:b/>
        </w:rPr>
        <w:t>VALORES A NÃO CITAR NA TRIBUNA</w:t>
      </w:r>
      <w:r>
        <w:t xml:space="preserve"> ⛔</w:t>
      </w:r>
    </w:p>
    <w:p>
      <w:pPr>
        <w:pStyle w:val="ListBullet"/>
        <w:spacing w:line="360" w:lineRule="auto"/>
      </w:pPr>
      <w:r>
        <w:t>R$ 202.974,70 e R$ 277.613,84 (Fazenda Palmeira) · R$ 290.068,53 / R$ 284.456,87 (quinhão na readequação) · R$ 41.394,80 (complemento dos bilaterais)</w:t>
      </w:r>
    </w:p>
    <w:p>
      <w:r>
        <w:rPr>
          <w:i/>
        </w:rPr>
        <w:t>Se o outro lado citar, devolva ao primeiro grau e não discuta.</w:t>
      </w:r>
    </w:p>
    <w:p>
      <w:r>
        <w:rPr>
          <w:b/>
        </w:rPr>
        <w:t>DISPOSITIVOS</w:t>
      </w:r>
    </w:p>
    <w:p>
      <w:pPr>
        <w:pStyle w:val="ListBullet"/>
        <w:spacing w:line="360" w:lineRule="auto"/>
      </w:pPr>
      <w:r>
        <w:t xml:space="preserve">CPC 502, 507, </w:t>
      </w:r>
      <w:r>
        <w:rPr>
          <w:b/>
        </w:rPr>
        <w:t>508</w:t>
      </w:r>
      <w:r>
        <w:t xml:space="preserve"> (eficácia preclusiva) · CPC </w:t>
      </w:r>
      <w:r>
        <w:rPr>
          <w:b/>
        </w:rPr>
        <w:t>525, §§ 4º e 5º</w:t>
      </w:r>
      <w:r>
        <w:t xml:space="preserve"> · CPC 373, II</w:t>
      </w:r>
    </w:p>
    <w:p>
      <w:pPr>
        <w:pStyle w:val="ListBullet"/>
        <w:spacing w:line="360" w:lineRule="auto"/>
      </w:pPr>
      <w:r>
        <w:t>CPC 536, § 1º, e 537 (astreintes) · CPC 618, VII · CPC 550/553 · CPC 85, § 11 · CPC 1.013 e 1.019</w:t>
      </w:r>
    </w:p>
    <w:p>
      <w:pPr>
        <w:pStyle w:val="ListBullet"/>
        <w:spacing w:line="360" w:lineRule="auto"/>
      </w:pPr>
      <w:r>
        <w:t>CC 1.320, 1.322, 1.323 · CC 884 · CC 2.002</w:t>
      </w:r>
    </w:p>
    <w:p>
      <w:r>
        <w:rPr>
          <w:b/>
        </w:rPr>
        <w:t>PRECEDENTES</w:t>
      </w:r>
    </w:p>
    <w:p>
      <w:pPr>
        <w:pStyle w:val="ListBullet"/>
        <w:spacing w:line="360" w:lineRule="auto"/>
      </w:pPr>
      <w:r>
        <w:t>TJTO, AI 0010192-13.2023.8.27.2700, Rel. Des. Helvécio de Brito Maia Neto, j. 22/11/2023 — excesso sem demonstrativo</w:t>
      </w:r>
    </w:p>
    <w:p>
      <w:pPr>
        <w:pStyle w:val="ListBullet"/>
        <w:spacing w:line="360" w:lineRule="auto"/>
      </w:pPr>
      <w:r>
        <w:t>TJTO, AI 0009638-15.2022.8.27.2700, mesmo Relator, j. 30/11/2022 — impugnação não rediscute mérito</w:t>
      </w:r>
    </w:p>
    <w:p>
      <w:pPr>
        <w:pStyle w:val="ListBullet"/>
        <w:spacing w:line="360" w:lineRule="auto"/>
      </w:pPr>
      <w:r>
        <w:t>STJ, AgInt no REsp 1.788.354/MG, Rel. Min. Maria Isabel Gallotti, 4ª T., j. 28/08/2023</w:t>
      </w:r>
    </w:p>
    <w:p>
      <w:pPr>
        <w:spacing w:after="40"/>
        <w:pBdr>
          <w:bottom w:val="single" w:sz="6" w:space="1" w:color="999999"/>
        </w:pBdr>
      </w:pPr>
    </w:p>
    <w:p>
      <w:pPr>
        <w:spacing w:before="240" w:after="120"/>
        <w:jc w:val="center"/>
      </w:pPr>
      <w:r>
        <w:rPr>
          <w:b/>
          <w:sz w:val="28"/>
        </w:rPr>
        <w:t>✅ CHECKLIST PRÉ-SESSÃO</w:t>
      </w:r>
    </w:p>
    <w:p>
      <w:pPr>
        <w:pStyle w:val="ListBullet"/>
        <w:spacing w:line="360" w:lineRule="auto"/>
      </w:pPr>
      <w:r>
        <w:t xml:space="preserve">[ ] Protocolar o </w:t>
      </w:r>
      <w:r>
        <w:rPr>
          <w:b/>
        </w:rPr>
        <w:t>pedido de sustentação oral</w:t>
      </w:r>
      <w:r>
        <w:t xml:space="preserve"> no e-Proc (até 24h antes, se por videoconferência)</w:t>
      </w:r>
    </w:p>
    <w:p>
      <w:pPr>
        <w:pStyle w:val="ListBullet"/>
        <w:spacing w:line="360" w:lineRule="auto"/>
      </w:pPr>
      <w:r>
        <w:t xml:space="preserve">[ ] Confirmar </w:t>
      </w:r>
      <w:r>
        <w:rPr>
          <w:b/>
        </w:rPr>
        <w:t>Relatora e Turma</w:t>
      </w:r>
      <w:r>
        <w:t xml:space="preserve"> no e-Proc (a capa indica Desa. Silvana Maria Parfieniuk / 5ª Turma da 1ª Câmara Cível; a liminar veio do gabinete da Desa. Maysa Vendramini Rosal)</w:t>
      </w:r>
    </w:p>
    <w:p>
      <w:pPr>
        <w:pStyle w:val="ListBullet"/>
        <w:spacing w:line="360" w:lineRule="auto"/>
      </w:pPr>
      <w:r>
        <w:t xml:space="preserve">[ ] Confirmar </w:t>
      </w:r>
      <w:r>
        <w:rPr>
          <w:b/>
        </w:rPr>
        <w:t>data, hora e formato</w:t>
      </w:r>
      <w:r>
        <w:t xml:space="preserve"> da sessão — o tempo muda: 15 min × 8 min</w:t>
      </w:r>
    </w:p>
    <w:p>
      <w:pPr>
        <w:pStyle w:val="ListBullet"/>
        <w:spacing w:line="360" w:lineRule="auto"/>
      </w:pPr>
      <w:r>
        <w:t xml:space="preserve">[ ] Preencher </w:t>
      </w:r>
      <w:r>
        <w:rPr>
          <w:b/>
        </w:rPr>
        <w:t>telefone/WhatsApp</w:t>
      </w:r>
      <w:r>
        <w:t xml:space="preserve"> no pedido e confirmar o e-mail para o link</w:t>
      </w:r>
    </w:p>
    <w:p>
      <w:pPr>
        <w:pStyle w:val="ListBullet"/>
        <w:spacing w:line="360" w:lineRule="auto"/>
      </w:pPr>
      <w:r>
        <w:t xml:space="preserve">[ ] Protocolar os </w:t>
      </w:r>
      <w:r>
        <w:rPr>
          <w:b/>
        </w:rPr>
        <w:t>memoriais</w:t>
      </w:r>
      <w:r>
        <w:t xml:space="preserve"> e encaminhá-los ao gabinete da Relatora e aos vogais</w:t>
      </w:r>
    </w:p>
    <w:p>
      <w:pPr>
        <w:pStyle w:val="ListBullet"/>
        <w:spacing w:line="360" w:lineRule="auto"/>
      </w:pPr>
      <w:r>
        <w:t xml:space="preserve">[ ] </w:t>
      </w:r>
      <w:r>
        <w:rPr>
          <w:b/>
        </w:rPr>
        <w:t>Verificar se sobreveio decisão no 1º grau após o evento 353</w:t>
      </w:r>
      <w:r>
        <w:t xml:space="preserve"> — se houver, o Bloco 1 muda inteiramente</w:t>
      </w:r>
    </w:p>
    <w:p>
      <w:pPr>
        <w:pStyle w:val="ListBullet"/>
        <w:spacing w:line="360" w:lineRule="auto"/>
      </w:pPr>
      <w:r>
        <w:t xml:space="preserve">[ ] Ler os </w:t>
      </w:r>
      <w:r>
        <w:rPr>
          <w:b/>
        </w:rPr>
        <w:t>eventos 304 e 309</w:t>
      </w:r>
      <w:r>
        <w:t xml:space="preserve"> (impugnações) direto no e-Proc — não foi possível extraí-los do PDF exportado</w:t>
      </w:r>
    </w:p>
    <w:p>
      <w:pPr>
        <w:pStyle w:val="ListBullet"/>
        <w:spacing w:line="360" w:lineRule="auto"/>
      </w:pPr>
      <w:r>
        <w:t xml:space="preserve">[ ] Verificar o andamento do </w:t>
      </w:r>
      <w:r>
        <w:rPr>
          <w:b/>
        </w:rPr>
        <w:t>AI nº 0009786-84.2026.8.27.2700</w:t>
      </w:r>
      <w:r>
        <w:t xml:space="preserve"> (agravo de Terezinha; custas pagas em 11/05/2026, ev. 344 da origem)</w:t>
      </w:r>
    </w:p>
    <w:p>
      <w:pPr>
        <w:pStyle w:val="ListBullet"/>
        <w:spacing w:line="360" w:lineRule="auto"/>
      </w:pPr>
      <w:r>
        <w:t>[ ] Testar áudio/vídeo com 30 min de antecedência; autos abertos em segunda tela</w:t>
      </w:r>
    </w:p>
    <w:p>
      <w:pPr>
        <w:pStyle w:val="ListBullet"/>
        <w:spacing w:line="360" w:lineRule="auto"/>
      </w:pPr>
      <w:r>
        <w:t>[ ] Levar impressos: este roteiro, os cartões de memória, o despacho do ev. 290, o despacho do ev. 348 e a sentença do ev. 156 dos autos nº 0006601-11</w:t>
      </w:r>
    </w:p>
    <w:p>
      <w:pPr>
        <w:spacing w:after="40"/>
        <w:pBdr>
          <w:bottom w:val="single" w:sz="6" w:space="1" w:color="999999"/>
        </w:pBdr>
      </w:pPr>
    </w:p>
    <w:p>
      <w:r>
        <w:rPr>
          <w:i/>
        </w:rPr>
        <w:t>Roteiro elaborado em 14 de setembro de 2026.</w:t>
      </w:r>
    </w:p>
    <w:p>
      <w:r>
        <w:rPr>
          <w:b/>
        </w:rPr>
        <w:t>Paulo Izidio da Silva Rezende — OAB/TO 5.168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