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8"/>
        </w:rPr>
        <w:t>PARECER INTERNO DE RISCO</w:t>
      </w:r>
    </w:p>
    <w:p>
      <w:pPr>
        <w:spacing w:before="240" w:after="120"/>
        <w:jc w:val="left"/>
      </w:pPr>
      <w:r>
        <w:rPr>
          <w:b/>
          <w:sz w:val="25"/>
        </w:rPr>
        <w:t>Possibilidade de o Juízo de 1º grau refluir de decisões favoráveis à nossa cliente</w:t>
      </w:r>
    </w:p>
    <w:p>
      <w:r>
        <w:rPr>
          <w:b/>
        </w:rPr>
        <w:t>Cliente:</w:t>
      </w:r>
      <w:r>
        <w:t xml:space="preserve"> MAGNÓLIA RODRIGUES COSTA</w:t>
      </w:r>
    </w:p>
    <w:p>
      <w:r>
        <w:rPr>
          <w:b/>
        </w:rPr>
        <w:t>Autos:</w:t>
      </w:r>
      <w:r>
        <w:t xml:space="preserve"> Cumprimento de Sentença nº 0006194-05.2022.8.27.2722/TO — 2ª Vara Cível de Gurupi/TO</w:t>
      </w:r>
    </w:p>
    <w:p>
      <w:r>
        <w:rPr>
          <w:b/>
        </w:rPr>
        <w:t>Recurso pendente:</w:t>
      </w:r>
      <w:r>
        <w:t xml:space="preserve"> Agravo de Instrumento nº 0010028-43.2026.8.27.2700/TO — sessão de 16/09/2026</w:t>
      </w:r>
    </w:p>
    <w:p>
      <w:r>
        <w:rPr>
          <w:b/>
        </w:rPr>
        <w:t>Data:</w:t>
      </w:r>
      <w:r>
        <w:t xml:space="preserve"> 14 de setembro de 2026</w:t>
      </w:r>
    </w:p>
    <w:p>
      <w:r>
        <w:rPr>
          <w:b/>
        </w:rPr>
        <w:t>Elaborado por:</w:t>
      </w:r>
      <w:r>
        <w:t xml:space="preserve"> Paulo Izidio da Silva Rezende — OAB/TO 5.168</w:t>
      </w:r>
    </w:p>
    <w:p>
      <w:pPr>
        <w:spacing w:line="240" w:lineRule="auto" w:after="120"/>
        <w:ind w:left="1134"/>
      </w:pPr>
      <w:r>
        <w:rPr>
          <w:sz w:val="22"/>
        </w:rPr>
        <w:t xml:space="preserve">⚠️ </w:t>
      </w:r>
      <w:r>
        <w:rPr>
          <w:b/>
          <w:sz w:val="22"/>
        </w:rPr>
        <w:t>DOCUMENTO DE USO INTERNO — NÃO PROTOCOLAR.</w:t>
      </w:r>
    </w:p>
    <w:p>
      <w:pPr>
        <w:spacing w:after="40"/>
        <w:pBdr>
          <w:bottom w:val="single" w:sz="6" w:space="1" w:color="999999"/>
        </w:pBdr>
      </w:pPr>
    </w:p>
    <w:p>
      <w:pPr>
        <w:spacing w:before="240" w:after="120"/>
        <w:jc w:val="left"/>
      </w:pPr>
      <w:r>
        <w:rPr>
          <w:b/>
          <w:sz w:val="25"/>
        </w:rPr>
        <w:t>1. RESPOSTA DIRETA</w:t>
      </w:r>
    </w:p>
    <w:p>
      <w:r>
        <w:rPr>
          <w:b/>
        </w:rPr>
        <w:t>Sim. O risco é real, concreto e, em um dos pontos, elevado.</w:t>
      </w:r>
    </w:p>
    <w:p>
      <w:r>
        <w:t>Três fatos o demonstram:</w:t>
      </w:r>
    </w:p>
    <w:p>
      <w:pPr>
        <w:pStyle w:val="ListNumber"/>
        <w:spacing w:line="360" w:lineRule="auto"/>
      </w:pPr>
      <w:r>
        <w:rPr>
          <w:b/>
        </w:rPr>
        <w:t>O Juízo já refluiu uma vez.</w:t>
      </w:r>
      <w:r>
        <w:t xml:space="preserve"> No </w:t>
      </w:r>
      <w:r>
        <w:rPr>
          <w:b/>
        </w:rPr>
        <w:t>evento 303</w:t>
      </w:r>
      <w:r>
        <w:t xml:space="preserve"> aplicou a multa de 10% e os honorários de 10% do art. 523, § 1º, do CPC em favor da exequente. Sete dias depois, no </w:t>
      </w:r>
      <w:r>
        <w:rPr>
          <w:b/>
        </w:rPr>
        <w:t>evento 310 (24/03/2026)</w:t>
      </w:r>
      <w:r>
        <w:t xml:space="preserve">, </w:t>
      </w:r>
      <w:r>
        <w:rPr>
          <w:i/>
        </w:rPr>
        <w:t>declarou a nulidade parcial</w:t>
      </w:r>
      <w:r>
        <w:t xml:space="preserve"> daquela decisão e </w:t>
      </w:r>
      <w:r>
        <w:rPr>
          <w:i/>
        </w:rPr>
        <w:t>tornou sem efeito</w:t>
      </w:r>
      <w:r>
        <w:t xml:space="preserve"> ambos os encargos. Não se trata de hipótese: é precedente do próprio Magistrado nestes autos.</w:t>
      </w:r>
    </w:p>
    <w:p>
      <w:pPr>
        <w:pStyle w:val="ListNumber"/>
        <w:spacing w:line="360" w:lineRule="auto"/>
      </w:pPr>
      <w:r>
        <w:rPr>
          <w:b/>
        </w:rPr>
        <w:t>O Juízo nunca decidiu o crédito da Fazenda Palmeira — e reservou-se expressamente para decidi-lo.</w:t>
      </w:r>
      <w:r>
        <w:t xml:space="preserve"> No </w:t>
      </w:r>
      <w:r>
        <w:rPr>
          <w:b/>
        </w:rPr>
        <w:t>evento 290 (27/02/2026)</w:t>
      </w:r>
      <w:r>
        <w:t xml:space="preserve"> consignou: </w:t>
      </w:r>
      <w:r>
        <w:rPr>
          <w:i/>
        </w:rPr>
        <w:t xml:space="preserve">"No que se refere aos pedidos de alienação judicial dos bens, prestação de contas pelo inventariante e pagamento do quinhão decorrente da venda do imóvel rural denominado 'Fazenda Palmeira', </w:t>
      </w:r>
      <w:r>
        <w:rPr>
          <w:i/>
        </w:rPr>
        <w:t>deixo para apreciação após o decurso do prazo</w:t>
      </w:r>
      <w:r>
        <w:rPr>
          <w:i/>
        </w:rPr>
        <w:t xml:space="preserve"> (…)"</w:t>
      </w:r>
      <w:r>
        <w:t xml:space="preserve">. E no </w:t>
      </w:r>
      <w:r>
        <w:rPr>
          <w:b/>
        </w:rPr>
        <w:t>evento 348 (08/07/2026)</w:t>
      </w:r>
      <w:r>
        <w:t xml:space="preserve"> reabriu o contraditório e anunciou que decidirá sobre a suficiência das contas </w:t>
      </w:r>
      <w:r>
        <w:rPr>
          <w:b/>
        </w:rPr>
        <w:t>e</w:t>
      </w:r>
      <w:r>
        <w:t xml:space="preserve"> sobre os pedidos executivos. Os autos estão conclusos desde </w:t>
      </w:r>
      <w:r>
        <w:rPr>
          <w:b/>
        </w:rPr>
        <w:t>31/07/2026 (ev. 353)</w:t>
      </w:r>
      <w:r>
        <w:t>.</w:t>
      </w:r>
    </w:p>
    <w:p>
      <w:pPr>
        <w:pStyle w:val="ListNumber"/>
        <w:spacing w:line="360" w:lineRule="auto"/>
      </w:pPr>
      <w:r>
        <w:rPr>
          <w:b/>
        </w:rPr>
        <w:t>A prestação de contas do evento 347 é aritmeticamente fechada e documentalmente instruída</w:t>
      </w:r>
      <w:r>
        <w:t xml:space="preserve"> — e, se acolhida, derruba o pedido de R$ 202.974,70.</w:t>
      </w:r>
    </w:p>
    <w:p>
      <w:pPr>
        <w:spacing w:after="40"/>
        <w:pBdr>
          <w:bottom w:val="single" w:sz="6" w:space="1" w:color="999999"/>
        </w:pBdr>
      </w:pPr>
    </w:p>
    <w:p>
      <w:pPr>
        <w:spacing w:before="240" w:after="120"/>
        <w:jc w:val="left"/>
      </w:pPr>
      <w:r>
        <w:rPr>
          <w:b/>
          <w:sz w:val="25"/>
        </w:rPr>
        <w:t>2. O QUE A LEITURA INTEGRAL DOS AUTOS REVELOU</w:t>
      </w:r>
    </w:p>
    <w:p>
      <w:pPr>
        <w:spacing w:before="240" w:after="120"/>
        <w:jc w:val="left"/>
      </w:pPr>
      <w:r>
        <w:rPr>
          <w:b/>
          <w:sz w:val="24"/>
        </w:rPr>
        <w:t>2.1 A contabilidade do espólio, segundo o evento 347</w:t>
      </w:r>
    </w:p>
    <w:tbl>
      <w:tblPr>
        <w:tblStyle w:val="TableGrid"/>
        <w:tblW w:type="auto" w:w="0"/>
        <w:tblLook w:firstColumn="1" w:firstRow="1" w:lastColumn="0" w:lastRow="0" w:noHBand="0" w:noVBand="1" w:val="04A0"/>
      </w:tblPr>
      <w:tblGrid>
        <w:gridCol w:w="4702"/>
        <w:gridCol w:w="4702"/>
      </w:tblGrid>
      <w:tr>
        <w:tc>
          <w:tcPr>
            <w:tcW w:type="dxa" w:w="4702"/>
          </w:tcPr>
          <w:p>
            <w:pPr>
              <w:spacing w:line="240" w:lineRule="auto" w:after="40"/>
              <w:jc w:val="left"/>
            </w:pPr>
            <w:r>
              <w:rPr>
                <w:b/>
                <w:sz w:val="20"/>
              </w:rPr>
              <w:t>Item</w:t>
            </w:r>
          </w:p>
        </w:tc>
        <w:tc>
          <w:tcPr>
            <w:tcW w:type="dxa" w:w="4702"/>
          </w:tcPr>
          <w:p>
            <w:pPr>
              <w:spacing w:line="240" w:lineRule="auto" w:after="40"/>
              <w:jc w:val="left"/>
            </w:pPr>
            <w:r>
              <w:rPr>
                <w:b/>
                <w:sz w:val="20"/>
              </w:rPr>
              <w:t>Valor</w:t>
            </w:r>
          </w:p>
        </w:tc>
      </w:tr>
      <w:tr>
        <w:tc>
          <w:tcPr>
            <w:tcW w:type="dxa" w:w="4702"/>
          </w:tcPr>
          <w:p>
            <w:pPr>
              <w:spacing w:line="240" w:lineRule="auto" w:after="40"/>
              <w:jc w:val="left"/>
            </w:pPr>
            <w:r>
              <w:rPr>
                <w:sz w:val="20"/>
              </w:rPr>
              <w:t>Valor líquido do espólio (apurado em avaliação judicial na ação de petição de herança)</w:t>
            </w:r>
          </w:p>
        </w:tc>
        <w:tc>
          <w:tcPr>
            <w:tcW w:type="dxa" w:w="4702"/>
          </w:tcPr>
          <w:p>
            <w:pPr>
              <w:spacing w:line="240" w:lineRule="auto" w:after="40"/>
              <w:jc w:val="left"/>
            </w:pPr>
            <w:r>
              <w:rPr>
                <w:b/>
                <w:sz w:val="20"/>
              </w:rPr>
              <w:t>R$ 7.395.878,73</w:t>
            </w:r>
          </w:p>
        </w:tc>
      </w:tr>
      <w:tr>
        <w:tc>
          <w:tcPr>
            <w:tcW w:type="dxa" w:w="4702"/>
          </w:tcPr>
          <w:p>
            <w:pPr>
              <w:spacing w:line="240" w:lineRule="auto" w:after="40"/>
              <w:jc w:val="left"/>
            </w:pPr>
            <w:r>
              <w:rPr>
                <w:sz w:val="20"/>
              </w:rPr>
              <w:t>Meação da viúva Terezinha (50%)</w:t>
            </w:r>
          </w:p>
        </w:tc>
        <w:tc>
          <w:tcPr>
            <w:tcW w:type="dxa" w:w="4702"/>
          </w:tcPr>
          <w:p>
            <w:pPr>
              <w:spacing w:line="240" w:lineRule="auto" w:after="40"/>
              <w:jc w:val="left"/>
            </w:pPr>
            <w:r>
              <w:rPr>
                <w:sz w:val="20"/>
              </w:rPr>
              <w:t>R$ 3.697.939,36</w:t>
            </w:r>
          </w:p>
        </w:tc>
      </w:tr>
      <w:tr>
        <w:tc>
          <w:tcPr>
            <w:tcW w:type="dxa" w:w="4702"/>
          </w:tcPr>
          <w:p>
            <w:pPr>
              <w:spacing w:line="240" w:lineRule="auto" w:after="40"/>
              <w:jc w:val="left"/>
            </w:pPr>
            <w:r>
              <w:rPr>
                <w:sz w:val="20"/>
              </w:rPr>
              <w:t xml:space="preserve">Herança líquida a partilhar entre </w:t>
            </w:r>
            <w:r>
              <w:rPr>
                <w:b/>
                <w:sz w:val="20"/>
              </w:rPr>
              <w:t>13 herdeiros</w:t>
            </w:r>
          </w:p>
        </w:tc>
        <w:tc>
          <w:tcPr>
            <w:tcW w:type="dxa" w:w="4702"/>
          </w:tcPr>
          <w:p>
            <w:pPr>
              <w:spacing w:line="240" w:lineRule="auto" w:after="40"/>
              <w:jc w:val="left"/>
            </w:pPr>
            <w:r>
              <w:rPr>
                <w:sz w:val="20"/>
              </w:rPr>
              <w:t>R$ 3.697.939,36</w:t>
            </w:r>
          </w:p>
        </w:tc>
      </w:tr>
      <w:tr>
        <w:tc>
          <w:tcPr>
            <w:tcW w:type="dxa" w:w="4702"/>
          </w:tcPr>
          <w:p>
            <w:pPr>
              <w:spacing w:line="240" w:lineRule="auto" w:after="40"/>
              <w:jc w:val="left"/>
            </w:pPr>
            <w:r>
              <w:rPr>
                <w:b/>
                <w:sz w:val="20"/>
              </w:rPr>
              <w:t>Quinhão individual de cada herdeiro</w:t>
            </w:r>
          </w:p>
        </w:tc>
        <w:tc>
          <w:tcPr>
            <w:tcW w:type="dxa" w:w="4702"/>
          </w:tcPr>
          <w:p>
            <w:pPr>
              <w:spacing w:line="240" w:lineRule="auto" w:after="40"/>
              <w:jc w:val="left"/>
            </w:pPr>
            <w:r>
              <w:rPr>
                <w:b/>
                <w:sz w:val="20"/>
              </w:rPr>
              <w:t>R$ 284.456,87</w:t>
            </w:r>
          </w:p>
        </w:tc>
      </w:tr>
    </w:tbl>
    <w:p/>
    <w:p>
      <w:pPr>
        <w:spacing w:before="240" w:after="120"/>
        <w:jc w:val="left"/>
      </w:pPr>
      <w:r>
        <w:rPr>
          <w:b/>
          <w:sz w:val="24"/>
        </w:rPr>
        <w:t>2.2 A destinação do preço da Fazenda Palmeira (R$ 3.500.000,00 — conta judicial nº 0793040015120580)</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jc w:val="left"/>
            </w:pPr>
            <w:r>
              <w:rPr>
                <w:b/>
                <w:sz w:val="20"/>
              </w:rPr>
              <w:t>Beneficiário</w:t>
            </w:r>
          </w:p>
        </w:tc>
        <w:tc>
          <w:tcPr>
            <w:tcW w:type="dxa" w:w="3135"/>
          </w:tcPr>
          <w:p>
            <w:pPr>
              <w:spacing w:line="240" w:lineRule="auto" w:after="40"/>
              <w:jc w:val="left"/>
            </w:pPr>
            <w:r>
              <w:rPr>
                <w:b/>
                <w:sz w:val="20"/>
              </w:rPr>
              <w:t>Valor</w:t>
            </w:r>
          </w:p>
        </w:tc>
        <w:tc>
          <w:tcPr>
            <w:tcW w:type="dxa" w:w="3135"/>
          </w:tcPr>
          <w:p>
            <w:pPr>
              <w:spacing w:line="240" w:lineRule="auto" w:after="40"/>
              <w:jc w:val="left"/>
            </w:pPr>
            <w:r>
              <w:rPr>
                <w:b/>
                <w:sz w:val="20"/>
              </w:rPr>
              <w:t>Natureza</w:t>
            </w:r>
          </w:p>
        </w:tc>
      </w:tr>
      <w:tr>
        <w:tc>
          <w:tcPr>
            <w:tcW w:type="dxa" w:w="3135"/>
          </w:tcPr>
          <w:p>
            <w:pPr>
              <w:spacing w:line="240" w:lineRule="auto" w:after="40"/>
              <w:jc w:val="left"/>
            </w:pPr>
            <w:r>
              <w:rPr>
                <w:sz w:val="20"/>
              </w:rPr>
              <w:t>Willer Waller Quirino dos Santos Arruda</w:t>
            </w:r>
          </w:p>
        </w:tc>
        <w:tc>
          <w:tcPr>
            <w:tcW w:type="dxa" w:w="3135"/>
          </w:tcPr>
          <w:p>
            <w:pPr>
              <w:spacing w:line="240" w:lineRule="auto" w:after="40"/>
              <w:jc w:val="left"/>
            </w:pPr>
            <w:r>
              <w:rPr>
                <w:sz w:val="20"/>
              </w:rPr>
              <w:t>R$ 284.456,87</w:t>
            </w:r>
          </w:p>
        </w:tc>
        <w:tc>
          <w:tcPr>
            <w:tcW w:type="dxa" w:w="3135"/>
          </w:tcPr>
          <w:p>
            <w:pPr>
              <w:spacing w:line="240" w:lineRule="auto" w:after="40"/>
              <w:jc w:val="left"/>
            </w:pPr>
            <w:r>
              <w:rPr>
                <w:sz w:val="20"/>
              </w:rPr>
              <w:t>herdeiro unilateral — quinhão integral em espécie</w:t>
            </w:r>
          </w:p>
        </w:tc>
      </w:tr>
      <w:tr>
        <w:tc>
          <w:tcPr>
            <w:tcW w:type="dxa" w:w="3135"/>
          </w:tcPr>
          <w:p>
            <w:pPr>
              <w:spacing w:line="240" w:lineRule="auto" w:after="40"/>
              <w:jc w:val="left"/>
            </w:pPr>
            <w:r>
              <w:rPr>
                <w:sz w:val="20"/>
              </w:rPr>
              <w:t>Welton Cosme de Oliveira</w:t>
            </w:r>
          </w:p>
        </w:tc>
        <w:tc>
          <w:tcPr>
            <w:tcW w:type="dxa" w:w="3135"/>
          </w:tcPr>
          <w:p>
            <w:pPr>
              <w:spacing w:line="240" w:lineRule="auto" w:after="40"/>
              <w:jc w:val="left"/>
            </w:pPr>
            <w:r>
              <w:rPr>
                <w:sz w:val="20"/>
              </w:rPr>
              <w:t>R$ 279.956,87</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Dilene Pereira da Silva</w:t>
            </w:r>
          </w:p>
        </w:tc>
        <w:tc>
          <w:tcPr>
            <w:tcW w:type="dxa" w:w="3135"/>
          </w:tcPr>
          <w:p>
            <w:pPr>
              <w:spacing w:line="240" w:lineRule="auto" w:after="40"/>
              <w:jc w:val="left"/>
            </w:pPr>
            <w:r>
              <w:rPr>
                <w:sz w:val="20"/>
              </w:rPr>
              <w:t>R$ 284.456,87</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Rose Mary da Silva Vieira Gomes</w:t>
            </w:r>
          </w:p>
        </w:tc>
        <w:tc>
          <w:tcPr>
            <w:tcW w:type="dxa" w:w="3135"/>
          </w:tcPr>
          <w:p>
            <w:pPr>
              <w:spacing w:line="240" w:lineRule="auto" w:after="40"/>
              <w:jc w:val="left"/>
            </w:pPr>
            <w:r>
              <w:rPr>
                <w:sz w:val="20"/>
              </w:rPr>
              <w:t>R$ 284.456,87</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Maria do Perpétuo do Socorro Rodrigues</w:t>
            </w:r>
          </w:p>
        </w:tc>
        <w:tc>
          <w:tcPr>
            <w:tcW w:type="dxa" w:w="3135"/>
          </w:tcPr>
          <w:p>
            <w:pPr>
              <w:spacing w:line="240" w:lineRule="auto" w:after="40"/>
              <w:jc w:val="left"/>
            </w:pPr>
            <w:r>
              <w:rPr>
                <w:sz w:val="20"/>
              </w:rPr>
              <w:t>R$ 284.456,87</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Alexandre Mágno Pereira da Silva</w:t>
            </w:r>
          </w:p>
        </w:tc>
        <w:tc>
          <w:tcPr>
            <w:tcW w:type="dxa" w:w="3135"/>
          </w:tcPr>
          <w:p>
            <w:pPr>
              <w:spacing w:line="240" w:lineRule="auto" w:after="40"/>
              <w:jc w:val="left"/>
            </w:pPr>
            <w:r>
              <w:rPr>
                <w:sz w:val="20"/>
              </w:rPr>
              <w:t>R$ 336.409,67</w:t>
            </w:r>
          </w:p>
        </w:tc>
        <w:tc>
          <w:tcPr>
            <w:tcW w:type="dxa" w:w="3135"/>
          </w:tcPr>
          <w:p>
            <w:pPr>
              <w:spacing w:line="240" w:lineRule="auto" w:after="40"/>
              <w:jc w:val="left"/>
            </w:pPr>
            <w:r>
              <w:rPr>
                <w:sz w:val="20"/>
              </w:rPr>
              <w:t>idem (cota reservada, corrigida)</w:t>
            </w:r>
          </w:p>
        </w:tc>
      </w:tr>
      <w:tr>
        <w:tc>
          <w:tcPr>
            <w:tcW w:type="dxa" w:w="3135"/>
          </w:tcPr>
          <w:p>
            <w:pPr>
              <w:spacing w:line="240" w:lineRule="auto" w:after="40"/>
              <w:jc w:val="left"/>
            </w:pPr>
            <w:r>
              <w:rPr>
                <w:sz w:val="20"/>
              </w:rPr>
              <w:t>Berenice Rodrigues Queiroz</w:t>
            </w:r>
          </w:p>
        </w:tc>
        <w:tc>
          <w:tcPr>
            <w:tcW w:type="dxa" w:w="3135"/>
          </w:tcPr>
          <w:p>
            <w:pPr>
              <w:spacing w:line="240" w:lineRule="auto" w:after="40"/>
              <w:jc w:val="left"/>
            </w:pPr>
            <w:r>
              <w:rPr>
                <w:sz w:val="20"/>
              </w:rPr>
              <w:t>R$ 41.394,80</w:t>
            </w:r>
          </w:p>
        </w:tc>
        <w:tc>
          <w:tcPr>
            <w:tcW w:type="dxa" w:w="3135"/>
          </w:tcPr>
          <w:p>
            <w:pPr>
              <w:spacing w:line="240" w:lineRule="auto" w:after="40"/>
              <w:jc w:val="left"/>
            </w:pPr>
            <w:r>
              <w:rPr>
                <w:sz w:val="20"/>
              </w:rPr>
              <w:t xml:space="preserve">herdeira bilateral — </w:t>
            </w:r>
            <w:r>
              <w:rPr>
                <w:b/>
                <w:sz w:val="20"/>
              </w:rPr>
              <w:t>complemento</w:t>
            </w:r>
          </w:p>
        </w:tc>
      </w:tr>
      <w:tr>
        <w:tc>
          <w:tcPr>
            <w:tcW w:type="dxa" w:w="3135"/>
          </w:tcPr>
          <w:p>
            <w:pPr>
              <w:spacing w:line="240" w:lineRule="auto" w:after="40"/>
              <w:jc w:val="left"/>
            </w:pPr>
            <w:r>
              <w:rPr>
                <w:sz w:val="20"/>
              </w:rPr>
              <w:t>Berilene Rodrigues Arruda Borges de Souza</w:t>
            </w:r>
          </w:p>
        </w:tc>
        <w:tc>
          <w:tcPr>
            <w:tcW w:type="dxa" w:w="3135"/>
          </w:tcPr>
          <w:p>
            <w:pPr>
              <w:spacing w:line="240" w:lineRule="auto" w:after="40"/>
              <w:jc w:val="left"/>
            </w:pPr>
            <w:r>
              <w:rPr>
                <w:sz w:val="20"/>
              </w:rPr>
              <w:t>R$ 41.394,80</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b/>
                <w:sz w:val="20"/>
              </w:rPr>
              <w:t>MAGNÓLIA RODRIGUES COSTA</w:t>
            </w:r>
          </w:p>
        </w:tc>
        <w:tc>
          <w:tcPr>
            <w:tcW w:type="dxa" w:w="3135"/>
          </w:tcPr>
          <w:p>
            <w:pPr>
              <w:spacing w:line="240" w:lineRule="auto" w:after="40"/>
              <w:jc w:val="left"/>
            </w:pPr>
            <w:r>
              <w:rPr>
                <w:b/>
                <w:sz w:val="20"/>
              </w:rPr>
              <w:t>R$ 6.394,80</w:t>
            </w:r>
          </w:p>
        </w:tc>
        <w:tc>
          <w:tcPr>
            <w:tcW w:type="dxa" w:w="3135"/>
          </w:tcPr>
          <w:p>
            <w:pPr>
              <w:spacing w:line="240" w:lineRule="auto" w:after="40"/>
              <w:jc w:val="left"/>
            </w:pPr>
            <w:r>
              <w:rPr>
                <w:sz w:val="20"/>
              </w:rPr>
              <w:t xml:space="preserve">idem — </w:t>
            </w:r>
            <w:r>
              <w:rPr>
                <w:b/>
                <w:sz w:val="20"/>
              </w:rPr>
              <w:t>porque adjudicou o trator por R$ 35.000,00</w:t>
            </w:r>
          </w:p>
        </w:tc>
      </w:tr>
      <w:tr>
        <w:tc>
          <w:tcPr>
            <w:tcW w:type="dxa" w:w="3135"/>
          </w:tcPr>
          <w:p>
            <w:pPr>
              <w:spacing w:line="240" w:lineRule="auto" w:after="40"/>
              <w:jc w:val="left"/>
            </w:pPr>
            <w:r>
              <w:rPr>
                <w:sz w:val="20"/>
              </w:rPr>
              <w:t>Maristela Rodrigues Arruda</w:t>
            </w:r>
          </w:p>
        </w:tc>
        <w:tc>
          <w:tcPr>
            <w:tcW w:type="dxa" w:w="3135"/>
          </w:tcPr>
          <w:p>
            <w:pPr>
              <w:spacing w:line="240" w:lineRule="auto" w:after="40"/>
              <w:jc w:val="left"/>
            </w:pPr>
            <w:r>
              <w:rPr>
                <w:sz w:val="20"/>
              </w:rPr>
              <w:t>R$ 41.394,80</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Marlem Rodrigues Arruda Machado</w:t>
            </w:r>
          </w:p>
        </w:tc>
        <w:tc>
          <w:tcPr>
            <w:tcW w:type="dxa" w:w="3135"/>
          </w:tcPr>
          <w:p>
            <w:pPr>
              <w:spacing w:line="240" w:lineRule="auto" w:after="40"/>
              <w:jc w:val="left"/>
            </w:pPr>
            <w:r>
              <w:rPr>
                <w:sz w:val="20"/>
              </w:rPr>
              <w:t>R$ 41.394,80</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Raimundo Nonato Rodrigues Arruda</w:t>
            </w:r>
          </w:p>
        </w:tc>
        <w:tc>
          <w:tcPr>
            <w:tcW w:type="dxa" w:w="3135"/>
          </w:tcPr>
          <w:p>
            <w:pPr>
              <w:spacing w:line="240" w:lineRule="auto" w:after="40"/>
              <w:jc w:val="left"/>
            </w:pPr>
            <w:r>
              <w:rPr>
                <w:sz w:val="20"/>
              </w:rPr>
              <w:t>R$ 41.394,80</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Berivaldo Rodrigues Arruda</w:t>
            </w:r>
          </w:p>
        </w:tc>
        <w:tc>
          <w:tcPr>
            <w:tcW w:type="dxa" w:w="3135"/>
          </w:tcPr>
          <w:p>
            <w:pPr>
              <w:spacing w:line="240" w:lineRule="auto" w:after="40"/>
              <w:jc w:val="left"/>
            </w:pPr>
            <w:r>
              <w:rPr>
                <w:sz w:val="20"/>
              </w:rPr>
              <w:t>R$ 50.740,50</w:t>
            </w:r>
          </w:p>
        </w:tc>
        <w:tc>
          <w:tcPr>
            <w:tcW w:type="dxa" w:w="3135"/>
          </w:tcPr>
          <w:p>
            <w:pPr>
              <w:spacing w:line="240" w:lineRule="auto" w:after="40"/>
              <w:jc w:val="left"/>
            </w:pPr>
            <w:r>
              <w:rPr>
                <w:sz w:val="20"/>
              </w:rPr>
              <w:t>idem</w:t>
            </w:r>
          </w:p>
        </w:tc>
      </w:tr>
      <w:tr>
        <w:tc>
          <w:tcPr>
            <w:tcW w:type="dxa" w:w="3135"/>
          </w:tcPr>
          <w:p>
            <w:pPr>
              <w:spacing w:line="240" w:lineRule="auto" w:after="40"/>
              <w:jc w:val="left"/>
            </w:pPr>
            <w:r>
              <w:rPr>
                <w:sz w:val="20"/>
              </w:rPr>
              <w:t>Terezinha Rodrigues Arruda (meeira)</w:t>
            </w:r>
          </w:p>
        </w:tc>
        <w:tc>
          <w:tcPr>
            <w:tcW w:type="dxa" w:w="3135"/>
          </w:tcPr>
          <w:p>
            <w:pPr>
              <w:spacing w:line="240" w:lineRule="auto" w:after="40"/>
              <w:jc w:val="left"/>
            </w:pPr>
            <w:r>
              <w:rPr>
                <w:sz w:val="20"/>
              </w:rPr>
              <w:t>R$ 1.352.262,89</w:t>
            </w:r>
          </w:p>
        </w:tc>
        <w:tc>
          <w:tcPr>
            <w:tcW w:type="dxa" w:w="3135"/>
          </w:tcPr>
          <w:p>
            <w:pPr>
              <w:spacing w:line="240" w:lineRule="auto" w:after="40"/>
              <w:jc w:val="left"/>
            </w:pPr>
            <w:r>
              <w:rPr>
                <w:sz w:val="20"/>
              </w:rPr>
              <w:t>meação, deduzidas despesas</w:t>
            </w:r>
          </w:p>
        </w:tc>
      </w:tr>
    </w:tbl>
    <w:p/>
    <w:p>
      <w:r>
        <w:t xml:space="preserve">Os </w:t>
      </w:r>
      <w:r>
        <w:rPr>
          <w:b/>
        </w:rPr>
        <w:t>alvarás judiciais eletrônicos</w:t>
      </w:r>
      <w:r>
        <w:t xml:space="preserve"> estão juntados no evento 275 (ANEXO 21, 22 e 23): Berenice nº 04600029/2018 (R$ 41.394,80), Maristela nº 04600031/2018 (R$ 41.394,80), </w:t>
      </w:r>
      <w:r>
        <w:rPr>
          <w:b/>
        </w:rPr>
        <w:t>Magnólia nº 04600116/2018 (R$ 6.394,80)</w:t>
      </w:r>
      <w:r>
        <w:t>, Terezinha nº 04600027/2018 (R$ 1.352.262,89), Alexandre nº 04600152/2019 (R$ 336.409,67).</w:t>
      </w:r>
    </w:p>
    <w:p>
      <w:pPr>
        <w:spacing w:before="240" w:after="120"/>
        <w:jc w:val="left"/>
      </w:pPr>
      <w:r>
        <w:rPr>
          <w:b/>
          <w:sz w:val="24"/>
        </w:rPr>
        <w:t>2.3 A tese do executado — e por que ela é perigosa</w:t>
      </w:r>
    </w:p>
    <w:p>
      <w:r>
        <w:t xml:space="preserve">Segundo o evento 347, o quinhão de </w:t>
      </w:r>
      <w:r>
        <w:rPr>
          <w:b/>
        </w:rPr>
        <w:t>R$ 284.456,87</w:t>
      </w:r>
      <w:r>
        <w:t xml:space="preserve"> da nossa cliente foi composto assim:</w:t>
      </w:r>
    </w:p>
    <w:p>
      <w:pPr>
        <w:spacing w:line="240" w:lineRule="auto" w:after="120"/>
        <w:ind w:left="1134"/>
      </w:pPr>
      <w:r>
        <w:rPr>
          <w:b/>
          <w:sz w:val="22"/>
        </w:rPr>
        <w:t>7,14% sobre os 10 imóveis urbanos remanescentes</w:t>
      </w:r>
      <w:r>
        <w:rPr>
          <w:sz w:val="22"/>
        </w:rPr>
        <w:t xml:space="preserve"> </w:t>
      </w:r>
      <w:r>
        <w:rPr>
          <w:i/>
          <w:sz w:val="22"/>
        </w:rPr>
        <w:t>(que permaneceram em condomínio)</w:t>
      </w:r>
      <w:r>
        <w:rPr>
          <w:sz w:val="22"/>
        </w:rPr>
        <w:t xml:space="preserve"> </w:t>
      </w:r>
      <w:r>
        <w:rPr>
          <w:b/>
          <w:sz w:val="22"/>
        </w:rPr>
        <w:t>+ R$ 35.000,00 (trator adjudicado) + R$ 6.394,80 (alvará) = R$ 284.456,87.</w:t>
      </w:r>
    </w:p>
    <w:p>
      <w:r>
        <w:t xml:space="preserve">Se essa equação for aceita, </w:t>
      </w:r>
      <w:r>
        <w:rPr>
          <w:b/>
        </w:rPr>
        <w:t>cobrar 1/13 da Fazenda Palmeira E 7,14% dos imóveis urbanos é contar duas vezes o mesmo quinhão</w:t>
      </w:r>
      <w:r>
        <w:t xml:space="preserve"> — porque o produto da fazenda foi integralmente consumido para pagar aos 6 herdeiros unilaterais a </w:t>
      </w:r>
      <w:r>
        <w:rPr>
          <w:b/>
        </w:rPr>
        <w:t>totalidade</w:t>
      </w:r>
      <w:r>
        <w:t xml:space="preserve"> dos quinhões deles (que incluíam a parte que lhes tocaria nos imóveis urbanos). Em troca, os 7 herdeiros bilaterais conservaram </w:t>
      </w:r>
      <w:r>
        <w:rPr>
          <w:b/>
        </w:rPr>
        <w:t>integralmente</w:t>
      </w:r>
      <w:r>
        <w:t xml:space="preserve"> suas frações originais de 7,14%/7,15% sobre os imóveis urbanos.</w:t>
      </w:r>
    </w:p>
    <w:p>
      <w:r>
        <w:rPr>
          <w:b/>
        </w:rPr>
        <w:t>Conferência aritmética:</w:t>
      </w:r>
      <w:r>
        <w:t xml:space="preserve"> os pagamentos listados somam R$ 3.370.566,21; a diferença para R$ 3.500.000,00 (R$ 129.433,79) corresponde a corretagem, custas e despesas discriminadas. </w:t>
      </w:r>
      <w:r>
        <w:rPr>
          <w:b/>
        </w:rPr>
        <w:t>A contabilidade fecha.</w:t>
      </w:r>
    </w:p>
    <w:p>
      <w:pPr>
        <w:spacing w:before="240" w:after="120"/>
        <w:jc w:val="left"/>
      </w:pPr>
      <w:r>
        <w:rPr>
          <w:b/>
          <w:sz w:val="24"/>
        </w:rPr>
        <w:t>2.4 O acordo homologado — o ponto mais sensível</w:t>
      </w:r>
    </w:p>
    <w:p>
      <w:r>
        <w:t xml:space="preserve">Consta do evento 51 (ANEXO 4 / SENT5) </w:t>
      </w:r>
      <w:r>
        <w:rPr>
          <w:b/>
        </w:rPr>
        <w:t>sentença homologatória</w:t>
      </w:r>
      <w:r>
        <w:t xml:space="preserve"> proferida pelo Juiz Nassib Cleto Mamud, 1ª Vara de Família e Sucessões de Gurupi, nos autos nº 0009192-87.2015.827.2722 e 0011536-41.2015.827.2722:</w:t>
      </w:r>
    </w:p>
    <w:p>
      <w:pPr>
        <w:spacing w:line="240" w:lineRule="auto" w:after="120"/>
        <w:ind w:left="1134"/>
      </w:pPr>
      <w:r>
        <w:rPr>
          <w:i/>
          <w:sz w:val="22"/>
        </w:rPr>
        <w:t xml:space="preserve">"Trata-se de </w:t>
      </w:r>
      <w:r>
        <w:rPr>
          <w:i/>
          <w:sz w:val="22"/>
        </w:rPr>
        <w:t>ACORDO</w:t>
      </w:r>
      <w:r>
        <w:rPr>
          <w:i/>
          <w:sz w:val="22"/>
        </w:rPr>
        <w:t xml:space="preserve"> (…) proposta por Welton Cosme de Oliveira, Dilene Pereira da Silva, Rose Mary da Silva Vieira Gomes, Maria do Perpetuo do Socorro Rodrigues, Terezinha Rodrigues Arruda, Berivaldo Rodrigues Arruda, Berenice Rodrigues Queiroz, Berilene Rodrigues Arruda Borges de Souza, </w:t>
      </w:r>
      <w:r>
        <w:rPr>
          <w:i/>
          <w:sz w:val="22"/>
        </w:rPr>
        <w:t>Magnólia Rodrigues Costa</w:t>
      </w:r>
      <w:r>
        <w:rPr>
          <w:i/>
          <w:sz w:val="22"/>
        </w:rPr>
        <w:t xml:space="preserve">, Maristela Rodrigues Arruda, Marlem Rodrigues Arruda Machado, Raimundo Nonato Rodrigues Arruda, Janos (…), Joyce (…), João Borges Netto e Willer Waller (…). No evento 133 as partes entabularam acordo. (…) </w:t>
      </w:r>
      <w:r>
        <w:rPr>
          <w:i/>
          <w:sz w:val="22"/>
        </w:rPr>
        <w:t>HOMOLOGO POR SENTENÇA o acordo (evento 150)</w:t>
      </w:r>
      <w:r>
        <w:rPr>
          <w:i/>
          <w:sz w:val="22"/>
        </w:rPr>
        <w:t xml:space="preserve"> (…) </w:t>
      </w:r>
      <w:r>
        <w:rPr>
          <w:i/>
          <w:sz w:val="22"/>
        </w:rPr>
        <w:t>JULGO EXTINTO O PROCESSO, COM RESOLUÇÃO DO MÉRITO</w:t>
      </w:r>
      <w:r>
        <w:rPr>
          <w:i/>
          <w:sz w:val="22"/>
        </w:rPr>
        <w:t>."</w:t>
      </w:r>
    </w:p>
    <w:p>
      <w:r>
        <w:rPr>
          <w:b/>
        </w:rPr>
        <w:t>Nossa cliente é parte nomeada nesse acordo, homologado com resolução de mérito (art. 487, III, "b", do CPC).</w:t>
      </w:r>
      <w:r>
        <w:t xml:space="preserve"> É exatamente a isso que o agravante se refere quando alega "desrespeito a acordo judicial homologado".</w:t>
      </w:r>
    </w:p>
    <w:p>
      <w:pPr>
        <w:spacing w:line="240" w:lineRule="auto" w:after="120"/>
        <w:ind w:left="1134"/>
      </w:pPr>
      <w:r>
        <w:rPr>
          <w:sz w:val="22"/>
        </w:rPr>
        <w:t xml:space="preserve">🔴 </w:t>
      </w:r>
      <w:r>
        <w:rPr>
          <w:b/>
          <w:sz w:val="22"/>
        </w:rPr>
        <w:t>DILIGÊNCIA URGENTE E INDISPENSÁVEL:</w:t>
      </w:r>
      <w:r>
        <w:rPr>
          <w:sz w:val="22"/>
        </w:rPr>
        <w:t xml:space="preserve"> obter e ler o </w:t>
      </w:r>
      <w:r>
        <w:rPr>
          <w:b/>
          <w:sz w:val="22"/>
        </w:rPr>
        <w:t>termo de acordo do evento 150 dos autos nº 0009192-87.2015.827.2722</w:t>
      </w:r>
      <w:r>
        <w:rPr>
          <w:sz w:val="22"/>
        </w:rPr>
        <w:t xml:space="preserve"> e o </w:t>
      </w:r>
      <w:r>
        <w:rPr>
          <w:b/>
          <w:sz w:val="22"/>
        </w:rPr>
        <w:t>evento 133</w:t>
      </w:r>
      <w:r>
        <w:rPr>
          <w:sz w:val="22"/>
        </w:rPr>
        <w:t xml:space="preserve"> dos mesmos autos. Só a leitura das cláusulas dirá se há </w:t>
      </w:r>
      <w:r>
        <w:rPr>
          <w:b/>
          <w:sz w:val="22"/>
        </w:rPr>
        <w:t>quitação geral</w:t>
      </w:r>
      <w:r>
        <w:rPr>
          <w:sz w:val="22"/>
        </w:rPr>
        <w:t xml:space="preserve"> ou se o acordo se limitou a distribuir o preço da fazenda. </w:t>
      </w:r>
      <w:r>
        <w:rPr>
          <w:i/>
          <w:sz w:val="22"/>
        </w:rPr>
        <w:t>Não consegui lê-lo: a cópia juntada no evento 275 (ACORDO11, 11 páginas) é imagem digitalizada sem camada de texto.</w:t>
      </w:r>
      <w:r>
        <w:rPr>
          <w:sz w:val="22"/>
        </w:rPr>
        <w:t xml:space="preserve"> </w:t>
      </w:r>
      <w:r>
        <w:rPr>
          <w:b/>
          <w:sz w:val="22"/>
        </w:rPr>
        <w:t>Desse documento depende quase todo o prognóstico.</w:t>
      </w:r>
    </w:p>
    <w:p>
      <w:pPr>
        <w:spacing w:after="40"/>
        <w:pBdr>
          <w:bottom w:val="single" w:sz="6" w:space="1" w:color="999999"/>
        </w:pBdr>
      </w:pPr>
    </w:p>
    <w:p>
      <w:pPr>
        <w:spacing w:before="240" w:after="120"/>
        <w:jc w:val="left"/>
      </w:pPr>
      <w:r>
        <w:rPr>
          <w:b/>
          <w:sz w:val="25"/>
        </w:rPr>
        <w:t>3. RISCOS MAPEADOS E GRADUADOS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jc w:val="left"/>
            </w:pPr>
            <w:r>
              <w:rPr>
                <w:b/>
                <w:sz w:val="20"/>
              </w:rPr>
              <w:t>#</w:t>
            </w:r>
          </w:p>
        </w:tc>
        <w:tc>
          <w:tcPr>
            <w:tcW w:type="dxa" w:w="2351"/>
          </w:tcPr>
          <w:p>
            <w:pPr>
              <w:spacing w:line="240" w:lineRule="auto" w:after="40"/>
              <w:jc w:val="left"/>
            </w:pPr>
            <w:r>
              <w:rPr>
                <w:b/>
                <w:sz w:val="20"/>
              </w:rPr>
              <w:t>Risco</w:t>
            </w:r>
          </w:p>
        </w:tc>
        <w:tc>
          <w:tcPr>
            <w:tcW w:type="dxa" w:w="2351"/>
          </w:tcPr>
          <w:p>
            <w:pPr>
              <w:spacing w:line="240" w:lineRule="auto" w:after="40"/>
              <w:jc w:val="left"/>
            </w:pPr>
            <w:r>
              <w:rPr>
                <w:b/>
                <w:sz w:val="20"/>
              </w:rPr>
              <w:t>Probabilidade</w:t>
            </w:r>
          </w:p>
        </w:tc>
        <w:tc>
          <w:tcPr>
            <w:tcW w:type="dxa" w:w="2351"/>
          </w:tcPr>
          <w:p>
            <w:pPr>
              <w:spacing w:line="240" w:lineRule="auto" w:after="40"/>
              <w:jc w:val="left"/>
            </w:pPr>
            <w:r>
              <w:rPr>
                <w:b/>
                <w:sz w:val="20"/>
              </w:rPr>
              <w:t>Impacto</w:t>
            </w:r>
          </w:p>
        </w:tc>
      </w:tr>
      <w:tr>
        <w:tc>
          <w:tcPr>
            <w:tcW w:type="dxa" w:w="2351"/>
          </w:tcPr>
          <w:p>
            <w:pPr>
              <w:spacing w:line="240" w:lineRule="auto" w:after="40"/>
              <w:jc w:val="left"/>
            </w:pPr>
            <w:r>
              <w:rPr>
                <w:sz w:val="20"/>
              </w:rPr>
              <w:t>1</w:t>
            </w:r>
          </w:p>
        </w:tc>
        <w:tc>
          <w:tcPr>
            <w:tcW w:type="dxa" w:w="2351"/>
          </w:tcPr>
          <w:p>
            <w:pPr>
              <w:spacing w:line="240" w:lineRule="auto" w:after="40"/>
              <w:jc w:val="left"/>
            </w:pPr>
            <w:r>
              <w:rPr>
                <w:sz w:val="20"/>
              </w:rPr>
              <w:t>Rejeição do crédito da Fazenda Palmeira (R$ 202.974,70)</w:t>
            </w:r>
          </w:p>
        </w:tc>
        <w:tc>
          <w:tcPr>
            <w:tcW w:type="dxa" w:w="2351"/>
          </w:tcPr>
          <w:p>
            <w:pPr>
              <w:spacing w:line="240" w:lineRule="auto" w:after="40"/>
              <w:jc w:val="left"/>
            </w:pPr>
            <w:r>
              <w:rPr>
                <w:b/>
                <w:sz w:val="20"/>
              </w:rPr>
              <w:t>Alta</w:t>
            </w:r>
          </w:p>
        </w:tc>
        <w:tc>
          <w:tcPr>
            <w:tcW w:type="dxa" w:w="2351"/>
          </w:tcPr>
          <w:p>
            <w:pPr>
              <w:spacing w:line="240" w:lineRule="auto" w:after="40"/>
              <w:jc w:val="left"/>
            </w:pPr>
            <w:r>
              <w:rPr>
                <w:sz w:val="20"/>
              </w:rPr>
              <w:t>Alto</w:t>
            </w:r>
          </w:p>
        </w:tc>
      </w:tr>
      <w:tr>
        <w:tc>
          <w:tcPr>
            <w:tcW w:type="dxa" w:w="2351"/>
          </w:tcPr>
          <w:p>
            <w:pPr>
              <w:spacing w:line="240" w:lineRule="auto" w:after="40"/>
              <w:jc w:val="left"/>
            </w:pPr>
            <w:r>
              <w:rPr>
                <w:sz w:val="20"/>
              </w:rPr>
              <w:t>2</w:t>
            </w:r>
          </w:p>
        </w:tc>
        <w:tc>
          <w:tcPr>
            <w:tcW w:type="dxa" w:w="2351"/>
          </w:tcPr>
          <w:p>
            <w:pPr>
              <w:spacing w:line="240" w:lineRule="auto" w:after="40"/>
              <w:jc w:val="left"/>
            </w:pPr>
            <w:r>
              <w:rPr>
                <w:sz w:val="20"/>
              </w:rPr>
              <w:t>Indeferimento definitivo da multa de 10% + honorários de 10% (art. 523, § 1º)</w:t>
            </w:r>
          </w:p>
        </w:tc>
        <w:tc>
          <w:tcPr>
            <w:tcW w:type="dxa" w:w="2351"/>
          </w:tcPr>
          <w:p>
            <w:pPr>
              <w:spacing w:line="240" w:lineRule="auto" w:after="40"/>
              <w:jc w:val="left"/>
            </w:pPr>
            <w:r>
              <w:rPr>
                <w:b/>
                <w:sz w:val="20"/>
              </w:rPr>
              <w:t>Alta</w:t>
            </w:r>
          </w:p>
        </w:tc>
        <w:tc>
          <w:tcPr>
            <w:tcW w:type="dxa" w:w="2351"/>
          </w:tcPr>
          <w:p>
            <w:pPr>
              <w:spacing w:line="240" w:lineRule="auto" w:after="40"/>
              <w:jc w:val="left"/>
            </w:pPr>
            <w:r>
              <w:rPr>
                <w:sz w:val="20"/>
              </w:rPr>
              <w:t>Médio</w:t>
            </w:r>
          </w:p>
        </w:tc>
      </w:tr>
      <w:tr>
        <w:tc>
          <w:tcPr>
            <w:tcW w:type="dxa" w:w="2351"/>
          </w:tcPr>
          <w:p>
            <w:pPr>
              <w:spacing w:line="240" w:lineRule="auto" w:after="40"/>
              <w:jc w:val="left"/>
            </w:pPr>
            <w:r>
              <w:rPr>
                <w:sz w:val="20"/>
              </w:rPr>
              <w:t>3</w:t>
            </w:r>
          </w:p>
        </w:tc>
        <w:tc>
          <w:tcPr>
            <w:tcW w:type="dxa" w:w="2351"/>
          </w:tcPr>
          <w:p>
            <w:pPr>
              <w:spacing w:line="240" w:lineRule="auto" w:after="40"/>
              <w:jc w:val="left"/>
            </w:pPr>
            <w:r>
              <w:rPr>
                <w:sz w:val="20"/>
              </w:rPr>
              <w:t>Contas do ev. 347 julgadas prestadas → sem astreintes</w:t>
            </w:r>
          </w:p>
        </w:tc>
        <w:tc>
          <w:tcPr>
            <w:tcW w:type="dxa" w:w="2351"/>
          </w:tcPr>
          <w:p>
            <w:pPr>
              <w:spacing w:line="240" w:lineRule="auto" w:after="40"/>
              <w:jc w:val="left"/>
            </w:pPr>
            <w:r>
              <w:rPr>
                <w:b/>
                <w:sz w:val="20"/>
              </w:rPr>
              <w:t>Média-alta</w:t>
            </w:r>
          </w:p>
        </w:tc>
        <w:tc>
          <w:tcPr>
            <w:tcW w:type="dxa" w:w="2351"/>
          </w:tcPr>
          <w:p>
            <w:pPr>
              <w:spacing w:line="240" w:lineRule="auto" w:after="40"/>
              <w:jc w:val="left"/>
            </w:pPr>
            <w:r>
              <w:rPr>
                <w:sz w:val="20"/>
              </w:rPr>
              <w:t>Médio</w:t>
            </w:r>
          </w:p>
        </w:tc>
      </w:tr>
      <w:tr>
        <w:tc>
          <w:tcPr>
            <w:tcW w:type="dxa" w:w="2351"/>
          </w:tcPr>
          <w:p>
            <w:pPr>
              <w:spacing w:line="240" w:lineRule="auto" w:after="40"/>
              <w:jc w:val="left"/>
            </w:pPr>
            <w:r>
              <w:rPr>
                <w:sz w:val="20"/>
              </w:rPr>
              <w:t>4</w:t>
            </w:r>
          </w:p>
        </w:tc>
        <w:tc>
          <w:tcPr>
            <w:tcW w:type="dxa" w:w="2351"/>
          </w:tcPr>
          <w:p>
            <w:pPr>
              <w:spacing w:line="240" w:lineRule="auto" w:after="40"/>
              <w:jc w:val="left"/>
            </w:pPr>
            <w:r>
              <w:rPr>
                <w:sz w:val="20"/>
              </w:rPr>
              <w:t>Redimensionamento/negativa do leilão restrito a 2 imóveis</w:t>
            </w:r>
          </w:p>
        </w:tc>
        <w:tc>
          <w:tcPr>
            <w:tcW w:type="dxa" w:w="2351"/>
          </w:tcPr>
          <w:p>
            <w:pPr>
              <w:spacing w:line="240" w:lineRule="auto" w:after="40"/>
              <w:jc w:val="left"/>
            </w:pPr>
            <w:r>
              <w:rPr>
                <w:b/>
                <w:sz w:val="20"/>
              </w:rPr>
              <w:t>Média</w:t>
            </w:r>
          </w:p>
        </w:tc>
        <w:tc>
          <w:tcPr>
            <w:tcW w:type="dxa" w:w="2351"/>
          </w:tcPr>
          <w:p>
            <w:pPr>
              <w:spacing w:line="240" w:lineRule="auto" w:after="40"/>
              <w:jc w:val="left"/>
            </w:pPr>
            <w:r>
              <w:rPr>
                <w:sz w:val="20"/>
              </w:rPr>
              <w:t>Médio</w:t>
            </w:r>
          </w:p>
        </w:tc>
      </w:tr>
      <w:tr>
        <w:tc>
          <w:tcPr>
            <w:tcW w:type="dxa" w:w="2351"/>
          </w:tcPr>
          <w:p>
            <w:pPr>
              <w:spacing w:line="240" w:lineRule="auto" w:after="40"/>
              <w:jc w:val="left"/>
            </w:pPr>
            <w:r>
              <w:rPr>
                <w:sz w:val="20"/>
              </w:rPr>
              <w:t>5</w:t>
            </w:r>
          </w:p>
        </w:tc>
        <w:tc>
          <w:tcPr>
            <w:tcW w:type="dxa" w:w="2351"/>
          </w:tcPr>
          <w:p>
            <w:pPr>
              <w:spacing w:line="240" w:lineRule="auto" w:after="40"/>
              <w:jc w:val="left"/>
            </w:pPr>
            <w:r>
              <w:rPr>
                <w:sz w:val="20"/>
              </w:rPr>
              <w:t>Constrição do produto pela execução movida contra a própria cliente</w:t>
            </w:r>
          </w:p>
        </w:tc>
        <w:tc>
          <w:tcPr>
            <w:tcW w:type="dxa" w:w="2351"/>
          </w:tcPr>
          <w:p>
            <w:pPr>
              <w:spacing w:line="240" w:lineRule="auto" w:after="40"/>
              <w:jc w:val="left"/>
            </w:pPr>
            <w:r>
              <w:rPr>
                <w:b/>
                <w:sz w:val="20"/>
              </w:rPr>
              <w:t>Média-alta</w:t>
            </w:r>
          </w:p>
        </w:tc>
        <w:tc>
          <w:tcPr>
            <w:tcW w:type="dxa" w:w="2351"/>
          </w:tcPr>
          <w:p>
            <w:pPr>
              <w:spacing w:line="240" w:lineRule="auto" w:after="40"/>
              <w:jc w:val="left"/>
            </w:pPr>
            <w:r>
              <w:rPr>
                <w:b/>
                <w:sz w:val="20"/>
              </w:rPr>
              <w:t>Alto</w:t>
            </w:r>
          </w:p>
        </w:tc>
      </w:tr>
      <w:tr>
        <w:tc>
          <w:tcPr>
            <w:tcW w:type="dxa" w:w="2351"/>
          </w:tcPr>
          <w:p>
            <w:pPr>
              <w:spacing w:line="240" w:lineRule="auto" w:after="40"/>
              <w:jc w:val="left"/>
            </w:pPr>
            <w:r>
              <w:rPr>
                <w:sz w:val="20"/>
              </w:rPr>
              <w:t>6</w:t>
            </w:r>
          </w:p>
        </w:tc>
        <w:tc>
          <w:tcPr>
            <w:tcW w:type="dxa" w:w="2351"/>
          </w:tcPr>
          <w:p>
            <w:pPr>
              <w:spacing w:line="240" w:lineRule="auto" w:after="40"/>
              <w:jc w:val="left"/>
            </w:pPr>
            <w:r>
              <w:rPr>
                <w:sz w:val="20"/>
              </w:rPr>
              <w:t>Nulidade por ausência de coproprietários não citados</w:t>
            </w:r>
          </w:p>
        </w:tc>
        <w:tc>
          <w:tcPr>
            <w:tcW w:type="dxa" w:w="2351"/>
          </w:tcPr>
          <w:p>
            <w:pPr>
              <w:spacing w:line="240" w:lineRule="auto" w:after="40"/>
              <w:jc w:val="left"/>
            </w:pPr>
            <w:r>
              <w:rPr>
                <w:sz w:val="20"/>
              </w:rPr>
              <w:t>Média</w:t>
            </w:r>
          </w:p>
        </w:tc>
        <w:tc>
          <w:tcPr>
            <w:tcW w:type="dxa" w:w="2351"/>
          </w:tcPr>
          <w:p>
            <w:pPr>
              <w:spacing w:line="240" w:lineRule="auto" w:after="40"/>
              <w:jc w:val="left"/>
            </w:pPr>
            <w:r>
              <w:rPr>
                <w:sz w:val="20"/>
              </w:rPr>
              <w:t>Alto</w:t>
            </w:r>
          </w:p>
        </w:tc>
      </w:tr>
      <w:tr>
        <w:tc>
          <w:tcPr>
            <w:tcW w:type="dxa" w:w="2351"/>
          </w:tcPr>
          <w:p>
            <w:pPr>
              <w:spacing w:line="240" w:lineRule="auto" w:after="40"/>
              <w:jc w:val="left"/>
            </w:pPr>
            <w:r>
              <w:rPr>
                <w:sz w:val="20"/>
              </w:rPr>
              <w:t>7</w:t>
            </w:r>
          </w:p>
        </w:tc>
        <w:tc>
          <w:tcPr>
            <w:tcW w:type="dxa" w:w="2351"/>
          </w:tcPr>
          <w:p>
            <w:pPr>
              <w:spacing w:line="240" w:lineRule="auto" w:after="40"/>
              <w:jc w:val="left"/>
            </w:pPr>
            <w:r>
              <w:rPr>
                <w:sz w:val="20"/>
              </w:rPr>
              <w:t>Retomada da discussão de litigância de má-fé contra a exequente</w:t>
            </w:r>
          </w:p>
        </w:tc>
        <w:tc>
          <w:tcPr>
            <w:tcW w:type="dxa" w:w="2351"/>
          </w:tcPr>
          <w:p>
            <w:pPr>
              <w:spacing w:line="240" w:lineRule="auto" w:after="40"/>
              <w:jc w:val="left"/>
            </w:pPr>
            <w:r>
              <w:rPr>
                <w:sz w:val="20"/>
              </w:rPr>
              <w:t>Baixa-média</w:t>
            </w:r>
          </w:p>
        </w:tc>
        <w:tc>
          <w:tcPr>
            <w:tcW w:type="dxa" w:w="2351"/>
          </w:tcPr>
          <w:p>
            <w:pPr>
              <w:spacing w:line="240" w:lineRule="auto" w:after="40"/>
              <w:jc w:val="left"/>
            </w:pPr>
            <w:r>
              <w:rPr>
                <w:sz w:val="20"/>
              </w:rPr>
              <w:t>Médio</w:t>
            </w:r>
          </w:p>
        </w:tc>
      </w:tr>
    </w:tbl>
    <w:p/>
    <w:p>
      <w:pPr>
        <w:spacing w:before="240" w:after="120"/>
        <w:jc w:val="left"/>
      </w:pPr>
      <w:r>
        <w:rPr>
          <w:b/>
          <w:sz w:val="24"/>
        </w:rPr>
        <w:t>Risco 1 — Crédito da Fazenda Palmeira (R$ 202.974,70)</w:t>
      </w:r>
    </w:p>
    <w:p>
      <w:r>
        <w:t xml:space="preserve">Nossa planilha do evento 334 cobra </w:t>
      </w:r>
      <w:r>
        <w:rPr>
          <w:b/>
        </w:rPr>
        <w:t>1/13 do preço da fazenda</w:t>
      </w:r>
      <w:r>
        <w:t xml:space="preserve"> (R$ 134.615,39 de principal), já abatidos o trator (−R$ 35.000,00) e o alvará (−R$ 6.394,80), com correção desde 12/2017 e juros desde 12/2023. </w:t>
      </w:r>
      <w:r>
        <w:rPr>
          <w:b/>
        </w:rPr>
        <w:t>O abatimento está correto e foi bem feito</w:t>
      </w:r>
      <w:r>
        <w:t xml:space="preserve"> — mas a premissa (existência de fração não paga sobre a fazenda) colide com: (i) o acordo homologado; (ii) os alvarás que mostram tratamento idêntico ao dos irmãos; (iii) a contabilidade fechada do ev. 347.</w:t>
      </w:r>
    </w:p>
    <w:p>
      <w:r>
        <w:rPr>
          <w:b/>
        </w:rPr>
        <w:t>Agravante:</w:t>
      </w:r>
      <w:r>
        <w:t xml:space="preserve"> nossa planilha inclui </w:t>
      </w:r>
      <w:r>
        <w:rPr>
          <w:i/>
        </w:rPr>
        <w:t>"Multa por Descumprimento de Acordo / Obrigação (2,00%) — R$ 3.979,90"</w:t>
      </w:r>
      <w:r>
        <w:t xml:space="preserve">, verba </w:t>
      </w:r>
      <w:r>
        <w:rPr>
          <w:b/>
        </w:rPr>
        <w:t>sem qualquer previsão no título executivo</w:t>
      </w:r>
      <w:r>
        <w:t xml:space="preserve">. É alvo fácil e contamina a credibilidade do cálculo inteiro. </w:t>
      </w:r>
      <w:r>
        <w:rPr>
          <w:b/>
        </w:rPr>
        <w:t>Recomendo excluí-la espontaneamente.</w:t>
      </w:r>
    </w:p>
    <w:p>
      <w:pPr>
        <w:spacing w:before="240" w:after="120"/>
        <w:jc w:val="left"/>
      </w:pPr>
      <w:r>
        <w:rPr>
          <w:b/>
          <w:sz w:val="24"/>
        </w:rPr>
        <w:t>Risco 2 — Multa e honorários do art. 523, § 1º</w:t>
      </w:r>
    </w:p>
    <w:p>
      <w:r>
        <w:t xml:space="preserve">O título </w:t>
      </w:r>
      <w:r>
        <w:rPr>
          <w:b/>
        </w:rPr>
        <w:t>não contém condenação a pagar quantia certa</w:t>
      </w:r>
      <w:r>
        <w:t xml:space="preserve"> — condena a prestar contas, extingue o condomínio e determina alienação judicial. O Juízo já anulou a incidência uma vez (ev. 310) e não a restabeleceu no ev. 325. A reiteração do pedido no ev. 352 tende a ser indeferida.</w:t>
      </w:r>
    </w:p>
    <w:p>
      <w:pPr>
        <w:spacing w:before="240" w:after="120"/>
        <w:jc w:val="left"/>
      </w:pPr>
      <w:r>
        <w:rPr>
          <w:b/>
          <w:sz w:val="24"/>
        </w:rPr>
        <w:t>Risco 3 — Prestação de contas julgada suficiente</w:t>
      </w:r>
    </w:p>
    <w:p>
      <w:r>
        <w:t xml:space="preserve">O executado juntou extratos, ofícios bancários (ev. 77 e 79), escritura, laudos e a planilha completa de débitos e receitas. Sua defesa central — contas </w:t>
      </w:r>
      <w:r>
        <w:rPr>
          <w:b/>
        </w:rPr>
        <w:t>conjuntas</w:t>
      </w:r>
      <w:r>
        <w:t xml:space="preserve"> com a meeira, movimentadas exclusivamente por ela — vem acompanhada do pedido de que </w:t>
      </w:r>
      <w:r>
        <w:rPr>
          <w:b/>
        </w:rPr>
        <w:t>Terezinha</w:t>
      </w:r>
      <w:r>
        <w:t xml:space="preserve"> seja intimada a comprovar as transferências. Se o Juízo aceitar, transfere o ônus para a meeira e </w:t>
      </w:r>
      <w:r>
        <w:rPr>
          <w:b/>
        </w:rPr>
        <w:t>exonera Berivaldo das astreintes</w:t>
      </w:r>
      <w:r>
        <w:t>.</w:t>
      </w:r>
    </w:p>
    <w:p>
      <w:r>
        <w:rPr>
          <w:b/>
        </w:rPr>
        <w:t>Contraponto que devemos explorar:</w:t>
      </w:r>
      <w:r>
        <w:t xml:space="preserve"> o art. 618, VII, do CPC impõe o dever ao </w:t>
      </w:r>
      <w:r>
        <w:rPr>
          <w:b/>
        </w:rPr>
        <w:t>inventariante</w:t>
      </w:r>
      <w:r>
        <w:t xml:space="preserve">, e a titularidade conjunta em conta corrente gera solidariedade </w:t>
      </w:r>
      <w:r>
        <w:rPr>
          <w:b/>
        </w:rPr>
        <w:t>perante o banco</w:t>
      </w:r>
      <w:r>
        <w:t>, não altera a propriedade dos haveres. 50% dos saldos (R$ 130.882,40 no total) integraram o acervo no instante da abertura da sucessão.</w:t>
      </w:r>
    </w:p>
    <w:p>
      <w:pPr>
        <w:spacing w:before="240" w:after="120"/>
        <w:jc w:val="left"/>
      </w:pPr>
      <w:r>
        <w:rPr>
          <w:b/>
          <w:sz w:val="24"/>
        </w:rPr>
        <w:t>Risco 4 — Leilão restrito a dois imóveis</w:t>
      </w:r>
    </w:p>
    <w:p>
      <w:r>
        <w:t xml:space="preserve">Há confusão conceitual no nosso pedido: o título determina </w:t>
      </w:r>
      <w:r>
        <w:rPr>
          <w:b/>
        </w:rPr>
        <w:t>extinção de condomínio com alienação judicial e rateio por frações</w:t>
      </w:r>
      <w:r>
        <w:t xml:space="preserve"> — não penhora para satisfação de crédito. Pedir leilão "restrito aos bens suficientes para satisfazer o crédito" (ev. 334 e 352) convida o Juízo a discutir excesso de penhora e menor onerosidade.</w:t>
      </w:r>
    </w:p>
    <w:p>
      <w:r>
        <w:rPr>
          <w:b/>
        </w:rPr>
        <w:t>Recomendação:</w:t>
      </w:r>
      <w:r>
        <w:t xml:space="preserve"> reposicionar o pedido como </w:t>
      </w:r>
      <w:r>
        <w:rPr>
          <w:b/>
        </w:rPr>
        <w:t>alienação judicial de todos os imóveis da partilha, com rateio proporcional</w:t>
      </w:r>
      <w:r>
        <w:t xml:space="preserve"> — o que é literalmente o comando do título e elimina a discussão.</w:t>
      </w:r>
    </w:p>
    <w:p>
      <w:pPr>
        <w:spacing w:before="240" w:after="120"/>
        <w:jc w:val="left"/>
      </w:pPr>
      <w:r>
        <w:rPr>
          <w:b/>
          <w:sz w:val="24"/>
        </w:rPr>
        <w:t>Risco 5 — Constrições sobre a parte da própria cliente ⚠️</w:t>
      </w:r>
    </w:p>
    <w:p>
      <w:r>
        <w:t xml:space="preserve">A inicial dos autos conexos nº 0006601-11.2022.8.27.2722 (ev. 1 e 4) informa </w:t>
      </w:r>
      <w:r>
        <w:rPr>
          <w:b/>
        </w:rPr>
        <w:t>averbação de indisponibilidade</w:t>
      </w:r>
      <w:r>
        <w:t xml:space="preserve"> sobre as matrículas </w:t>
      </w:r>
      <w:r>
        <w:rPr>
          <w:b/>
        </w:rPr>
        <w:t>2.277, 2.140 e 19.340</w:t>
      </w:r>
      <w:r>
        <w:t xml:space="preserve">, decorrente dos autos </w:t>
      </w:r>
      <w:r>
        <w:rPr>
          <w:b/>
        </w:rPr>
        <w:t>nº 5001748-54.2011.8.27.2722 (2ª Vara Cível de Gurupi)</w:t>
      </w:r>
      <w:r>
        <w:t xml:space="preserve">, em que </w:t>
      </w:r>
      <w:r>
        <w:rPr>
          <w:b/>
        </w:rPr>
        <w:t>MAGNÓLIA figura no polo passivo</w:t>
      </w:r>
      <w:r>
        <w:t>. Os autores daquela ação sustentaram expressamente que a parte dela deveria ser usada para pagar essa dívida.</w:t>
      </w:r>
    </w:p>
    <w:p>
      <w:r>
        <w:t>Some-se que, na apelação, o executado afirmou que a cliente evitaria ter bens em seu nome por causa de execução na Comarca de Formoso do Araguaia, e que valores foram depositados na conta do marido "por medo de penhora".</w:t>
      </w:r>
    </w:p>
    <w:p>
      <w:r>
        <w:rPr>
          <w:b/>
        </w:rPr>
        <w:t>Consequência prática:</w:t>
      </w:r>
      <w:r>
        <w:t xml:space="preserve"> ainda que ganhemos tudo, o produto pode ser retido ou transferido ao juízo da execução. </w:t>
      </w:r>
      <w:r>
        <w:rPr>
          <w:b/>
        </w:rPr>
        <w:t>É preciso levantar o estado atual dessa execução antes de leiloar.</w:t>
      </w:r>
    </w:p>
    <w:p>
      <w:pPr>
        <w:spacing w:before="240" w:after="120"/>
        <w:jc w:val="left"/>
      </w:pPr>
      <w:r>
        <w:rPr>
          <w:b/>
          <w:sz w:val="24"/>
        </w:rPr>
        <w:t>Risco 6 — Coproprietários fora da relação processual</w:t>
      </w:r>
    </w:p>
    <w:p>
      <w:r>
        <w:rPr>
          <w:b/>
        </w:rPr>
        <w:t>Berilene cedeu gratuitamente seus direitos hereditários aos filhos Janos Borges de Souza Rodrigues Arruda, Joyce Borges Rodrigues e João Borges Netto</w:t>
      </w:r>
      <w:r>
        <w:t xml:space="preserve"> (escritura de inventário c/c doação). Eles </w:t>
      </w:r>
      <w:r>
        <w:rPr>
          <w:b/>
        </w:rPr>
        <w:t>não integram</w:t>
      </w:r>
      <w:r>
        <w:t xml:space="preserve"> o polo passivo do cumprimento de sentença nº 0006194-05.2022, mas são coproprietários. Há ainda indisponibilidade sobre a parte de Joyce (TRT10, autos nº 0001208-21.2016.5.10.0821).</w:t>
      </w:r>
    </w:p>
    <w:p>
      <w:r>
        <w:rPr>
          <w:b/>
        </w:rPr>
        <w:t>Risco:</w:t>
      </w:r>
      <w:r>
        <w:t xml:space="preserve"> alienação judicial sem a participação deles pode gerar nulidade ou embargos de terceiro, e inviabilizar o registro da carta de arrematação.</w:t>
      </w:r>
    </w:p>
    <w:p>
      <w:pPr>
        <w:spacing w:before="240" w:after="120"/>
        <w:jc w:val="left"/>
      </w:pPr>
      <w:r>
        <w:rPr>
          <w:b/>
          <w:sz w:val="24"/>
        </w:rPr>
        <w:t>Risco 7 — Litigância de má-fé</w:t>
      </w:r>
    </w:p>
    <w:p>
      <w:r>
        <w:t xml:space="preserve">A decisão do evento 325 afastou a alegação </w:t>
      </w:r>
      <w:r>
        <w:rPr>
          <w:b/>
        </w:rPr>
        <w:t>"por ora"</w:t>
      </w:r>
      <w:r>
        <w:t>. Se o Juízo concluir que se insistiu em crédito contrariado por acordo homologado do qual a cliente é parte, a questão pode ser reaberta. Risco baixo, mas real — e é mais um motivo para depurar a planilha.</w:t>
      </w:r>
    </w:p>
    <w:p>
      <w:pPr>
        <w:spacing w:after="40"/>
        <w:pBdr>
          <w:bottom w:val="single" w:sz="6" w:space="1" w:color="999999"/>
        </w:pBdr>
      </w:pPr>
    </w:p>
    <w:p>
      <w:pPr>
        <w:spacing w:before="240" w:after="120"/>
        <w:jc w:val="left"/>
      </w:pPr>
      <w:r>
        <w:rPr>
          <w:b/>
          <w:sz w:val="25"/>
        </w:rPr>
        <w:t>4. PONTOS FAVORÁVEIS CONFIRMADOS NA LEITURA INTEGRAL</w:t>
      </w:r>
    </w:p>
    <w:p>
      <w:pPr>
        <w:pStyle w:val="ListNumber"/>
        <w:spacing w:line="360" w:lineRule="auto"/>
      </w:pPr>
      <w:r>
        <w:rPr>
          <w:b/>
        </w:rPr>
        <w:t>O próprio Juízo certificou a limitação da apelação.</w:t>
      </w:r>
      <w:r>
        <w:t xml:space="preserve"> Na sentença do evento 156 dos autos nº 0006601-11.2022.8.27.2722, o Magistrado Nilson Afonso da Silva registrou: </w:t>
      </w:r>
      <w:r>
        <w:rPr>
          <w:i/>
        </w:rPr>
        <w:t xml:space="preserve">"embora o requerido tenha apelado da decisão, </w:t>
      </w:r>
      <w:r>
        <w:rPr>
          <w:i/>
        </w:rPr>
        <w:t>o objeto do apelo se limitou à condenação sucumbencial</w:t>
      </w:r>
      <w:r>
        <w:rPr>
          <w:i/>
        </w:rPr>
        <w:t>, tendo a sentença transitado em julgado em 14/06/2024"</w:t>
      </w:r>
      <w:r>
        <w:t xml:space="preserve">. É </w:t>
      </w:r>
      <w:r>
        <w:rPr>
          <w:b/>
        </w:rPr>
        <w:t>declaração judicial</w:t>
      </w:r>
      <w:r>
        <w:t>, não tese de parte.</w:t>
      </w:r>
    </w:p>
    <w:p>
      <w:pPr>
        <w:pStyle w:val="ListNumber"/>
        <w:spacing w:line="360" w:lineRule="auto"/>
      </w:pPr>
      <w:r>
        <w:rPr>
          <w:b/>
        </w:rPr>
        <w:t>O mesmo Juízo interpretou o título de forma ampla.</w:t>
      </w:r>
      <w:r>
        <w:t xml:space="preserve"> Na mesma sentença extinguiu a ação nº 0006601-11 por perda de objeto, porque a sentença do ev. 137 </w:t>
      </w:r>
      <w:r>
        <w:rPr>
          <w:i/>
        </w:rPr>
        <w:t>"já determinou a alienação judicial dos imóveis urbanos que compõem a partilha do espólio"</w:t>
      </w:r>
      <w:r>
        <w:t xml:space="preserve"> — </w:t>
      </w:r>
      <w:r>
        <w:rPr>
          <w:b/>
        </w:rPr>
        <w:t>incluindo o Lote 08, Q. 81, de Formoso do Araguaia</w:t>
      </w:r>
      <w:r>
        <w:t xml:space="preserve"> (matrícula 654), que era um dos quatro imóveis daqueles autos. Ou seja: o título alcança </w:t>
      </w:r>
      <w:r>
        <w:rPr>
          <w:b/>
        </w:rPr>
        <w:t>todos</w:t>
      </w:r>
      <w:r>
        <w:t xml:space="preserve"> os imóveis urbanos da partilha, onde quer que estejam.</w:t>
      </w:r>
    </w:p>
    <w:p>
      <w:pPr>
        <w:pStyle w:val="ListNumber"/>
        <w:spacing w:line="360" w:lineRule="auto"/>
      </w:pPr>
      <w:r>
        <w:rPr>
          <w:b/>
        </w:rPr>
        <w:t>A fração de 7,14% da cliente sobre os imóveis urbanos é incontroversa</w:t>
      </w:r>
      <w:r>
        <w:t xml:space="preserve"> — reconhecida pelo próprio executado no evento 347 e registrada nas matrículas.</w:t>
      </w:r>
    </w:p>
    <w:p>
      <w:pPr>
        <w:pStyle w:val="ListNumber"/>
        <w:spacing w:line="360" w:lineRule="auto"/>
      </w:pPr>
      <w:r>
        <w:rPr>
          <w:b/>
        </w:rPr>
        <w:t>As avaliações são robustas e atuais: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jc w:val="left"/>
            </w:pPr>
            <w:r>
              <w:rPr>
                <w:b/>
                <w:sz w:val="20"/>
              </w:rPr>
              <w:t>Imóvel</w:t>
            </w:r>
          </w:p>
        </w:tc>
        <w:tc>
          <w:tcPr>
            <w:tcW w:type="dxa" w:w="2351"/>
          </w:tcPr>
          <w:p>
            <w:pPr>
              <w:spacing w:line="240" w:lineRule="auto" w:after="40"/>
              <w:jc w:val="left"/>
            </w:pPr>
            <w:r>
              <w:rPr>
                <w:b/>
                <w:sz w:val="20"/>
              </w:rPr>
              <w:t>Área</w:t>
            </w:r>
          </w:p>
        </w:tc>
        <w:tc>
          <w:tcPr>
            <w:tcW w:type="dxa" w:w="2351"/>
          </w:tcPr>
          <w:p>
            <w:pPr>
              <w:spacing w:line="240" w:lineRule="auto" w:after="40"/>
              <w:jc w:val="left"/>
            </w:pPr>
            <w:r>
              <w:rPr>
                <w:b/>
                <w:sz w:val="20"/>
              </w:rPr>
              <w:t>Avaliação</w:t>
            </w:r>
          </w:p>
        </w:tc>
        <w:tc>
          <w:tcPr>
            <w:tcW w:type="dxa" w:w="2351"/>
          </w:tcPr>
          <w:p>
            <w:pPr>
              <w:spacing w:line="240" w:lineRule="auto" w:after="40"/>
              <w:jc w:val="left"/>
            </w:pPr>
            <w:r>
              <w:rPr>
                <w:b/>
                <w:sz w:val="20"/>
              </w:rPr>
              <w:t>Evento</w:t>
            </w:r>
          </w:p>
        </w:tc>
      </w:tr>
      <w:tr>
        <w:tc>
          <w:tcPr>
            <w:tcW w:type="dxa" w:w="2351"/>
          </w:tcPr>
          <w:p>
            <w:pPr>
              <w:spacing w:line="240" w:lineRule="auto" w:after="40"/>
              <w:jc w:val="left"/>
            </w:pPr>
            <w:r>
              <w:rPr>
                <w:sz w:val="20"/>
              </w:rPr>
              <w:t>Lote 01, Q. 66, Av. Amazonas esq. Rua 03</w:t>
            </w:r>
          </w:p>
        </w:tc>
        <w:tc>
          <w:tcPr>
            <w:tcW w:type="dxa" w:w="2351"/>
          </w:tcPr>
          <w:p>
            <w:pPr>
              <w:spacing w:line="240" w:lineRule="auto" w:after="40"/>
              <w:jc w:val="left"/>
            </w:pPr>
            <w:r>
              <w:rPr>
                <w:sz w:val="20"/>
              </w:rPr>
              <w:t>700 m²</w:t>
            </w:r>
          </w:p>
        </w:tc>
        <w:tc>
          <w:tcPr>
            <w:tcW w:type="dxa" w:w="2351"/>
          </w:tcPr>
          <w:p>
            <w:pPr>
              <w:spacing w:line="240" w:lineRule="auto" w:after="40"/>
              <w:jc w:val="left"/>
            </w:pPr>
            <w:r>
              <w:rPr>
                <w:sz w:val="20"/>
              </w:rPr>
              <w:t>R$ 1.100.000,00</w:t>
            </w:r>
          </w:p>
        </w:tc>
        <w:tc>
          <w:tcPr>
            <w:tcW w:type="dxa" w:w="2351"/>
          </w:tcPr>
          <w:p>
            <w:pPr>
              <w:spacing w:line="240" w:lineRule="auto" w:after="40"/>
              <w:jc w:val="left"/>
            </w:pPr>
            <w:r>
              <w:rPr>
                <w:sz w:val="20"/>
              </w:rPr>
              <w:t>259</w:t>
            </w:r>
          </w:p>
        </w:tc>
      </w:tr>
      <w:tr>
        <w:tc>
          <w:tcPr>
            <w:tcW w:type="dxa" w:w="2351"/>
          </w:tcPr>
          <w:p>
            <w:pPr>
              <w:spacing w:line="240" w:lineRule="auto" w:after="40"/>
              <w:jc w:val="left"/>
            </w:pPr>
            <w:r>
              <w:rPr>
                <w:sz w:val="20"/>
              </w:rPr>
              <w:t>Lotes 09 e 07, Q. 60, Rua 10 (em conjunto)</w:t>
            </w:r>
          </w:p>
        </w:tc>
        <w:tc>
          <w:tcPr>
            <w:tcW w:type="dxa" w:w="2351"/>
          </w:tcPr>
          <w:p>
            <w:pPr>
              <w:spacing w:line="240" w:lineRule="auto" w:after="40"/>
              <w:jc w:val="left"/>
            </w:pPr>
            <w:r>
              <w:rPr>
                <w:sz w:val="20"/>
              </w:rPr>
              <w:t>750 m²</w:t>
            </w:r>
          </w:p>
        </w:tc>
        <w:tc>
          <w:tcPr>
            <w:tcW w:type="dxa" w:w="2351"/>
          </w:tcPr>
          <w:p>
            <w:pPr>
              <w:spacing w:line="240" w:lineRule="auto" w:after="40"/>
              <w:jc w:val="left"/>
            </w:pPr>
            <w:r>
              <w:rPr>
                <w:sz w:val="20"/>
              </w:rPr>
              <w:t>R$ 1.100.000,00</w:t>
            </w:r>
          </w:p>
        </w:tc>
        <w:tc>
          <w:tcPr>
            <w:tcW w:type="dxa" w:w="2351"/>
          </w:tcPr>
          <w:p>
            <w:pPr>
              <w:spacing w:line="240" w:lineRule="auto" w:after="40"/>
              <w:jc w:val="left"/>
            </w:pPr>
            <w:r>
              <w:rPr>
                <w:sz w:val="20"/>
              </w:rPr>
              <w:t>245</w:t>
            </w:r>
          </w:p>
        </w:tc>
      </w:tr>
      <w:tr>
        <w:tc>
          <w:tcPr>
            <w:tcW w:type="dxa" w:w="2351"/>
          </w:tcPr>
          <w:p>
            <w:pPr>
              <w:spacing w:line="240" w:lineRule="auto" w:after="40"/>
              <w:jc w:val="left"/>
            </w:pPr>
            <w:r>
              <w:rPr>
                <w:sz w:val="20"/>
              </w:rPr>
              <w:t>Lote 05, Q. 17, Av. Goiás</w:t>
            </w:r>
          </w:p>
        </w:tc>
        <w:tc>
          <w:tcPr>
            <w:tcW w:type="dxa" w:w="2351"/>
          </w:tcPr>
          <w:p>
            <w:pPr>
              <w:spacing w:line="240" w:lineRule="auto" w:after="40"/>
              <w:jc w:val="left"/>
            </w:pPr>
            <w:r>
              <w:rPr>
                <w:sz w:val="20"/>
              </w:rPr>
              <w:t>525 m²</w:t>
            </w:r>
          </w:p>
        </w:tc>
        <w:tc>
          <w:tcPr>
            <w:tcW w:type="dxa" w:w="2351"/>
          </w:tcPr>
          <w:p>
            <w:pPr>
              <w:spacing w:line="240" w:lineRule="auto" w:after="40"/>
              <w:jc w:val="left"/>
            </w:pPr>
            <w:r>
              <w:rPr>
                <w:sz w:val="20"/>
              </w:rPr>
              <w:t>R$ 850.000,00</w:t>
            </w:r>
          </w:p>
        </w:tc>
        <w:tc>
          <w:tcPr>
            <w:tcW w:type="dxa" w:w="2351"/>
          </w:tcPr>
          <w:p>
            <w:pPr>
              <w:spacing w:line="240" w:lineRule="auto" w:after="40"/>
              <w:jc w:val="left"/>
            </w:pPr>
            <w:r>
              <w:rPr>
                <w:sz w:val="20"/>
              </w:rPr>
              <w:t>246</w:t>
            </w:r>
          </w:p>
        </w:tc>
      </w:tr>
      <w:tr>
        <w:tc>
          <w:tcPr>
            <w:tcW w:type="dxa" w:w="2351"/>
          </w:tcPr>
          <w:p>
            <w:pPr>
              <w:spacing w:line="240" w:lineRule="auto" w:after="40"/>
              <w:jc w:val="left"/>
            </w:pPr>
            <w:r>
              <w:rPr>
                <w:sz w:val="20"/>
              </w:rPr>
              <w:t>Lote 06, Q. 60, Av. Amazonas esq. Rua 10</w:t>
            </w:r>
          </w:p>
        </w:tc>
        <w:tc>
          <w:tcPr>
            <w:tcW w:type="dxa" w:w="2351"/>
          </w:tcPr>
          <w:p>
            <w:pPr>
              <w:spacing w:line="240" w:lineRule="auto" w:after="40"/>
              <w:jc w:val="left"/>
            </w:pPr>
            <w:r>
              <w:rPr>
                <w:sz w:val="20"/>
              </w:rPr>
              <w:t>700 m²</w:t>
            </w:r>
          </w:p>
        </w:tc>
        <w:tc>
          <w:tcPr>
            <w:tcW w:type="dxa" w:w="2351"/>
          </w:tcPr>
          <w:p>
            <w:pPr>
              <w:spacing w:line="240" w:lineRule="auto" w:after="40"/>
              <w:jc w:val="left"/>
            </w:pPr>
            <w:r>
              <w:rPr>
                <w:sz w:val="20"/>
              </w:rPr>
              <w:t>R$ 610.000,00</w:t>
            </w:r>
          </w:p>
        </w:tc>
        <w:tc>
          <w:tcPr>
            <w:tcW w:type="dxa" w:w="2351"/>
          </w:tcPr>
          <w:p>
            <w:pPr>
              <w:spacing w:line="240" w:lineRule="auto" w:after="40"/>
              <w:jc w:val="left"/>
            </w:pPr>
            <w:r>
              <w:rPr>
                <w:sz w:val="20"/>
              </w:rPr>
              <w:t>258</w:t>
            </w:r>
          </w:p>
        </w:tc>
      </w:tr>
      <w:tr>
        <w:tc>
          <w:tcPr>
            <w:tcW w:type="dxa" w:w="2351"/>
          </w:tcPr>
          <w:p>
            <w:pPr>
              <w:spacing w:line="240" w:lineRule="auto" w:after="40"/>
              <w:jc w:val="left"/>
            </w:pPr>
            <w:r>
              <w:rPr>
                <w:sz w:val="20"/>
              </w:rPr>
              <w:t>Lote 01-parte, Q. 257, Av. Paraná esq. Rua 10</w:t>
            </w:r>
          </w:p>
        </w:tc>
        <w:tc>
          <w:tcPr>
            <w:tcW w:type="dxa" w:w="2351"/>
          </w:tcPr>
          <w:p>
            <w:pPr>
              <w:spacing w:line="240" w:lineRule="auto" w:after="40"/>
              <w:jc w:val="left"/>
            </w:pPr>
            <w:r>
              <w:rPr>
                <w:sz w:val="20"/>
              </w:rPr>
              <w:t>312,50 m²</w:t>
            </w:r>
          </w:p>
        </w:tc>
        <w:tc>
          <w:tcPr>
            <w:tcW w:type="dxa" w:w="2351"/>
          </w:tcPr>
          <w:p>
            <w:pPr>
              <w:spacing w:line="240" w:lineRule="auto" w:after="40"/>
              <w:jc w:val="left"/>
            </w:pPr>
            <w:r>
              <w:rPr>
                <w:sz w:val="20"/>
              </w:rPr>
              <w:t>R$ 350.000,00</w:t>
            </w:r>
          </w:p>
        </w:tc>
        <w:tc>
          <w:tcPr>
            <w:tcW w:type="dxa" w:w="2351"/>
          </w:tcPr>
          <w:p>
            <w:pPr>
              <w:spacing w:line="240" w:lineRule="auto" w:after="40"/>
              <w:jc w:val="left"/>
            </w:pPr>
            <w:r>
              <w:rPr>
                <w:sz w:val="20"/>
              </w:rPr>
              <w:t>255</w:t>
            </w:r>
          </w:p>
        </w:tc>
      </w:tr>
      <w:tr>
        <w:tc>
          <w:tcPr>
            <w:tcW w:type="dxa" w:w="2351"/>
          </w:tcPr>
          <w:p>
            <w:pPr>
              <w:spacing w:line="240" w:lineRule="auto" w:after="40"/>
              <w:jc w:val="left"/>
            </w:pPr>
            <w:r>
              <w:rPr>
                <w:sz w:val="20"/>
              </w:rPr>
              <w:t>Lote 13-parte, Q. 02, Rua 02</w:t>
            </w:r>
          </w:p>
        </w:tc>
        <w:tc>
          <w:tcPr>
            <w:tcW w:type="dxa" w:w="2351"/>
          </w:tcPr>
          <w:p>
            <w:pPr>
              <w:spacing w:line="240" w:lineRule="auto" w:after="40"/>
              <w:jc w:val="left"/>
            </w:pPr>
            <w:r>
              <w:rPr>
                <w:sz w:val="20"/>
              </w:rPr>
              <w:t>300 m²</w:t>
            </w:r>
          </w:p>
        </w:tc>
        <w:tc>
          <w:tcPr>
            <w:tcW w:type="dxa" w:w="2351"/>
          </w:tcPr>
          <w:p>
            <w:pPr>
              <w:spacing w:line="240" w:lineRule="auto" w:after="40"/>
              <w:jc w:val="left"/>
            </w:pPr>
            <w:r>
              <w:rPr>
                <w:sz w:val="20"/>
              </w:rPr>
              <w:t>R$ 300.000,00</w:t>
            </w:r>
          </w:p>
        </w:tc>
        <w:tc>
          <w:tcPr>
            <w:tcW w:type="dxa" w:w="2351"/>
          </w:tcPr>
          <w:p>
            <w:pPr>
              <w:spacing w:line="240" w:lineRule="auto" w:after="40"/>
              <w:jc w:val="left"/>
            </w:pPr>
            <w:r>
              <w:rPr>
                <w:sz w:val="20"/>
              </w:rPr>
              <w:t>257</w:t>
            </w:r>
          </w:p>
        </w:tc>
      </w:tr>
      <w:tr>
        <w:tc>
          <w:tcPr>
            <w:tcW w:type="dxa" w:w="2351"/>
          </w:tcPr>
          <w:p>
            <w:pPr>
              <w:spacing w:line="240" w:lineRule="auto" w:after="40"/>
              <w:jc w:val="left"/>
            </w:pPr>
            <w:r>
              <w:rPr>
                <w:sz w:val="20"/>
              </w:rPr>
              <w:t>Lote 04, Q. 65, Av. Central E esq. Rua 09</w:t>
            </w:r>
          </w:p>
        </w:tc>
        <w:tc>
          <w:tcPr>
            <w:tcW w:type="dxa" w:w="2351"/>
          </w:tcPr>
          <w:p>
            <w:pPr>
              <w:spacing w:line="240" w:lineRule="auto" w:after="40"/>
              <w:jc w:val="left"/>
            </w:pPr>
            <w:r>
              <w:rPr>
                <w:sz w:val="20"/>
              </w:rPr>
              <w:t>815 m²</w:t>
            </w:r>
          </w:p>
        </w:tc>
        <w:tc>
          <w:tcPr>
            <w:tcW w:type="dxa" w:w="2351"/>
          </w:tcPr>
          <w:p>
            <w:pPr>
              <w:spacing w:line="240" w:lineRule="auto" w:after="40"/>
              <w:jc w:val="left"/>
            </w:pPr>
            <w:r>
              <w:rPr>
                <w:b/>
                <w:sz w:val="20"/>
              </w:rPr>
              <w:t>R$ 285.000,00</w:t>
            </w:r>
          </w:p>
        </w:tc>
        <w:tc>
          <w:tcPr>
            <w:tcW w:type="dxa" w:w="2351"/>
          </w:tcPr>
          <w:p>
            <w:pPr>
              <w:spacing w:line="240" w:lineRule="auto" w:after="40"/>
              <w:jc w:val="left"/>
            </w:pPr>
            <w:r>
              <w:rPr>
                <w:sz w:val="20"/>
              </w:rPr>
              <w:t>294</w:t>
            </w:r>
          </w:p>
        </w:tc>
      </w:tr>
      <w:tr>
        <w:tc>
          <w:tcPr>
            <w:tcW w:type="dxa" w:w="2351"/>
          </w:tcPr>
          <w:p>
            <w:pPr>
              <w:spacing w:line="240" w:lineRule="auto" w:after="40"/>
              <w:jc w:val="left"/>
            </w:pPr>
            <w:r>
              <w:rPr>
                <w:sz w:val="20"/>
              </w:rPr>
              <w:t>Lote 14-A, Q. 123, Av. Ceará</w:t>
            </w:r>
          </w:p>
        </w:tc>
        <w:tc>
          <w:tcPr>
            <w:tcW w:type="dxa" w:w="2351"/>
          </w:tcPr>
          <w:p>
            <w:pPr>
              <w:spacing w:line="240" w:lineRule="auto" w:after="40"/>
              <w:jc w:val="left"/>
            </w:pPr>
            <w:r>
              <w:rPr>
                <w:sz w:val="20"/>
              </w:rPr>
              <w:t>350 m²</w:t>
            </w:r>
          </w:p>
        </w:tc>
        <w:tc>
          <w:tcPr>
            <w:tcW w:type="dxa" w:w="2351"/>
          </w:tcPr>
          <w:p>
            <w:pPr>
              <w:spacing w:line="240" w:lineRule="auto" w:after="40"/>
              <w:jc w:val="left"/>
            </w:pPr>
            <w:r>
              <w:rPr>
                <w:sz w:val="20"/>
              </w:rPr>
              <w:t>R$ 265.000,00</w:t>
            </w:r>
          </w:p>
        </w:tc>
        <w:tc>
          <w:tcPr>
            <w:tcW w:type="dxa" w:w="2351"/>
          </w:tcPr>
          <w:p>
            <w:pPr>
              <w:spacing w:line="240" w:lineRule="auto" w:after="40"/>
              <w:jc w:val="left"/>
            </w:pPr>
            <w:r>
              <w:rPr>
                <w:sz w:val="20"/>
              </w:rPr>
              <w:t>271</w:t>
            </w:r>
          </w:p>
        </w:tc>
      </w:tr>
      <w:tr>
        <w:tc>
          <w:tcPr>
            <w:tcW w:type="dxa" w:w="2351"/>
          </w:tcPr>
          <w:p>
            <w:pPr>
              <w:spacing w:line="240" w:lineRule="auto" w:after="40"/>
              <w:jc w:val="left"/>
            </w:pPr>
            <w:r>
              <w:rPr>
                <w:sz w:val="20"/>
              </w:rPr>
              <w:t>Lote 08, Q. 81, Formoso do Araguaia</w:t>
            </w:r>
          </w:p>
        </w:tc>
        <w:tc>
          <w:tcPr>
            <w:tcW w:type="dxa" w:w="2351"/>
          </w:tcPr>
          <w:p>
            <w:pPr>
              <w:spacing w:line="240" w:lineRule="auto" w:after="40"/>
              <w:jc w:val="left"/>
            </w:pPr>
            <w:r>
              <w:rPr>
                <w:sz w:val="20"/>
              </w:rPr>
              <w:t>577,60 m²</w:t>
            </w:r>
          </w:p>
        </w:tc>
        <w:tc>
          <w:tcPr>
            <w:tcW w:type="dxa" w:w="2351"/>
          </w:tcPr>
          <w:p>
            <w:pPr>
              <w:spacing w:line="240" w:lineRule="auto" w:after="40"/>
              <w:jc w:val="left"/>
            </w:pPr>
            <w:r>
              <w:rPr>
                <w:sz w:val="20"/>
              </w:rPr>
              <w:t>R$ 120.000,00</w:t>
            </w:r>
          </w:p>
        </w:tc>
        <w:tc>
          <w:tcPr>
            <w:tcW w:type="dxa" w:w="2351"/>
          </w:tcPr>
          <w:p>
            <w:pPr>
              <w:spacing w:line="240" w:lineRule="auto" w:after="40"/>
              <w:jc w:val="left"/>
            </w:pPr>
            <w:r>
              <w:rPr>
                <w:sz w:val="20"/>
              </w:rPr>
              <w:t>CP 0000369-84.2025</w:t>
            </w:r>
          </w:p>
        </w:tc>
      </w:tr>
      <w:tr>
        <w:tc>
          <w:tcPr>
            <w:tcW w:type="dxa" w:w="2351"/>
          </w:tcPr>
          <w:p>
            <w:pPr>
              <w:spacing w:line="240" w:lineRule="auto" w:after="40"/>
              <w:jc w:val="left"/>
            </w:pPr>
            <w:r>
              <w:rPr>
                <w:b/>
                <w:sz w:val="20"/>
              </w:rPr>
              <w:t>Total</w:t>
            </w:r>
          </w:p>
        </w:tc>
        <w:tc>
          <w:tcPr>
            <w:tcW w:type="dxa" w:w="2351"/>
          </w:tcPr>
          <w:p>
            <w:pPr>
              <w:spacing w:line="240" w:lineRule="auto" w:after="40"/>
              <w:jc w:val="left"/>
            </w:pPr>
          </w:p>
        </w:tc>
        <w:tc>
          <w:tcPr>
            <w:tcW w:type="dxa" w:w="2351"/>
          </w:tcPr>
          <w:p>
            <w:pPr>
              <w:spacing w:line="240" w:lineRule="auto" w:after="40"/>
              <w:jc w:val="left"/>
            </w:pPr>
            <w:r>
              <w:rPr>
                <w:b/>
                <w:sz w:val="20"/>
              </w:rPr>
              <w:t>≈ R$ 4.980.000,00</w:t>
            </w:r>
          </w:p>
        </w:tc>
        <w:tc>
          <w:tcPr>
            <w:tcW w:type="dxa" w:w="2351"/>
          </w:tcPr>
          <w:p>
            <w:pPr>
              <w:spacing w:line="240" w:lineRule="auto" w:after="40"/>
              <w:jc w:val="left"/>
            </w:pPr>
          </w:p>
        </w:tc>
      </w:tr>
    </w:tbl>
    <w:p/>
    <w:p>
      <w:r>
        <w:rPr>
          <w:b/>
        </w:rPr>
        <w:t>7,14% ≈ R$ 355.572,00</w:t>
      </w:r>
      <w:r>
        <w:t xml:space="preserve"> — o que confirma, com precisão, o pedido de </w:t>
      </w:r>
      <w:r>
        <w:rPr>
          <w:b/>
        </w:rPr>
        <w:t>R$ 355.716,00</w:t>
      </w:r>
      <w:r>
        <w:t xml:space="preserve">. Esse é o </w:t>
      </w:r>
      <w:r>
        <w:rPr>
          <w:b/>
        </w:rPr>
        <w:t>núcleo sólido</w:t>
      </w:r>
      <w:r>
        <w:t xml:space="preserve"> do nosso crédito.</w:t>
      </w:r>
    </w:p>
    <w:p>
      <w:pPr>
        <w:pStyle w:val="ListNumber"/>
        <w:spacing w:line="360" w:lineRule="auto"/>
      </w:pPr>
      <w:r>
        <w:t xml:space="preserve">🟢 </w:t>
      </w:r>
      <w:r>
        <w:rPr>
          <w:b/>
        </w:rPr>
        <w:t>OPORTUNIDADE — imóvel omitido no nosso pedido.</w:t>
      </w:r>
      <w:r>
        <w:t xml:space="preserve"> O executado, no evento 347, arrola entre os bens da partilha o </w:t>
      </w:r>
      <w:r>
        <w:rPr>
          <w:b/>
        </w:rPr>
        <w:t>"Lote 07, quadra 32, sito na Rua 04, Bairro Waldir Lins"</w:t>
      </w:r>
      <w:r>
        <w:t xml:space="preserve"> — imóvel que </w:t>
      </w:r>
      <w:r>
        <w:rPr>
          <w:b/>
        </w:rPr>
        <w:t>não consta</w:t>
      </w:r>
      <w:r>
        <w:t xml:space="preserve"> das listas dos eventos 288 e 334 e que aparece nos controles de IPTU do evento 51. </w:t>
      </w:r>
      <w:r>
        <w:rPr>
          <w:b/>
        </w:rPr>
        <w:t>Deve ser incluído na avaliação e na alienação judicial</w:t>
      </w:r>
      <w:r>
        <w:t>, ampliando a base de cálculo do quinhão.</w:t>
      </w:r>
    </w:p>
    <w:p>
      <w:pPr>
        <w:pStyle w:val="ListNumber"/>
        <w:spacing w:line="360" w:lineRule="auto"/>
      </w:pPr>
      <w:r>
        <w:rPr>
          <w:b/>
        </w:rPr>
        <w:t>Custas:</w:t>
      </w:r>
      <w:r>
        <w:t xml:space="preserve"> o evento 207 (10/03/2025) intimou a </w:t>
      </w:r>
      <w:r>
        <w:rPr>
          <w:b/>
        </w:rPr>
        <w:t>parte executada</w:t>
      </w:r>
      <w:r>
        <w:t xml:space="preserve"> a pagar </w:t>
      </w:r>
      <w:r>
        <w:rPr>
          <w:b/>
        </w:rPr>
        <w:t>R$ 54.901,28</w:t>
      </w:r>
      <w:r>
        <w:t xml:space="preserve"> de custas processuais, sob pena de bloqueio via Sisbajud. Crédito contra eles, não contra nós.</w:t>
      </w:r>
    </w:p>
    <w:p>
      <w:pPr>
        <w:pStyle w:val="ListNumber"/>
        <w:spacing w:line="360" w:lineRule="auto"/>
      </w:pPr>
      <w:r>
        <w:rPr>
          <w:b/>
        </w:rPr>
        <w:t>Honorários sucumbenciais de 12% sobre R$ 1.775.071,35 (≈ R$ 213.008,56)</w:t>
      </w:r>
      <w:r>
        <w:t xml:space="preserve"> transitaram em julgado e pertencem aos patronos (art. 85, § 14, do CPC) — crédito autônomo e seguro.</w:t>
      </w:r>
    </w:p>
    <w:p>
      <w:pPr>
        <w:spacing w:after="40"/>
        <w:pBdr>
          <w:bottom w:val="single" w:sz="6" w:space="1" w:color="999999"/>
        </w:pBdr>
      </w:pPr>
    </w:p>
    <w:p>
      <w:pPr>
        <w:spacing w:before="240" w:after="120"/>
        <w:jc w:val="left"/>
      </w:pPr>
      <w:r>
        <w:rPr>
          <w:b/>
          <w:sz w:val="25"/>
        </w:rPr>
        <w:t>5. IMPACTO NA SUSTENTAÇÃO ORAL DE 16/09 — MUDANÇA DE ESTRATÉGIA</w:t>
      </w:r>
    </w:p>
    <w:p>
      <w:r>
        <w:rPr>
          <w:b/>
        </w:rPr>
        <w:t>Não se deve pedir ao Tribunal que chancele o crédito da Fazenda Palmeira.</w:t>
      </w:r>
      <w:r>
        <w:t xml:space="preserve"> Se o Colegiado fizer a aritmética do evento 347, tenderá a </w:t>
      </w:r>
      <w:r>
        <w:rPr>
          <w:b/>
        </w:rPr>
        <w:t>dar provimento</w:t>
      </w:r>
      <w:r>
        <w:t xml:space="preserve"> ao agravo e a firmar, em segundo grau, entendimento contrário a nós — com risco de contaminar o restante.</w:t>
      </w:r>
    </w:p>
    <w:p>
      <w:r>
        <w:rPr>
          <w:b/>
        </w:rPr>
        <w:t>Linha segura, nesta ordem:</w:t>
      </w:r>
    </w:p>
    <w:p>
      <w:pPr>
        <w:pStyle w:val="ListNumber"/>
        <w:spacing w:line="360" w:lineRule="auto"/>
      </w:pPr>
      <w:r>
        <w:rPr>
          <w:b/>
        </w:rPr>
        <w:t>Não conhecimento / perda de objeto</w:t>
      </w:r>
      <w:r>
        <w:t xml:space="preserve"> — a decisão agravada não decidiu o crédito; o Juízo reservou-se para decidi-lo (ev. 290) e reabriu o contraditório (ev. 348); os autos estão conclusos (ev. 353). Julgar agora é supressão de instância.</w:t>
      </w:r>
    </w:p>
    <w:p>
      <w:pPr>
        <w:pStyle w:val="ListNumber"/>
        <w:spacing w:line="360" w:lineRule="auto"/>
      </w:pPr>
      <w:r>
        <w:rPr>
          <w:b/>
        </w:rPr>
        <w:t>Preclusão</w:t>
      </w:r>
      <w:r>
        <w:t xml:space="preserve"> — a apelação do agravante limitou-se a honorários, como </w:t>
      </w:r>
      <w:r>
        <w:rPr>
          <w:b/>
        </w:rPr>
        <w:t>certificou o próprio Juízo</w:t>
      </w:r>
      <w:r>
        <w:t xml:space="preserve"> na sentença do ev. 156 dos autos nº 0006601-11.</w:t>
      </w:r>
    </w:p>
    <w:p>
      <w:pPr>
        <w:pStyle w:val="ListNumber"/>
        <w:spacing w:line="360" w:lineRule="auto"/>
      </w:pPr>
      <w:r>
        <w:rPr>
          <w:b/>
        </w:rPr>
        <w:t>Art. 525, §§ 4º e 5º, do CPC</w:t>
      </w:r>
      <w:r>
        <w:t xml:space="preserve"> — sem demonstrativo de cálculo, a rejeição do excesso é vinculada; esse capítulo é de reforma juridicamente impossível.</w:t>
      </w:r>
    </w:p>
    <w:p>
      <w:pPr>
        <w:pStyle w:val="ListNumber"/>
        <w:spacing w:line="360" w:lineRule="auto"/>
      </w:pPr>
      <w:r>
        <w:rPr>
          <w:b/>
        </w:rPr>
        <w:t>Prestação de contas</w:t>
      </w:r>
      <w:r>
        <w:t xml:space="preserve"> — capítulo não impugnado no agravo e expressamente excluído da liminar.</w:t>
      </w:r>
    </w:p>
    <w:p>
      <w:pPr>
        <w:pStyle w:val="ListNumber"/>
        <w:spacing w:line="360" w:lineRule="auto"/>
      </w:pPr>
      <w:r>
        <w:rPr>
          <w:b/>
        </w:rPr>
        <w:t>Pedido de ressalva expressa</w:t>
      </w:r>
      <w:r>
        <w:t xml:space="preserve"> no acórdão: o julgamento </w:t>
      </w:r>
      <w:r>
        <w:rPr>
          <w:b/>
        </w:rPr>
        <w:t>não prejulga</w:t>
      </w:r>
      <w:r>
        <w:t xml:space="preserve"> a suficiência das contas do ev. 347 nem o </w:t>
      </w:r>
      <w:r>
        <w:rPr>
          <w:i/>
        </w:rPr>
        <w:t>quantum debeatur</w:t>
      </w:r>
      <w:r>
        <w:t>.</w:t>
      </w:r>
    </w:p>
    <w:p>
      <w:r>
        <w:rPr>
          <w:b/>
        </w:rPr>
        <w:t>Evitar na tribuna:</w:t>
      </w:r>
      <w:r>
        <w:t xml:space="preserve"> afirmar que o valor "é afirmação do próprio agravante" com base nos R$ 290.068,53. O patrono contrário responderá com os alvarás e com a planilha do ev. 347 — e o argumento vira contra nós.</w:t>
      </w:r>
    </w:p>
    <w:p>
      <w:pPr>
        <w:spacing w:after="40"/>
        <w:pBdr>
          <w:bottom w:val="single" w:sz="6" w:space="1" w:color="999999"/>
        </w:pBdr>
      </w:pPr>
    </w:p>
    <w:p>
      <w:pPr>
        <w:spacing w:before="240" w:after="120"/>
        <w:jc w:val="left"/>
      </w:pPr>
      <w:r>
        <w:rPr>
          <w:b/>
          <w:sz w:val="25"/>
        </w:rPr>
        <w:t>6. PROVIDÊNCIAS RECOMENDADAS</w:t>
      </w:r>
    </w:p>
    <w:p>
      <w:r>
        <w:rPr>
          <w:b/>
        </w:rPr>
        <w:t>Até 16/09 (sessão):</w:t>
      </w:r>
    </w:p>
    <w:p>
      <w:pPr>
        <w:pStyle w:val="ListBullet"/>
        <w:spacing w:line="360" w:lineRule="auto"/>
      </w:pPr>
      <w:r>
        <w:t>[ ] Protocolar o pedido de sustentação oral e os memoriais (versão revisada).</w:t>
      </w:r>
    </w:p>
    <w:p>
      <w:pPr>
        <w:pStyle w:val="ListBullet"/>
        <w:spacing w:line="360" w:lineRule="auto"/>
      </w:pPr>
      <w:r>
        <w:t>[ ] Conferir se sobreveio decisão no 1º grau após o evento 353 — se houver, atualizar a preliminar.</w:t>
      </w:r>
    </w:p>
    <w:p>
      <w:pPr>
        <w:pStyle w:val="ListBullet"/>
        <w:spacing w:line="360" w:lineRule="auto"/>
      </w:pPr>
      <w:r>
        <w:t>[ ] Verificar o andamento do AI nº 0009786-84.2026.8.27.2700 (agravo de Terezinha) e pedir julgamento conjunto, se conveniente.</w:t>
      </w:r>
    </w:p>
    <w:p>
      <w:r>
        <w:rPr>
          <w:b/>
        </w:rPr>
        <w:t>Imediatamente após:</w:t>
      </w:r>
    </w:p>
    <w:p>
      <w:pPr>
        <w:pStyle w:val="ListBullet"/>
        <w:spacing w:line="360" w:lineRule="auto"/>
      </w:pPr>
      <w:r>
        <w:t xml:space="preserve">[ ] 🔴 Obter e ler o </w:t>
      </w:r>
      <w:r>
        <w:rPr>
          <w:b/>
        </w:rPr>
        <w:t>acordo do ev. 150 e o ev. 133 dos autos nº 0009192-87.2015.827.2722</w:t>
      </w:r>
      <w:r>
        <w:t xml:space="preserve"> — verificar cláusula de quitação e a assinatura da cliente.</w:t>
      </w:r>
    </w:p>
    <w:p>
      <w:pPr>
        <w:pStyle w:val="ListBullet"/>
        <w:spacing w:line="360" w:lineRule="auto"/>
      </w:pPr>
      <w:r>
        <w:t xml:space="preserve">[ ] Confirmar com a cliente se </w:t>
      </w:r>
      <w:r>
        <w:rPr>
          <w:b/>
        </w:rPr>
        <w:t>recebeu efetivamente</w:t>
      </w:r>
      <w:r>
        <w:t xml:space="preserve"> o trator e os R$ 6.394,80. </w:t>
      </w:r>
      <w:r>
        <w:rPr>
          <w:b/>
        </w:rPr>
        <w:t>Atenção:</w:t>
      </w:r>
      <w:r>
        <w:t xml:space="preserve"> o alvará nº 04600116/2018 determinou o crédito </w:t>
      </w:r>
      <w:r>
        <w:rPr>
          <w:b/>
        </w:rPr>
        <w:t>ao advogado ADÃO GOMES BASTOS</w:t>
      </w:r>
      <w:r>
        <w:t>, "procurador com poderes específicos para receber e dar quitação" — hoje patrono do agravante. Se não houve repasse, há crédito autônomo e questão ética relevante.</w:t>
      </w:r>
    </w:p>
    <w:p>
      <w:pPr>
        <w:pStyle w:val="ListBullet"/>
        <w:spacing w:line="360" w:lineRule="auto"/>
      </w:pPr>
      <w:r>
        <w:t>[ ] Levantar o estado atual da execução nº 5001748-54.2011.8.27.2722 e de eventual execução em Formoso do Araguaia contra a cliente.</w:t>
      </w:r>
    </w:p>
    <w:p>
      <w:pPr>
        <w:pStyle w:val="ListBullet"/>
        <w:spacing w:line="360" w:lineRule="auto"/>
      </w:pPr>
      <w:r>
        <w:t xml:space="preserve">[ ] Requerer a </w:t>
      </w:r>
      <w:r>
        <w:rPr>
          <w:b/>
        </w:rPr>
        <w:t>avaliação e inclusão do Lote 07, Q. 32, Rua 04, Bairro Waldir Lins</w:t>
      </w:r>
      <w:r>
        <w:t>.</w:t>
      </w:r>
    </w:p>
    <w:p>
      <w:pPr>
        <w:pStyle w:val="ListBullet"/>
        <w:spacing w:line="360" w:lineRule="auto"/>
      </w:pPr>
      <w:r>
        <w:t xml:space="preserve">[ ] Apresentar </w:t>
      </w:r>
      <w:r>
        <w:rPr>
          <w:b/>
        </w:rPr>
        <w:t>planilha retificada</w:t>
      </w:r>
      <w:r>
        <w:t>, excluindo a "multa de 2% por descumprimento de acordo".</w:t>
      </w:r>
    </w:p>
    <w:p>
      <w:pPr>
        <w:pStyle w:val="ListBullet"/>
        <w:spacing w:line="360" w:lineRule="auto"/>
      </w:pPr>
      <w:r>
        <w:t xml:space="preserve">[ ] Reposicionar o pedido executivo como </w:t>
      </w:r>
      <w:r>
        <w:rPr>
          <w:b/>
        </w:rPr>
        <w:t>alienação judicial de todos os imóveis com rateio proporcional</w:t>
      </w:r>
      <w:r>
        <w:t xml:space="preserve"> (art. 1.322 do CC; arts. 879 e ss. do CPC), em vez de leilão restrito para satisfação de crédito.</w:t>
      </w:r>
    </w:p>
    <w:p>
      <w:pPr>
        <w:pStyle w:val="ListBullet"/>
        <w:spacing w:line="360" w:lineRule="auto"/>
      </w:pPr>
      <w:r>
        <w:t xml:space="preserve">[ ] Avaliar a </w:t>
      </w:r>
      <w:r>
        <w:rPr>
          <w:b/>
        </w:rPr>
        <w:t>regularização do polo passivo</w:t>
      </w:r>
      <w:r>
        <w:t xml:space="preserve"> quanto a Janos, Joyce e João Borges Netto (cessionários de Berilene).</w:t>
      </w:r>
    </w:p>
    <w:p>
      <w:pPr>
        <w:pStyle w:val="ListBullet"/>
        <w:spacing w:line="360" w:lineRule="auto"/>
      </w:pPr>
      <w:r>
        <w:t xml:space="preserve">[ ] Reforçar o pedido de que </w:t>
      </w:r>
      <w:r>
        <w:rPr>
          <w:b/>
        </w:rPr>
        <w:t>Terezinha</w:t>
      </w:r>
      <w:r>
        <w:t xml:space="preserve"> comprove as transferências dos saldos bancários do espólio para sua conta pessoal (Bradesco 237, ag. 0590, c/c 5380-5).</w:t>
      </w:r>
    </w:p>
    <w:p>
      <w:pPr>
        <w:spacing w:after="40"/>
        <w:pBdr>
          <w:bottom w:val="single" w:sz="6" w:space="1" w:color="999999"/>
        </w:pBdr>
      </w:pPr>
    </w:p>
    <w:p>
      <w:pPr>
        <w:spacing w:before="240" w:after="120"/>
        <w:jc w:val="left"/>
      </w:pPr>
      <w:r>
        <w:rPr>
          <w:b/>
          <w:sz w:val="25"/>
        </w:rPr>
        <w:t>7. RESSALVA DE COBERTURA DA LEITURA</w:t>
      </w:r>
    </w:p>
    <w:p>
      <w:r>
        <w:t xml:space="preserve">Foram lidos, na íntegra do texto extraível, os dez arquivos do "Documento Unificado" exportado em 03/09/2026 (≈ 2.500 páginas). </w:t>
      </w:r>
      <w:r>
        <w:rPr>
          <w:b/>
        </w:rPr>
        <w:t>Dois trechos não puderam ser lidos:</w:t>
      </w:r>
    </w:p>
    <w:p>
      <w:pPr>
        <w:pStyle w:val="ListNumber"/>
        <w:spacing w:line="360" w:lineRule="auto"/>
      </w:pPr>
      <w:r>
        <w:rPr>
          <w:b/>
        </w:rPr>
        <w:t>Eventos 148 a 201</w:t>
      </w:r>
      <w:r>
        <w:t xml:space="preserve"> do processo nº 0006194-05.2022 (entre a sentença e o início do cumprimento) — o extrator de texto interrompeu a PARTE_3 no meio de um documento anexo.</w:t>
      </w:r>
    </w:p>
    <w:p>
      <w:pPr>
        <w:pStyle w:val="ListNumber"/>
        <w:spacing w:line="360" w:lineRule="auto"/>
      </w:pPr>
      <w:r>
        <w:rPr>
          <w:b/>
        </w:rPr>
        <w:t>Eventos 300 a 308</w:t>
      </w:r>
      <w:r>
        <w:t xml:space="preserve"> do mesmo processo — inclusive o </w:t>
      </w:r>
      <w:r>
        <w:rPr>
          <w:b/>
        </w:rPr>
        <w:t>texto principal das impugnações dos eventos 304 (Terezinha) e 309 (Berivaldo)</w:t>
      </w:r>
      <w:r>
        <w:t xml:space="preserve"> — pela mesma limitação na PARTE_4.</w:t>
      </w:r>
    </w:p>
    <w:p>
      <w:r>
        <w:t xml:space="preserve">O conteúdo dessas impugnações foi reconstituído pelas sínteses constantes da decisão do evento 325, da nossa réplica do evento 318 e das razões do agravo. Ainda assim, </w:t>
      </w:r>
      <w:r>
        <w:rPr>
          <w:b/>
        </w:rPr>
        <w:t>recomendo a leitura direta dos eventos 304 e 309 no e-Proc antes da sessão</w:t>
      </w:r>
      <w:r>
        <w:t>, sobretudo quanto ao alegado "desrespeito a acordo judicial homologado". Os arquivos têm 45–51 MB cada e o conector de Drive só permite download de até 10 MB, o que impediu a extração integral por outra via.</w:t>
      </w:r>
    </w:p>
    <w:p>
      <w:pPr>
        <w:spacing w:after="40"/>
        <w:pBdr>
          <w:bottom w:val="single" w:sz="6" w:space="1" w:color="999999"/>
        </w:pBdr>
      </w:pPr>
    </w:p>
    <w:p>
      <w:r>
        <w:rPr>
          <w:b/>
        </w:rPr>
        <w:t>PAULO IZIDIO DA SILVA REZENDE</w:t>
      </w:r>
    </w:p>
    <w:p>
      <w:r>
        <w:t>Advogado — OAB/TO 5.168</w:t>
      </w:r>
    </w:p>
    <w:p>
      <w:r>
        <w:t>Rua Euridice Rodrigues de Brito, nº 1.241, Centro, Gurupi/TO</w:t>
      </w:r>
    </w:p>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