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sz w:val="28"/>
        </w:rPr>
        <w:t>ROTEIRO DE SUSTENTAÇÃO ORAL</w:t>
      </w:r>
    </w:p>
    <w:p>
      <w:r>
        <w:rPr>
          <w:b/>
        </w:rPr>
        <w:t>AGRAVO DE INSTRUMENTO Nº 0010028-43.2026.8.27.2700/TO</w:t>
      </w:r>
    </w:p>
    <w:p>
      <w:r>
        <w:rPr>
          <w:b/>
        </w:rPr>
        <w:t>5ª Turma da 1ª Câmara Cível — TJTO | Relatora: Desa. Silvana Maria Parfieniuk</w:t>
      </w:r>
    </w:p>
    <w:p>
      <w:r>
        <w:rPr>
          <w:b/>
        </w:rPr>
        <w:t>Sessão: 16/09/2026 | Sustentante: Dr. Paulo Izidio da Silva Rezende — OAB/TO 5.168</w:t>
      </w:r>
    </w:p>
    <w:p>
      <w:r>
        <w:rPr>
          <w:b/>
        </w:rPr>
        <w:t>Posição: AGRAVADA — MAGNÓLIA RODRIGUES COSTA (fala DEPOIS do agravante)</w:t>
      </w:r>
    </w:p>
    <w:p>
      <w:pPr>
        <w:spacing w:line="240" w:lineRule="auto" w:after="120"/>
        <w:ind w:left="1134"/>
      </w:pPr>
      <w:r>
        <w:rPr>
          <w:b/>
          <w:sz w:val="22"/>
        </w:rPr>
        <w:t>Tempos:</w:t>
      </w:r>
      <w:r>
        <w:rPr>
          <w:sz w:val="22"/>
        </w:rPr>
        <w:t xml:space="preserve"> 15 min (sessão presencial física) · 8 min prorrogáveis até 15 (videoconferência) — RITJTO, art. 104.</w:t>
      </w:r>
    </w:p>
    <w:p>
      <w:pPr>
        <w:spacing w:line="240" w:lineRule="auto" w:after="120"/>
        <w:ind w:left="1134"/>
      </w:pPr>
      <w:r>
        <w:rPr>
          <w:b/>
          <w:sz w:val="22"/>
        </w:rPr>
        <w:t>Roteiro principal calibrado para 12 min efetivos.</w:t>
      </w:r>
      <w:r>
        <w:rPr>
          <w:sz w:val="22"/>
        </w:rPr>
        <w:t xml:space="preserve"> Versão compacta de 8 min ao final.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⚑ A TESE EM UMA FRASE (decore esta)</w:t>
      </w:r>
    </w:p>
    <w:p>
      <w:pPr>
        <w:spacing w:line="240" w:lineRule="auto" w:after="120"/>
        <w:ind w:left="1134"/>
      </w:pPr>
      <w:r>
        <w:rPr>
          <w:i/>
          <w:sz w:val="22"/>
        </w:rPr>
        <w:t>"O agravante pede a este Tribunal que decida hoje aquilo que o Juízo de origem ainda vai decidir amanhã — e pede com base em uma tese que ele mesmo deixou precluir quando, na apelação, discutiu apenas honorários."</w:t>
      </w:r>
    </w:p>
    <w:p>
      <w:pPr>
        <w:spacing w:before="240" w:after="120"/>
        <w:jc w:val="left"/>
      </w:pPr>
      <w:r>
        <w:rPr>
          <w:b/>
          <w:sz w:val="25"/>
        </w:rPr>
        <w:t>⚑ O PEDIDO EM UMA FRASE</w:t>
      </w:r>
    </w:p>
    <w:p>
      <w:pPr>
        <w:spacing w:line="240" w:lineRule="auto" w:after="120"/>
        <w:ind w:left="1134"/>
      </w:pPr>
      <w:r>
        <w:rPr>
          <w:i/>
          <w:sz w:val="22"/>
        </w:rPr>
        <w:t>"Não conhecimento do recurso por perda superveniente de objeto; subsidiariamente, desprovimento integral, com revogação do efeito suspensivo parcial."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BLOCO 0 — ABERTURA (40 segundos)</w:t>
      </w:r>
    </w:p>
    <w:p>
      <w:pPr>
        <w:spacing w:line="240" w:lineRule="auto" w:after="120"/>
        <w:ind w:left="1134"/>
      </w:pPr>
      <w:r>
        <w:rPr>
          <w:sz w:val="22"/>
        </w:rPr>
        <w:t>"Excelentíssima Senhora Desembargadora Relatora, Excelentíssimos Desembargadores, ilustre representante do Ministério Público, senhores advogados.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Paulo Izidio da Silva Rezende, OAB/TO 5.168</w:t>
      </w:r>
      <w:r>
        <w:rPr>
          <w:sz w:val="22"/>
        </w:rPr>
        <w:t xml:space="preserve">, pela agravada </w:t>
      </w:r>
      <w:r>
        <w:rPr>
          <w:b/>
          <w:sz w:val="22"/>
        </w:rPr>
        <w:t>Magnólia Rodrigues Costa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Excelências, esta causa tem uma data que explica tudo: </w:t>
      </w:r>
      <w:r>
        <w:rPr>
          <w:b/>
          <w:sz w:val="22"/>
        </w:rPr>
        <w:t>27 de abril de 2015</w:t>
      </w:r>
      <w:r>
        <w:rPr>
          <w:sz w:val="22"/>
        </w:rPr>
        <w:t xml:space="preserve">. Foi quando se lavrou a escritura de inventário e partilha do espólio de Aquiles Gonçalves Arruda. </w:t>
      </w:r>
      <w:r>
        <w:rPr>
          <w:b/>
          <w:sz w:val="22"/>
        </w:rPr>
        <w:t>Onze anos depois</w:t>
      </w:r>
      <w:r>
        <w:rPr>
          <w:sz w:val="22"/>
        </w:rPr>
        <w:t>, minha constituinte — herdeira de 7,14% — ainda não recebeu o seu quinhão, e o inventariante ainda não prestou as contas a que foi condenado.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>Peço a Vossas Excelências apenas três minutos de atenção para cada um de três pontos."</w:t>
      </w:r>
    </w:p>
    <w:p>
      <w:r>
        <w:rPr>
          <w:i/>
        </w:rPr>
        <w:t>(Respirar. Olhar para a Relatora.)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BLOCO 1 — PRELIMINAR: O RECURSO PERDEU O OBJETO (3 minutos) ★ PONTO MAIS FORTE</w:t>
      </w:r>
    </w:p>
    <w:p>
      <w:r>
        <w:rPr>
          <w:b/>
        </w:rPr>
        <w:t>Fio condutor: mostre o calendário.</w:t>
      </w:r>
    </w:p>
    <w:p>
      <w:pPr>
        <w:spacing w:line="240" w:lineRule="auto" w:after="120"/>
        <w:ind w:left="1134"/>
      </w:pPr>
      <w:r>
        <w:rPr>
          <w:sz w:val="22"/>
        </w:rPr>
        <w:t>"</w:t>
      </w:r>
      <w:r>
        <w:rPr>
          <w:b/>
          <w:sz w:val="22"/>
        </w:rPr>
        <w:t>Primeiro ponto, Excelências: este recurso, no seu pedido central, perdeu o objeto.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>O agravante pede — é o item 'c' das razões — que este Tribunal 'exclua a suposta supressão de quinhão sobre o valor da venda da Fazenda Palmeira'.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Ocorre que </w:t>
      </w:r>
      <w:r>
        <w:rPr>
          <w:b/>
          <w:sz w:val="22"/>
        </w:rPr>
        <w:t>a decisão agravada não decidiu isso</w:t>
      </w:r>
      <w:r>
        <w:rPr>
          <w:sz w:val="22"/>
        </w:rPr>
        <w:t xml:space="preserve">. Vou ler o dispositivo do evento 325: não conheceu matérias preclusas; rejeitou o excesso de execução por falta de demonstrativo; reconheceu a adjudicação do trator como pagamento parcial; afastou a má-fé; mandou prestar contas; e determinou o prosseguimento. </w:t>
      </w:r>
      <w:r>
        <w:rPr>
          <w:b/>
          <w:sz w:val="22"/>
        </w:rPr>
        <w:t>Não condenou ao pagamento de nenhum valor. Não homologou planilha. Não designou leilão.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 há mais, Excelências — e este é o dado decisivo, </w:t>
      </w:r>
      <w:r>
        <w:rPr>
          <w:b/>
          <w:sz w:val="22"/>
        </w:rPr>
        <w:t>posterior à interposição do recurso</w:t>
      </w:r>
      <w:r>
        <w:rPr>
          <w:sz w:val="22"/>
        </w:rPr>
        <w:t>: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— No </w:t>
      </w:r>
      <w:r>
        <w:rPr>
          <w:b/>
          <w:sz w:val="22"/>
        </w:rPr>
        <w:t>evento 347</w:t>
      </w:r>
      <w:r>
        <w:rPr>
          <w:sz w:val="22"/>
        </w:rPr>
        <w:t>, o agravante apresentou a prestação de contas.</w:t>
      </w:r>
    </w:p>
    <w:p>
      <w:pPr>
        <w:spacing w:line="240" w:lineRule="auto" w:after="120"/>
        <w:ind w:left="1134"/>
      </w:pPr>
      <w:r>
        <w:rPr>
          <w:sz w:val="22"/>
        </w:rPr>
        <w:t xml:space="preserve">— No </w:t>
      </w:r>
      <w:r>
        <w:rPr>
          <w:b/>
          <w:sz w:val="22"/>
        </w:rPr>
        <w:t>evento 348, de 8 de julho de 2026</w:t>
      </w:r>
      <w:r>
        <w:rPr>
          <w:sz w:val="22"/>
        </w:rPr>
        <w:t xml:space="preserve">, o Juízo de origem determinou o contraditório e disse expressamente o que vai decidir. Cito: </w:t>
      </w:r>
      <w:r>
        <w:rPr>
          <w:i/>
          <w:sz w:val="22"/>
        </w:rPr>
        <w:t>'da suficiência da prestação de contas apresentada'</w:t>
      </w:r>
      <w:r>
        <w:rPr>
          <w:sz w:val="22"/>
        </w:rPr>
        <w:t xml:space="preserve">, </w:t>
      </w:r>
      <w:r>
        <w:rPr>
          <w:i/>
          <w:sz w:val="22"/>
        </w:rPr>
        <w:t>'da necessidade de complementação'</w:t>
      </w:r>
      <w:r>
        <w:rPr>
          <w:sz w:val="22"/>
        </w:rPr>
        <w:t xml:space="preserve"> e — palavras do Magistrado — </w:t>
      </w:r>
      <w:r>
        <w:rPr>
          <w:b/>
          <w:i/>
          <w:sz w:val="22"/>
        </w:rPr>
        <w:t>'dos pedidos de prosseguimento da execução formulados pela exequente, inclusive quanto à alienação judicial dos bens penhorados'</w:t>
      </w:r>
      <w:r>
        <w:rPr>
          <w:sz w:val="22"/>
        </w:rPr>
        <w:t>.</w:t>
      </w:r>
    </w:p>
    <w:p>
      <w:pPr>
        <w:spacing w:line="240" w:lineRule="auto" w:after="120"/>
        <w:ind w:left="1134"/>
      </w:pPr>
      <w:r>
        <w:rPr>
          <w:sz w:val="22"/>
        </w:rPr>
        <w:t xml:space="preserve">— No </w:t>
      </w:r>
      <w:r>
        <w:rPr>
          <w:b/>
          <w:sz w:val="22"/>
        </w:rPr>
        <w:t>evento 352</w:t>
      </w:r>
      <w:r>
        <w:rPr>
          <w:sz w:val="22"/>
        </w:rPr>
        <w:t>, em 30 de julho, replicamos.</w:t>
      </w:r>
    </w:p>
    <w:p>
      <w:pPr>
        <w:spacing w:line="240" w:lineRule="auto" w:after="120"/>
        <w:ind w:left="1134"/>
      </w:pPr>
      <w:r>
        <w:rPr>
          <w:sz w:val="22"/>
        </w:rPr>
        <w:t xml:space="preserve">— No </w:t>
      </w:r>
      <w:r>
        <w:rPr>
          <w:b/>
          <w:sz w:val="22"/>
        </w:rPr>
        <w:t>evento 353</w:t>
      </w:r>
      <w:r>
        <w:rPr>
          <w:sz w:val="22"/>
        </w:rPr>
        <w:t xml:space="preserve">, em 31 de julho, os autos foram </w:t>
      </w:r>
      <w:r>
        <w:rPr>
          <w:b/>
          <w:sz w:val="22"/>
        </w:rPr>
        <w:t>conclusos para decisão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Vale dizer, Excelências: </w:t>
      </w:r>
      <w:r>
        <w:rPr>
          <w:b/>
          <w:sz w:val="22"/>
        </w:rPr>
        <w:t>a exata controvérsia que o agravante quer ver resolvida aqui está, neste momento, concluso na mesa do Juiz de primeiro grau.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Julgá-la agora seria </w:t>
      </w:r>
      <w:r>
        <w:rPr>
          <w:b/>
          <w:sz w:val="22"/>
        </w:rPr>
        <w:t>suprimir um grau de jurisdição</w:t>
      </w:r>
      <w:r>
        <w:rPr>
          <w:sz w:val="22"/>
        </w:rPr>
        <w:t xml:space="preserve"> e </w:t>
      </w:r>
      <w:r>
        <w:rPr>
          <w:b/>
          <w:sz w:val="22"/>
        </w:rPr>
        <w:t>prejulgar</w:t>
      </w:r>
      <w:r>
        <w:rPr>
          <w:sz w:val="22"/>
        </w:rPr>
        <w:t xml:space="preserve"> a suficiência de uma prestação de contas cuja análise ainda nem começou.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 note-se: </w:t>
      </w:r>
      <w:r>
        <w:rPr>
          <w:b/>
          <w:sz w:val="22"/>
        </w:rPr>
        <w:t>não há urgência nenhuma a justificar isso</w:t>
      </w:r>
      <w:r>
        <w:rPr>
          <w:sz w:val="22"/>
        </w:rPr>
        <w:t xml:space="preserve">. A liminar do evento 7 já suspendeu os atos expropriatórios. O Juízo não designou leilão — ao contrário, condicionou o tema à decisão futura. </w:t>
      </w:r>
      <w:r>
        <w:rPr>
          <w:b/>
          <w:sz w:val="22"/>
        </w:rPr>
        <w:t>O risco que o agravante alegou simplesmente não existe mais.</w:t>
      </w:r>
      <w:r>
        <w:rPr>
          <w:sz w:val="22"/>
        </w:rPr>
        <w:t>"</w:t>
      </w:r>
    </w:p>
    <w:p>
      <w:r>
        <w:rPr>
          <w:b/>
        </w:rPr>
        <w:t>🔑 Frase de fecho do bloco:</w:t>
      </w:r>
    </w:p>
    <w:p>
      <w:pPr>
        <w:spacing w:line="240" w:lineRule="auto" w:after="120"/>
        <w:ind w:left="1134"/>
      </w:pPr>
      <w:r>
        <w:rPr>
          <w:i/>
          <w:sz w:val="22"/>
        </w:rPr>
        <w:t>"Por isso, o pedido principal da agravada é o não conhecimento do recurso, nesse ponto, por perda superveniente de objeto."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BLOCO 2 — A PRECLUSÃO É DELE, NÃO NOSSA (3 minutos) ★ O ARGUMENTO QUE VIRA O JOGO</w:t>
      </w:r>
    </w:p>
    <w:p>
      <w:pPr>
        <w:spacing w:line="240" w:lineRule="auto" w:after="120"/>
        <w:ind w:left="1134"/>
      </w:pPr>
      <w:r>
        <w:rPr>
          <w:sz w:val="22"/>
        </w:rPr>
        <w:t>"</w:t>
      </w:r>
      <w:r>
        <w:rPr>
          <w:b/>
          <w:sz w:val="22"/>
        </w:rPr>
        <w:t>Segundo ponto, Excelências.</w:t>
      </w:r>
      <w:r>
        <w:rPr>
          <w:sz w:val="22"/>
        </w:rPr>
        <w:t xml:space="preserve"> O agravante diz, do início ao fim do recurso, que </w:t>
      </w:r>
      <w:r>
        <w:rPr>
          <w:b/>
          <w:sz w:val="22"/>
        </w:rPr>
        <w:t>nós</w:t>
      </w:r>
      <w:r>
        <w:rPr>
          <w:sz w:val="22"/>
        </w:rPr>
        <w:t xml:space="preserve"> estaríamos afrontando a coisa julgada. A realidade dos autos é exatamente a oposta.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agravante </w:t>
      </w:r>
      <w:r>
        <w:rPr>
          <w:b/>
          <w:sz w:val="22"/>
        </w:rPr>
        <w:t>apelou</w:t>
      </w:r>
      <w:r>
        <w:rPr>
          <w:sz w:val="22"/>
        </w:rPr>
        <w:t xml:space="preserve"> da sentença do evento 137. Tinha ali — e só ali — a oportunidade de dizer que o título não alcançava a Fazenda Palmeira, que a condenação se limitava aos imóveis urbanos, que a prestação de contas não abrangia o produto da venda de bens do acervo.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Não disse uma palavra sobre nada disso.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>Cito o relatório do eminente Desembargador Helvécio de Brito Maia Neto, no evento 8 daquela apelação: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&gt; </w:t>
      </w:r>
      <w:r>
        <w:rPr>
          <w:b/>
          <w:i/>
          <w:sz w:val="22"/>
        </w:rPr>
        <w:t>'No presente apelo o recorrente questiona apenas a sua condenação ao pagamento dos honorários de sucumbência.'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 o próprio pedido do apelo, transcrito no voto, pedia a reforma </w:t>
      </w:r>
      <w:r>
        <w:rPr>
          <w:b/>
          <w:sz w:val="22"/>
        </w:rPr>
        <w:t>'tão somente em relação à distribuição do ônus da sucumbência e das custas processuais'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recurso foi </w:t>
      </w:r>
      <w:r>
        <w:rPr>
          <w:b/>
          <w:sz w:val="22"/>
        </w:rPr>
        <w:t>desprovido por unanimidade em 8 de maio de 2024</w:t>
      </w:r>
      <w:r>
        <w:rPr>
          <w:sz w:val="22"/>
        </w:rPr>
        <w:t xml:space="preserve">, com majoração dos honorários para 12%. E a sentença transitou em julgado, </w:t>
      </w:r>
      <w:r>
        <w:rPr>
          <w:b/>
          <w:sz w:val="22"/>
        </w:rPr>
        <w:t>inteira e sem ressalva</w:t>
      </w:r>
      <w:r>
        <w:rPr>
          <w:sz w:val="22"/>
        </w:rPr>
        <w:t xml:space="preserve">, em </w:t>
      </w:r>
      <w:r>
        <w:rPr>
          <w:b/>
          <w:sz w:val="22"/>
        </w:rPr>
        <w:t>14 de junho de 2024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Excelências: o artigo 508 do Código de Processo Civil diz que, transitada em julgado a decisão de mérito, </w:t>
      </w:r>
      <w:r>
        <w:rPr>
          <w:b/>
          <w:sz w:val="22"/>
        </w:rPr>
        <w:t>consideram-se deduzidas e repelidas todas as alegações que a parte poderia opor</w:t>
      </w:r>
      <w:r>
        <w:rPr>
          <w:sz w:val="22"/>
        </w:rPr>
        <w:t>. É exatamente este caso.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Quem está tentando rediscutir a extensão do título, </w:t>
      </w:r>
      <w:r>
        <w:rPr>
          <w:b/>
          <w:sz w:val="22"/>
        </w:rPr>
        <w:t>quatro anos depois</w:t>
      </w:r>
      <w:r>
        <w:rPr>
          <w:sz w:val="22"/>
        </w:rPr>
        <w:t xml:space="preserve">, pela via estreitíssima da impugnação ao cumprimento de sentença, </w:t>
      </w:r>
      <w:r>
        <w:rPr>
          <w:b/>
          <w:sz w:val="22"/>
        </w:rPr>
        <w:t>não somos nós</w:t>
      </w:r>
      <w:r>
        <w:rPr>
          <w:sz w:val="22"/>
        </w:rPr>
        <w:t>."</w:t>
      </w:r>
    </w:p>
    <w:p>
      <w:r>
        <w:rPr>
          <w:b/>
        </w:rPr>
        <w:t>🔑 Frase de fecho do bloco:</w:t>
      </w:r>
    </w:p>
    <w:p>
      <w:pPr>
        <w:spacing w:line="240" w:lineRule="auto" w:after="120"/>
        <w:ind w:left="1134"/>
      </w:pPr>
      <w:r>
        <w:rPr>
          <w:i/>
          <w:sz w:val="22"/>
        </w:rPr>
        <w:t>"A preclusão, nestes autos, opera contra o agravante — não contra a herdeira que ainda espera há onze anos."</w:t>
      </w:r>
    </w:p>
    <w:p>
      <w:r>
        <w:rPr>
          <w:i/>
        </w:rPr>
        <w:t>(Se couber, com moderação e sem personalizar:)</w:t>
      </w:r>
    </w:p>
    <w:p>
      <w:pPr>
        <w:spacing w:line="240" w:lineRule="auto" w:after="120"/>
        <w:ind w:left="1134"/>
      </w:pPr>
      <w:r>
        <w:rPr>
          <w:sz w:val="22"/>
        </w:rPr>
        <w:t>"E permito-me um registro objetivo: o próprio subscritor do recurso foi quem conduziu e chancelou juridicamente o inventário extrajudicial que originou este condomínio. Questionar hoje a extensão daquela partilha é comportamento contraditório, vedado pelo artigo 5º do CPC."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BLOCO 3 — MÉRITO: A FAZENDA PALMEIRA SEMPRE ESTEVE DENTRO DO TÍTULO (4 minutos)</w:t>
      </w:r>
    </w:p>
    <w:p>
      <w:pPr>
        <w:spacing w:before="240" w:after="120"/>
        <w:jc w:val="left"/>
      </w:pPr>
      <w:r>
        <w:rPr>
          <w:b/>
          <w:sz w:val="24"/>
        </w:rPr>
        <w:t>3.1 — Leia o dispositivo com o dedo na linha (90 s)</w:t>
      </w:r>
    </w:p>
    <w:p>
      <w:pPr>
        <w:spacing w:line="240" w:lineRule="auto" w:after="120"/>
        <w:ind w:left="1134"/>
      </w:pPr>
      <w:r>
        <w:rPr>
          <w:sz w:val="22"/>
        </w:rPr>
        <w:t>"</w:t>
      </w:r>
      <w:r>
        <w:rPr>
          <w:b/>
          <w:sz w:val="22"/>
        </w:rPr>
        <w:t>Terceiro ponto, Excelências: no mérito, não há pedido novo nenhum.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agravante lê a sentença pela metade. Peço licença para lê-la inteira. São </w:t>
      </w:r>
      <w:r>
        <w:rPr>
          <w:b/>
          <w:sz w:val="22"/>
        </w:rPr>
        <w:t>dois comandos distintos</w:t>
      </w:r>
      <w:r>
        <w:rPr>
          <w:sz w:val="22"/>
        </w:rPr>
        <w:t>: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&gt; </w:t>
      </w:r>
      <w:r>
        <w:rPr>
          <w:i/>
          <w:sz w:val="22"/>
        </w:rPr>
        <w:t>'EXTINGUIR o condomínio existente sobre</w:t>
      </w:r>
      <w:r>
        <w:rPr>
          <w:sz w:val="22"/>
        </w:rPr>
        <w:t xml:space="preserve"> </w:t>
      </w:r>
      <w:r>
        <w:rPr>
          <w:b/>
          <w:i/>
          <w:sz w:val="22"/>
        </w:rPr>
        <w:t>os imóveis que compõem a partilha do espólio</w:t>
      </w:r>
      <w:r>
        <w:rPr>
          <w:i/>
          <w:sz w:val="22"/>
        </w:rPr>
        <w:t>, descritos na escritura pública de inventário e partilha';</w:t>
      </w:r>
    </w:p>
    <w:p>
      <w:pPr>
        <w:spacing w:line="240" w:lineRule="auto" w:after="120"/>
        <w:ind w:left="1134"/>
      </w:pPr>
      <w:r>
        <w:rPr>
          <w:sz w:val="22"/>
        </w:rPr>
        <w:t>&gt;</w:t>
      </w:r>
    </w:p>
    <w:p>
      <w:pPr>
        <w:spacing w:line="240" w:lineRule="auto" w:after="120"/>
        <w:ind w:left="1134"/>
      </w:pPr>
      <w:r>
        <w:rPr>
          <w:sz w:val="22"/>
        </w:rPr>
        <w:t xml:space="preserve">&gt; </w:t>
      </w:r>
      <w:r>
        <w:rPr>
          <w:i/>
          <w:sz w:val="22"/>
        </w:rPr>
        <w:t>'DETERMINAR a alienação judicial</w:t>
      </w:r>
      <w:r>
        <w:rPr>
          <w:sz w:val="22"/>
        </w:rPr>
        <w:t xml:space="preserve"> </w:t>
      </w:r>
      <w:r>
        <w:rPr>
          <w:b/>
          <w:i/>
          <w:sz w:val="22"/>
        </w:rPr>
        <w:t>dos imóveis urbanos</w:t>
      </w:r>
      <w:r>
        <w:rPr>
          <w:sz w:val="22"/>
        </w:rPr>
        <w:t xml:space="preserve"> </w:t>
      </w:r>
      <w:r>
        <w:rPr>
          <w:i/>
          <w:sz w:val="22"/>
        </w:rPr>
        <w:t>que compõem a partilha.'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</w:t>
      </w:r>
      <w:r>
        <w:rPr>
          <w:b/>
          <w:sz w:val="22"/>
        </w:rPr>
        <w:t>primeiro</w:t>
      </w:r>
      <w:r>
        <w:rPr>
          <w:sz w:val="22"/>
        </w:rPr>
        <w:t xml:space="preserve"> comando — extinguir o condomínio — alcança </w:t>
      </w:r>
      <w:r>
        <w:rPr>
          <w:b/>
          <w:sz w:val="22"/>
        </w:rPr>
        <w:t>todos</w:t>
      </w:r>
      <w:r>
        <w:rPr>
          <w:sz w:val="22"/>
        </w:rPr>
        <w:t xml:space="preserve"> os imóveis da partilha.</w:t>
      </w:r>
    </w:p>
    <w:p>
      <w:pPr>
        <w:spacing w:line="240" w:lineRule="auto" w:after="120"/>
        <w:ind w:left="1134"/>
      </w:pPr>
      <w:r>
        <w:rPr>
          <w:sz w:val="22"/>
        </w:rPr>
        <w:t xml:space="preserve">O </w:t>
      </w:r>
      <w:r>
        <w:rPr>
          <w:b/>
          <w:sz w:val="22"/>
        </w:rPr>
        <w:t>segundo</w:t>
      </w:r>
      <w:r>
        <w:rPr>
          <w:sz w:val="22"/>
        </w:rPr>
        <w:t xml:space="preserve"> — a modalidade de alienação judicial — alcança só os urbanos. </w:t>
      </w:r>
      <w:r>
        <w:rPr>
          <w:b/>
          <w:sz w:val="22"/>
        </w:rPr>
        <w:t>E por uma razão óbvia e documentada: o único imóvel rural do acervo, a Fazenda Palmeira, já tinha sido alienado a terceiro. Não havia como aliená-lo de novo.</w:t>
      </w:r>
      <w:r>
        <w:rPr>
          <w:sz w:val="22"/>
        </w:rPr>
        <w:t>"</w:t>
      </w:r>
    </w:p>
    <w:p>
      <w:pPr>
        <w:spacing w:before="240" w:after="120"/>
        <w:jc w:val="left"/>
      </w:pPr>
      <w:r>
        <w:rPr>
          <w:b/>
          <w:sz w:val="24"/>
        </w:rPr>
        <w:t>3.2 — A prova registral (60 s) ★ MOSTRE A MATRÍCULA</w:t>
      </w:r>
    </w:p>
    <w:p>
      <w:pPr>
        <w:spacing w:line="240" w:lineRule="auto" w:after="120"/>
        <w:ind w:left="1134"/>
      </w:pPr>
      <w:r>
        <w:rPr>
          <w:sz w:val="22"/>
        </w:rPr>
        <w:t xml:space="preserve">"E que a Fazenda Palmeira integra a partilha não é tese: é </w:t>
      </w:r>
      <w:r>
        <w:rPr>
          <w:b/>
          <w:sz w:val="22"/>
        </w:rPr>
        <w:t>registro público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Matrícula nº 6.631</w:t>
      </w:r>
      <w:r>
        <w:rPr>
          <w:sz w:val="22"/>
        </w:rPr>
        <w:t xml:space="preserve"> do Registro de Imóveis de Formoso do Araguaia. </w:t>
      </w:r>
      <w:r>
        <w:rPr>
          <w:b/>
          <w:sz w:val="22"/>
        </w:rPr>
        <w:t>R-9, de 29 de abril de 2015.</w:t>
      </w:r>
      <w:r>
        <w:rPr>
          <w:sz w:val="22"/>
        </w:rPr>
        <w:t xml:space="preserve"> Título: </w:t>
      </w:r>
      <w:r>
        <w:rPr>
          <w:i/>
          <w:sz w:val="22"/>
        </w:rPr>
        <w:t>Escritura Pública de Inventário e Partilha do Espólio de Aquiles Gonçalves Arruda</w:t>
      </w:r>
      <w:r>
        <w:rPr>
          <w:sz w:val="22"/>
        </w:rPr>
        <w:t xml:space="preserve">. E o registro nomeia, um a um, os adquirentes: 50% à meeira Terezinha; 7,15% a Berivaldo e a Raimundo; e </w:t>
      </w:r>
      <w:r>
        <w:rPr>
          <w:b/>
          <w:sz w:val="22"/>
        </w:rPr>
        <w:t>7,14% a Berenice, Berilene, MAGNÓLIA RODRIGUES COSTA, Maristela e Marlem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Minha constituinte é condômina registrada de 7,14% de uma fazenda de 791 hectares.</w:t>
      </w:r>
      <w:r>
        <w:rPr>
          <w:sz w:val="22"/>
        </w:rPr>
        <w:t xml:space="preserve"> Isso está na matrícula, Excelências. E é a mesmíssima escritura a que a sentença faz remissão expressa."</w:t>
      </w:r>
    </w:p>
    <w:p>
      <w:pPr>
        <w:spacing w:before="240" w:after="120"/>
        <w:jc w:val="left"/>
      </w:pPr>
      <w:r>
        <w:rPr>
          <w:b/>
          <w:sz w:val="24"/>
        </w:rPr>
        <w:t>3.3 — Sub-rogação real (45 s)</w:t>
      </w:r>
    </w:p>
    <w:p>
      <w:pPr>
        <w:spacing w:line="240" w:lineRule="auto" w:after="120"/>
        <w:ind w:left="1134"/>
      </w:pPr>
      <w:r>
        <w:rPr>
          <w:sz w:val="22"/>
        </w:rPr>
        <w:t xml:space="preserve">"E quando o bem comum já foi vendido antes da divisão, o Código Civil resolve em uma linha — artigo 1.322: </w:t>
      </w:r>
      <w:r>
        <w:rPr>
          <w:i/>
          <w:sz w:val="22"/>
        </w:rPr>
        <w:t>'será vendida e repartido o apurado'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Opera-se </w:t>
      </w:r>
      <w:r>
        <w:rPr>
          <w:b/>
          <w:sz w:val="22"/>
        </w:rPr>
        <w:t>sub-rogação real</w:t>
      </w:r>
      <w:r>
        <w:rPr>
          <w:sz w:val="22"/>
        </w:rPr>
        <w:t xml:space="preserve">: </w:t>
      </w:r>
      <w:r>
        <w:rPr>
          <w:b/>
          <w:sz w:val="22"/>
        </w:rPr>
        <w:t>o preço ocupa o lugar da coisa</w:t>
      </w:r>
      <w:r>
        <w:rPr>
          <w:sz w:val="22"/>
        </w:rPr>
        <w:t>. A fração ideal da condômina se converte em fração ideal sobre o produto.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Reconhecer isso </w:t>
      </w:r>
      <w:r>
        <w:rPr>
          <w:b/>
          <w:sz w:val="22"/>
        </w:rPr>
        <w:t>não acrescenta nada ao título</w:t>
      </w:r>
      <w:r>
        <w:rPr>
          <w:sz w:val="22"/>
        </w:rPr>
        <w:t>. É executar o título como ele é. O contrário — extinguir o condomínio sobre todos os imóveis e negar à condômina qualquer participação no valor de um deles — seria enriquecimento sem causa, artigo 884 do Código Civil."</w:t>
      </w:r>
    </w:p>
    <w:p>
      <w:pPr>
        <w:spacing w:before="240" w:after="120"/>
        <w:jc w:val="left"/>
      </w:pPr>
      <w:r>
        <w:rPr>
          <w:b/>
          <w:sz w:val="24"/>
        </w:rPr>
        <w:t>3.4 — O valor é dele, não nosso (45 s) ★ A ESTOCADA</w:t>
      </w:r>
    </w:p>
    <w:p>
      <w:pPr>
        <w:spacing w:line="240" w:lineRule="auto" w:after="120"/>
        <w:ind w:left="1134"/>
      </w:pPr>
      <w:r>
        <w:rPr>
          <w:sz w:val="22"/>
        </w:rPr>
        <w:t>"E há um ponto, Excelências, que peço especial atenção.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agravante diz que o valor cobrado é invenção da exequente. </w:t>
      </w:r>
      <w:r>
        <w:rPr>
          <w:b/>
          <w:sz w:val="22"/>
        </w:rPr>
        <w:t>Não é. É afirmação dele próprio.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A Fazenda Palmeira foi alienada por </w:t>
      </w:r>
      <w:r>
        <w:rPr>
          <w:b/>
          <w:sz w:val="22"/>
        </w:rPr>
        <w:t>R$ 3.500.000,00</w:t>
      </w:r>
      <w:r>
        <w:rPr>
          <w:sz w:val="22"/>
        </w:rPr>
        <w:t xml:space="preserve">, preço depositado em </w:t>
      </w:r>
      <w:r>
        <w:rPr>
          <w:b/>
          <w:sz w:val="22"/>
        </w:rPr>
        <w:t>conta judicial</w:t>
      </w:r>
      <w:r>
        <w:rPr>
          <w:sz w:val="22"/>
        </w:rPr>
        <w:t xml:space="preserve"> nos autos da petição de herança nº 0009192-87.2015, para readequação da partilha após o reconhecimento de herdeiros unilaterais.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 em petição de </w:t>
      </w:r>
      <w:r>
        <w:rPr>
          <w:b/>
          <w:sz w:val="22"/>
        </w:rPr>
        <w:t>15 de novembro de 2020</w:t>
      </w:r>
      <w:r>
        <w:rPr>
          <w:sz w:val="22"/>
        </w:rPr>
        <w:t xml:space="preserve">, naqueles autos, foi o </w:t>
      </w:r>
      <w:r>
        <w:rPr>
          <w:b/>
          <w:sz w:val="22"/>
        </w:rPr>
        <w:t>próprio agravante</w:t>
      </w:r>
      <w:r>
        <w:rPr>
          <w:sz w:val="22"/>
        </w:rPr>
        <w:t xml:space="preserve"> quem escreveu — cito: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&gt; </w:t>
      </w:r>
      <w:r>
        <w:rPr>
          <w:b/>
          <w:i/>
          <w:sz w:val="22"/>
        </w:rPr>
        <w:t>'Feita a partilha, coube a cada herdeiro o montante de R$ 290.068,53'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e, na mesma petição, que os herdeiros — e ele nomeia </w:t>
      </w:r>
      <w:r>
        <w:rPr>
          <w:b/>
          <w:sz w:val="22"/>
        </w:rPr>
        <w:t>Magnólia</w:t>
      </w:r>
      <w:r>
        <w:rPr>
          <w:sz w:val="22"/>
        </w:rPr>
        <w:t xml:space="preserve"> entre eles — </w:t>
      </w:r>
      <w:r>
        <w:rPr>
          <w:b/>
          <w:i/>
          <w:sz w:val="22"/>
        </w:rPr>
        <w:t>'foram preteridos'</w:t>
      </w:r>
      <w:r>
        <w:rPr>
          <w:sz w:val="22"/>
        </w:rPr>
        <w:t xml:space="preserve"> na expedição dos alvarás.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R$ 290.068,53 por herdeiro. Escrito por ele.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>Minha constituinte recebeu, ao longo de onze anos: R$ 22.214,28 em gado e um sétimo de uma caminhonete; um trator de R$ 35.000,00; e um alvará de R$ 6.394,80."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BLOCO 4 — O EXCESSO DE EXECUÇÃO: REFORMA IMPOSSÍVEL (1 minuto e 30)</w:t>
      </w:r>
    </w:p>
    <w:p>
      <w:pPr>
        <w:spacing w:line="240" w:lineRule="auto" w:after="120"/>
        <w:ind w:left="1134"/>
      </w:pPr>
      <w:r>
        <w:rPr>
          <w:sz w:val="22"/>
        </w:rPr>
        <w:t>"</w:t>
      </w:r>
      <w:r>
        <w:rPr>
          <w:b/>
          <w:sz w:val="22"/>
        </w:rPr>
        <w:t>Excelências, encerro com o capítulo em que a reforma é juridicamente impossível.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artigo 525, § 4º, do CPC exige que quem alega excesso de execução </w:t>
      </w:r>
      <w:r>
        <w:rPr>
          <w:b/>
          <w:sz w:val="22"/>
        </w:rPr>
        <w:t>declare o valor que entende correto e apresente demonstrativo discriminado e atualizado</w:t>
      </w:r>
      <w:r>
        <w:rPr>
          <w:sz w:val="22"/>
        </w:rPr>
        <w:t xml:space="preserve">. E o § 5º é categórico: não apresentado o demonstrativo, a alegação </w:t>
      </w:r>
      <w:r>
        <w:rPr>
          <w:b/>
          <w:sz w:val="22"/>
        </w:rPr>
        <w:t>'será rejeitada liminarmente, devendo a execução prosseguir pelo valor indicado pelo exequente'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>É norma cogente. Não admite mitigação.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O agravante </w:t>
      </w:r>
      <w:r>
        <w:rPr>
          <w:b/>
          <w:sz w:val="22"/>
        </w:rPr>
        <w:t>não apresentou demonstrativo na impugnação do evento 309. Não apresentou nas razões do agravo. Não apresentou até hoje.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 — peço vênia para o registro — </w:t>
      </w:r>
      <w:r>
        <w:rPr>
          <w:b/>
          <w:sz w:val="22"/>
        </w:rPr>
        <w:t>o recurso sequer enfrenta esse fundamento</w:t>
      </w:r>
      <w:r>
        <w:rPr>
          <w:sz w:val="22"/>
        </w:rPr>
        <w:t>. Repete o discurso da extrapolação do título e passa ao largo do requisito legal cuja ausência motivou a rejeição.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Esta Corte já decidiu exatamente assim, em acórdão da relatoria do Desembargador Helvécio de Brito Maia Neto — Agravo de Instrumento 0010192-13.2023.8.27.2700, julgado em 22/11/2023: </w:t>
      </w:r>
      <w:r>
        <w:rPr>
          <w:i/>
          <w:sz w:val="22"/>
        </w:rPr>
        <w:t>'a simples impugnação genérica a cálculos apresentados pelo exequente não se revela suficiente para reconhecimento de excesso de execução'</w:t>
      </w:r>
      <w:r>
        <w:rPr>
          <w:sz w:val="22"/>
        </w:rPr>
        <w:t>."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left"/>
      </w:pPr>
      <w:r>
        <w:rPr>
          <w:b/>
          <w:sz w:val="25"/>
        </w:rPr>
        <w:t>BLOCO 5 — FECHAMENTO E PEDIDO (1 minuto)</w:t>
      </w:r>
    </w:p>
    <w:p>
      <w:pPr>
        <w:spacing w:line="240" w:lineRule="auto" w:after="120"/>
        <w:ind w:left="1134"/>
      </w:pPr>
      <w:r>
        <w:rPr>
          <w:sz w:val="22"/>
        </w:rPr>
        <w:t>"Excelências, para concluir.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Do outro lado desta tribuna há um inventariante que </w:t>
      </w:r>
      <w:r>
        <w:rPr>
          <w:b/>
          <w:sz w:val="22"/>
        </w:rPr>
        <w:t>foi condenado a prestar contas em 2023</w:t>
      </w:r>
      <w:r>
        <w:rPr>
          <w:sz w:val="22"/>
        </w:rPr>
        <w:t xml:space="preserve">, que </w:t>
      </w:r>
      <w:r>
        <w:rPr>
          <w:b/>
          <w:sz w:val="22"/>
        </w:rPr>
        <w:t>não prestou</w:t>
      </w:r>
      <w:r>
        <w:rPr>
          <w:sz w:val="22"/>
        </w:rPr>
        <w:t xml:space="preserve">, que </w:t>
      </w:r>
      <w:r>
        <w:rPr>
          <w:b/>
          <w:sz w:val="22"/>
        </w:rPr>
        <w:t>apelou apenas de honorários</w:t>
      </w:r>
      <w:r>
        <w:rPr>
          <w:sz w:val="22"/>
        </w:rPr>
        <w:t xml:space="preserve">, que </w:t>
      </w:r>
      <w:r>
        <w:rPr>
          <w:b/>
          <w:sz w:val="22"/>
        </w:rPr>
        <w:t>não apresentou um único demonstrativo de cálculo</w:t>
      </w:r>
      <w:r>
        <w:rPr>
          <w:sz w:val="22"/>
        </w:rPr>
        <w:t xml:space="preserve"> e que agora pede a este Tribunal que decida, em segundo grau e sem instrução, um crédito que o Juiz de primeiro grau está justamente analisando.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 xml:space="preserve">Deste lado há uma </w:t>
      </w:r>
      <w:r>
        <w:rPr>
          <w:b/>
          <w:sz w:val="22"/>
        </w:rPr>
        <w:t>senhora idosa</w:t>
      </w:r>
      <w:r>
        <w:rPr>
          <w:sz w:val="22"/>
        </w:rPr>
        <w:t xml:space="preserve">, herdeira de 7,14%, cujo pai faleceu em fevereiro de 2015, que recebeu pouco mais de quarenta mil reais em onze anos, e a quem o próprio agravante reconheceu, por escrito, um quinhão de </w:t>
      </w:r>
      <w:r>
        <w:rPr>
          <w:b/>
          <w:sz w:val="22"/>
        </w:rPr>
        <w:t>R$ 290.068,53</w:t>
      </w:r>
      <w:r>
        <w:rPr>
          <w:sz w:val="22"/>
        </w:rPr>
        <w:t>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Requeiro, portanto: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primeiro</w:t>
      </w:r>
      <w:r>
        <w:rPr>
          <w:sz w:val="22"/>
        </w:rPr>
        <w:t xml:space="preserve">, o </w:t>
      </w:r>
      <w:r>
        <w:rPr>
          <w:b/>
          <w:sz w:val="22"/>
        </w:rPr>
        <w:t>não conhecimento</w:t>
      </w:r>
      <w:r>
        <w:rPr>
          <w:sz w:val="22"/>
        </w:rPr>
        <w:t xml:space="preserve"> do recurso, no ponto central, por perda superveniente de objeto e vedação à supressão de instância;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segundo</w:t>
      </w:r>
      <w:r>
        <w:rPr>
          <w:sz w:val="22"/>
        </w:rPr>
        <w:t xml:space="preserve">, subsidiariamente, o </w:t>
      </w:r>
      <w:r>
        <w:rPr>
          <w:b/>
          <w:sz w:val="22"/>
        </w:rPr>
        <w:t>desprovimento integral</w:t>
      </w:r>
      <w:r>
        <w:rPr>
          <w:sz w:val="22"/>
        </w:rPr>
        <w:t>, mantida a decisão agravada por seus próprios fundamentos;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terceiro</w:t>
      </w:r>
      <w:r>
        <w:rPr>
          <w:sz w:val="22"/>
        </w:rPr>
        <w:t xml:space="preserve">, a </w:t>
      </w:r>
      <w:r>
        <w:rPr>
          <w:b/>
          <w:sz w:val="22"/>
        </w:rPr>
        <w:t>revogação do efeito suspensivo parcial</w:t>
      </w:r>
      <w:r>
        <w:rPr>
          <w:sz w:val="22"/>
        </w:rPr>
        <w:t xml:space="preserve"> do evento 7, porque hoje não há nem probabilidade de provimento nem risco de dano;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b/>
          <w:sz w:val="22"/>
        </w:rPr>
        <w:t>quarto</w:t>
      </w:r>
      <w:r>
        <w:rPr>
          <w:sz w:val="22"/>
        </w:rPr>
        <w:t xml:space="preserve">, a </w:t>
      </w:r>
      <w:r>
        <w:rPr>
          <w:b/>
          <w:sz w:val="22"/>
        </w:rPr>
        <w:t>majoração dos honorários recursais</w:t>
      </w:r>
      <w:r>
        <w:rPr>
          <w:sz w:val="22"/>
        </w:rPr>
        <w:t>, na forma do artigo 85, § 11, do CPC.</w:t>
      </w:r>
    </w:p>
    <w:p>
      <w:pPr>
        <w:spacing w:line="240" w:lineRule="auto" w:after="120"/>
        <w:ind w:left="1134"/>
      </w:pPr>
    </w:p>
    <w:p>
      <w:pPr>
        <w:spacing w:line="240" w:lineRule="auto" w:after="120"/>
        <w:ind w:left="1134"/>
      </w:pPr>
      <w:r>
        <w:rPr>
          <w:sz w:val="22"/>
        </w:rPr>
        <w:t>Agradeço a atenção de Vossas Excelências e peço vênia para me colocar à disposição para qualquer esclarecimento."</w:t>
      </w:r>
    </w:p>
    <w:p>
      <w:pPr>
        <w:spacing w:after="40"/>
        <w:pBdr>
          <w:bottom w:val="single" w:sz="6" w:space="1" w:color="999999"/>
        </w:pBdr>
      </w:pP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center"/>
      </w:pPr>
      <w:r>
        <w:rPr>
          <w:b/>
          <w:sz w:val="28"/>
        </w:rPr>
        <w:t>🛡️ ANTECIPAÇÃO DE PERGUNTAS E APARTES</w:t>
      </w:r>
    </w:p>
    <w:p>
      <w:r>
        <w:rPr>
          <w:b/>
        </w:rPr>
        <w:t>P1. "Mas a sentença só mandou alienar os imóveis urbanos. Onde está a condenação a pagar o valor da fazenda?"</w:t>
      </w:r>
    </w:p>
    <w:p>
      <w:pPr>
        <w:spacing w:line="240" w:lineRule="auto" w:after="120"/>
        <w:ind w:left="1134"/>
      </w:pPr>
      <w:r>
        <w:rPr>
          <w:sz w:val="22"/>
        </w:rPr>
        <w:t xml:space="preserve">"Excelência, a condenação a pagar não precisa estar na sentença, porque </w:t>
      </w:r>
      <w:r>
        <w:rPr>
          <w:b/>
          <w:sz w:val="22"/>
        </w:rPr>
        <w:t>a sentença contém o mecanismo de apuração</w:t>
      </w:r>
      <w:r>
        <w:rPr>
          <w:sz w:val="22"/>
        </w:rPr>
        <w:t xml:space="preserve">: ela condenou o inventariante </w:t>
      </w:r>
      <w:r>
        <w:rPr>
          <w:b/>
          <w:sz w:val="22"/>
        </w:rPr>
        <w:t>a prestar contas</w:t>
      </w:r>
      <w:r>
        <w:rPr>
          <w:sz w:val="22"/>
        </w:rPr>
        <w:t xml:space="preserve">. Prestar contas é, por definição do artigo 550 e seguintes do CPC, apurar </w:t>
      </w:r>
      <w:r>
        <w:rPr>
          <w:b/>
          <w:sz w:val="22"/>
        </w:rPr>
        <w:t>saldo credor ou devedor</w:t>
      </w:r>
      <w:r>
        <w:rPr>
          <w:sz w:val="22"/>
        </w:rPr>
        <w:t xml:space="preserve"> — e o saldo apurado </w:t>
      </w:r>
      <w:r>
        <w:rPr>
          <w:b/>
          <w:sz w:val="22"/>
        </w:rPr>
        <w:t>é, ele próprio, título executivo</w:t>
      </w:r>
      <w:r>
        <w:rPr>
          <w:sz w:val="22"/>
        </w:rPr>
        <w:t xml:space="preserve">, nos termos do artigo 552. O que se pede não extrapola o título: </w:t>
      </w:r>
      <w:r>
        <w:rPr>
          <w:b/>
          <w:sz w:val="22"/>
        </w:rPr>
        <w:t>realiza</w:t>
      </w:r>
      <w:r>
        <w:rPr>
          <w:sz w:val="22"/>
        </w:rPr>
        <w:t xml:space="preserve"> o título."</w:t>
      </w:r>
    </w:p>
    <w:p>
      <w:r>
        <w:rPr>
          <w:b/>
        </w:rPr>
        <w:t>P2. "Isso não é liquidação de sentença por artigos, fora da via do cumprimento?"</w:t>
      </w:r>
    </w:p>
    <w:p>
      <w:pPr>
        <w:spacing w:line="240" w:lineRule="auto" w:after="120"/>
        <w:ind w:left="1134"/>
      </w:pPr>
      <w:r>
        <w:rPr>
          <w:sz w:val="22"/>
        </w:rPr>
        <w:t xml:space="preserve">"Não, Excelência. Trata-se da </w:t>
      </w:r>
      <w:r>
        <w:rPr>
          <w:b/>
          <w:sz w:val="22"/>
        </w:rPr>
        <w:t>segunda fase da ação de exigir contas</w:t>
      </w:r>
      <w:r>
        <w:rPr>
          <w:sz w:val="22"/>
        </w:rPr>
        <w:t xml:space="preserve">, que a própria sentença instaurou. E, de todo modo, </w:t>
      </w:r>
      <w:r>
        <w:rPr>
          <w:b/>
          <w:sz w:val="22"/>
        </w:rPr>
        <w:t>essa discussão está pendente no Juízo de origem</w:t>
      </w:r>
      <w:r>
        <w:rPr>
          <w:sz w:val="22"/>
        </w:rPr>
        <w:t xml:space="preserve"> — evento 348 —, o que reforça que este não é o momento nem o grau de jurisdição para resolvê-la."</w:t>
      </w:r>
    </w:p>
    <w:p>
      <w:r>
        <w:rPr>
          <w:b/>
        </w:rPr>
        <w:t>P3. "A adjudicação do trator não quitou?"</w:t>
      </w:r>
    </w:p>
    <w:p>
      <w:pPr>
        <w:spacing w:line="240" w:lineRule="auto" w:after="120"/>
        <w:ind w:left="1134"/>
      </w:pPr>
      <w:r>
        <w:rPr>
          <w:sz w:val="22"/>
        </w:rPr>
        <w:t xml:space="preserve">"Não, Excelência, por três razões: primeira, o próprio Juízo reconheceu como </w:t>
      </w:r>
      <w:r>
        <w:rPr>
          <w:b/>
          <w:sz w:val="22"/>
        </w:rPr>
        <w:t>pagamento parcial</w:t>
      </w:r>
      <w:r>
        <w:rPr>
          <w:sz w:val="22"/>
        </w:rPr>
        <w:t xml:space="preserve"> — e nesse capítulo o agravante </w:t>
      </w:r>
      <w:r>
        <w:rPr>
          <w:b/>
          <w:sz w:val="22"/>
        </w:rPr>
        <w:t>não é sucumbente</w:t>
      </w:r>
      <w:r>
        <w:rPr>
          <w:sz w:val="22"/>
        </w:rPr>
        <w:t xml:space="preserve">; segunda, o ônus de provar fato extintivo é do executado, artigo 373, II; terceira, </w:t>
      </w:r>
      <w:r>
        <w:rPr>
          <w:b/>
          <w:sz w:val="22"/>
        </w:rPr>
        <w:t>R$ 41.394,80 não quitam R$ 290.068,53</w:t>
      </w:r>
      <w:r>
        <w:rPr>
          <w:sz w:val="22"/>
        </w:rPr>
        <w:t xml:space="preserve"> — é aritmética."</w:t>
      </w:r>
    </w:p>
    <w:p>
      <w:r>
        <w:rPr>
          <w:b/>
        </w:rPr>
        <w:t>P4. "O valor da venda da fazenda não foi usado para pagar dívidas do espólio?"</w:t>
      </w:r>
    </w:p>
    <w:p>
      <w:pPr>
        <w:spacing w:line="240" w:lineRule="auto" w:after="120"/>
        <w:ind w:left="1134"/>
      </w:pPr>
      <w:r>
        <w:rPr>
          <w:sz w:val="22"/>
        </w:rPr>
        <w:t xml:space="preserve">"É o que o agravante </w:t>
      </w:r>
      <w:r>
        <w:rPr>
          <w:b/>
          <w:sz w:val="22"/>
        </w:rPr>
        <w:t>alega</w:t>
      </w:r>
      <w:r>
        <w:rPr>
          <w:sz w:val="22"/>
        </w:rPr>
        <w:t xml:space="preserve">, Excelência — mas alegar não é provar. Ele não juntou </w:t>
      </w:r>
      <w:r>
        <w:rPr>
          <w:b/>
          <w:sz w:val="22"/>
        </w:rPr>
        <w:t>um único comprovante de repasse à minha constituinte</w:t>
      </w:r>
      <w:r>
        <w:rPr>
          <w:sz w:val="22"/>
        </w:rPr>
        <w:t>. E a decisão agravada consignou exatamente isso: não houve comprovação do efetivo repasse da quota-parte, ônus que lhe cabia pelo artigo 373, II."</w:t>
      </w:r>
    </w:p>
    <w:p>
      <w:r>
        <w:rPr>
          <w:b/>
        </w:rPr>
        <w:t>P5. "Não seria caso de anular tudo e devolver ao primeiro grau?"</w:t>
      </w:r>
    </w:p>
    <w:p>
      <w:pPr>
        <w:spacing w:line="240" w:lineRule="auto" w:after="120"/>
        <w:ind w:left="1134"/>
      </w:pPr>
      <w:r>
        <w:rPr>
          <w:sz w:val="22"/>
        </w:rPr>
        <w:t xml:space="preserve">"Não há nulidade a sanar, Excelência. A decisão agravada é regular e, no capítulo do excesso de execução, de reforma legalmente impossível. O que se pede é apenas que este Tribunal </w:t>
      </w:r>
      <w:r>
        <w:rPr>
          <w:b/>
          <w:sz w:val="22"/>
        </w:rPr>
        <w:t>não avance</w:t>
      </w:r>
      <w:r>
        <w:rPr>
          <w:sz w:val="22"/>
        </w:rPr>
        <w:t xml:space="preserve"> sobre matéria que o primeiro grau ainda vai decidir."</w:t>
      </w:r>
    </w:p>
    <w:p>
      <w:r>
        <w:rPr>
          <w:b/>
        </w:rPr>
        <w:t>P6. "O efeito suspensivo foi deferido pela Relatora. Não seria incoerente revogá-lo agora?"</w:t>
      </w:r>
    </w:p>
    <w:p>
      <w:pPr>
        <w:spacing w:line="240" w:lineRule="auto" w:after="120"/>
        <w:ind w:left="1134"/>
      </w:pPr>
      <w:r>
        <w:rPr>
          <w:sz w:val="22"/>
        </w:rPr>
        <w:t xml:space="preserve">"Com a máxima vênia, Excelência, não. A liminar foi expressamente concedida em </w:t>
      </w:r>
      <w:r>
        <w:rPr>
          <w:b/>
          <w:sz w:val="22"/>
        </w:rPr>
        <w:t>cognição sumária</w:t>
      </w:r>
      <w:r>
        <w:rPr>
          <w:sz w:val="22"/>
        </w:rPr>
        <w:t xml:space="preserve"> e </w:t>
      </w:r>
      <w:r>
        <w:rPr>
          <w:b/>
          <w:sz w:val="22"/>
        </w:rPr>
        <w:t>'até o julgamento definitivo do recurso'</w:t>
      </w:r>
      <w:r>
        <w:rPr>
          <w:sz w:val="22"/>
        </w:rPr>
        <w:t xml:space="preserve"> — a própria decisão ressalvou que a certeza sobre a extensão do título ficaria para a análise exauriente. Pois bem: nesta análise exauriente, o que se verifica é que o Juízo de origem </w:t>
      </w:r>
      <w:r>
        <w:rPr>
          <w:b/>
          <w:sz w:val="22"/>
        </w:rPr>
        <w:t>sequer determinou expropriação</w:t>
      </w:r>
      <w:r>
        <w:rPr>
          <w:sz w:val="22"/>
        </w:rPr>
        <w:t xml:space="preserve"> e reabriu o contraditório. O objeto da medida </w:t>
      </w:r>
      <w:r>
        <w:rPr>
          <w:b/>
          <w:sz w:val="22"/>
        </w:rPr>
        <w:t>se esvaziou por si mesmo</w:t>
      </w:r>
      <w:r>
        <w:rPr>
          <w:sz w:val="22"/>
        </w:rPr>
        <w:t>."</w:t>
      </w:r>
    </w:p>
    <w:p>
      <w:r>
        <w:rPr>
          <w:b/>
        </w:rPr>
        <w:t>P7. Se o agravante sustentar que o trânsito em julgado impede cobrar valores:</w:t>
      </w:r>
    </w:p>
    <w:p>
      <w:pPr>
        <w:spacing w:line="240" w:lineRule="auto" w:after="120"/>
        <w:ind w:left="1134"/>
      </w:pPr>
      <w:r>
        <w:rPr>
          <w:sz w:val="22"/>
        </w:rPr>
        <w:t xml:space="preserve">"Excelência, o trânsito em julgado que ele invoca é o de um acórdão que julgou </w:t>
      </w:r>
      <w:r>
        <w:rPr>
          <w:b/>
          <w:sz w:val="22"/>
        </w:rPr>
        <w:t>exclusivamente honorários de sucumbência</w:t>
      </w:r>
      <w:r>
        <w:rPr>
          <w:sz w:val="22"/>
        </w:rPr>
        <w:t xml:space="preserve"> — está no relatório do evento 8 daquela apelação. Não se pode extrair de um acórdão sobre honorários uma limitação ao mérito que ele não enfrentou."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center"/>
      </w:pPr>
      <w:r>
        <w:rPr>
          <w:b/>
          <w:sz w:val="28"/>
        </w:rPr>
        <w:t>⏱️ VERSÃO COMPACTA — 8 MINUTOS (videoconferência, sem prorrogação)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Bloco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Conteúdo essencial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0:00–0:30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Abertura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Identificação + "onze anos desde 27/04/2015"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0:30–3:00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Perda de objeto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Dispositivo do ev. 325 não decidiu o crédito → eventos 347 / 348 (08/07/2026) / 352 / 353 → matéria concluso no 1º grau → supressão de instância → liminar já afastou o risco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3:00–5:00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Preclusão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 xml:space="preserve">Apelação discutiu </w:t>
            </w:r>
            <w:r>
              <w:rPr>
                <w:b/>
                <w:sz w:val="20"/>
              </w:rPr>
              <w:t>só honorários</w:t>
            </w:r>
            <w:r>
              <w:rPr>
                <w:sz w:val="20"/>
              </w:rPr>
              <w:t xml:space="preserve"> (citar o relatório do ev. 8) → desprovida em 08/05/2024 → trânsito em 14/06/2024 → art. 508 CPC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5:00–7:00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Mérito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 xml:space="preserve">Dois comandos da sentença → matrícula 6.631, R-9: Magnólia 7,14% → art. 1.322 CC (sub-rogação real) → </w:t>
            </w:r>
            <w:r>
              <w:rPr>
                <w:b/>
                <w:sz w:val="20"/>
              </w:rPr>
              <w:t>"R$ 290.068,53 por herdeiro — escrito pelo próprio agravante em 15/11/2020"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7:00–7:40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b/>
                <w:sz w:val="20"/>
              </w:rPr>
              <w:t>Art. 525, §§ 4º e 5º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Sem demonstrativo → rejeição liminar obrigatória → precedente TJTO 0010192-13.2023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7:40–8:00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Pedido</w:t>
            </w:r>
          </w:p>
        </w:tc>
        <w:tc>
          <w:tcPr>
            <w:tcW w:type="dxa" w:w="3135"/>
          </w:tcPr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Não conhecimento; subsidiariamente desprovimento; revogação do efeito suspensivo; honorários recursais</w:t>
            </w:r>
          </w:p>
        </w:tc>
      </w:tr>
    </w:tbl>
    <w:p/>
    <w:p>
      <w:r>
        <w:rPr>
          <w:b/>
        </w:rPr>
        <w:t>Se precisar cortar ainda mais, sacrifique nesta ordem:</w:t>
      </w:r>
      <w:r>
        <w:t xml:space="preserve"> (1) o registro sobre o subscritor do inventário; (2) o detalhamento dos saldos bancários; (3) o item 3.3 (sub-rogação) — mas </w:t>
      </w:r>
      <w:r>
        <w:rPr>
          <w:b/>
        </w:rPr>
        <w:t>nunca</w:t>
      </w:r>
      <w:r>
        <w:t xml:space="preserve"> corte a matrícula 6.631 nem a citação dos R$ 290.068,53.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center"/>
      </w:pPr>
      <w:r>
        <w:rPr>
          <w:b/>
          <w:sz w:val="28"/>
        </w:rPr>
        <w:t>🃏 CARTÕES DE MEMÓRIA (levar impresso na tribuna)</w:t>
      </w:r>
    </w:p>
    <w:p>
      <w:r>
        <w:rPr>
          <w:b/>
        </w:rPr>
        <w:t>DATAS</w:t>
      </w:r>
    </w:p>
    <w:p>
      <w:pPr>
        <w:pStyle w:val="ListBullet"/>
        <w:spacing w:line="360" w:lineRule="auto"/>
      </w:pPr>
      <w:r>
        <w:t>10/02/2015 — óbito de Aquiles Gonçalves Arruda</w:t>
      </w:r>
    </w:p>
    <w:p>
      <w:pPr>
        <w:pStyle w:val="ListBullet"/>
        <w:spacing w:line="360" w:lineRule="auto"/>
      </w:pPr>
      <w:r>
        <w:t>27/04/2015 — escritura de inventário e partilha</w:t>
      </w:r>
    </w:p>
    <w:p>
      <w:pPr>
        <w:pStyle w:val="ListBullet"/>
        <w:spacing w:line="360" w:lineRule="auto"/>
      </w:pPr>
      <w:r>
        <w:t xml:space="preserve">29/04/2015 — R-9-6.631: </w:t>
      </w:r>
      <w:r>
        <w:rPr>
          <w:b/>
        </w:rPr>
        <w:t>Magnólia, 7,14% da Fazenda Palmeira</w:t>
      </w:r>
    </w:p>
    <w:p>
      <w:pPr>
        <w:pStyle w:val="ListBullet"/>
        <w:spacing w:line="360" w:lineRule="auto"/>
      </w:pPr>
      <w:r>
        <w:t>18/04/2022 — ajuizamento da ação</w:t>
      </w:r>
    </w:p>
    <w:p>
      <w:pPr>
        <w:pStyle w:val="ListBullet"/>
        <w:spacing w:line="360" w:lineRule="auto"/>
      </w:pPr>
      <w:r>
        <w:t>15/12/2023 — sentença (ev. 137)</w:t>
      </w:r>
    </w:p>
    <w:p>
      <w:pPr>
        <w:pStyle w:val="ListBullet"/>
        <w:spacing w:line="360" w:lineRule="auto"/>
      </w:pPr>
      <w:r>
        <w:t>08/05/2024 — acórdão (só honorários) — desprovido, 12%</w:t>
      </w:r>
    </w:p>
    <w:p>
      <w:pPr>
        <w:pStyle w:val="ListBullet"/>
        <w:spacing w:line="360" w:lineRule="auto"/>
      </w:pPr>
      <w:r>
        <w:rPr>
          <w:b/>
        </w:rPr>
        <w:t>14/06/2024 — trânsito em julgado</w:t>
      </w:r>
    </w:p>
    <w:p>
      <w:pPr>
        <w:pStyle w:val="ListBullet"/>
        <w:spacing w:line="360" w:lineRule="auto"/>
      </w:pPr>
      <w:r>
        <w:t>07/04/2026 — decisão agravada (ev. 325)</w:t>
      </w:r>
    </w:p>
    <w:p>
      <w:pPr>
        <w:pStyle w:val="ListBullet"/>
        <w:spacing w:line="360" w:lineRule="auto"/>
      </w:pPr>
      <w:r>
        <w:t>13/05/2026 — interposição do agravo</w:t>
      </w:r>
    </w:p>
    <w:p>
      <w:pPr>
        <w:pStyle w:val="ListBullet"/>
        <w:spacing w:line="360" w:lineRule="auto"/>
      </w:pPr>
      <w:r>
        <w:t xml:space="preserve">28/05/2026 — efeito suspensivo </w:t>
      </w:r>
      <w:r>
        <w:rPr>
          <w:b/>
        </w:rPr>
        <w:t>parcial</w:t>
      </w:r>
      <w:r>
        <w:t xml:space="preserve"> (ev. 7)</w:t>
      </w:r>
    </w:p>
    <w:p>
      <w:pPr>
        <w:pStyle w:val="ListBullet"/>
        <w:spacing w:line="360" w:lineRule="auto"/>
      </w:pPr>
      <w:r>
        <w:t>23/06/2026 — contraminuta (ev. 16)</w:t>
      </w:r>
    </w:p>
    <w:p>
      <w:pPr>
        <w:pStyle w:val="ListBullet"/>
        <w:spacing w:line="360" w:lineRule="auto"/>
      </w:pPr>
      <w:r>
        <w:rPr>
          <w:b/>
        </w:rPr>
        <w:t>08/07/2026 — ev. 348: contraditório reaberto no 1º grau</w:t>
      </w:r>
    </w:p>
    <w:p>
      <w:pPr>
        <w:pStyle w:val="ListBullet"/>
        <w:spacing w:line="360" w:lineRule="auto"/>
      </w:pPr>
      <w:r>
        <w:t>30/07/2026 — réplica (ev. 352) · 31/07/2026 — conclusão (ev. 353)</w:t>
      </w:r>
    </w:p>
    <w:p>
      <w:r>
        <w:rPr>
          <w:b/>
        </w:rPr>
        <w:t>VALORES</w:t>
      </w:r>
    </w:p>
    <w:p>
      <w:pPr>
        <w:pStyle w:val="ListBullet"/>
        <w:spacing w:line="360" w:lineRule="auto"/>
      </w:pPr>
      <w:r>
        <w:t xml:space="preserve">Fazenda Palmeira: </w:t>
      </w:r>
      <w:r>
        <w:rPr>
          <w:b/>
        </w:rPr>
        <w:t>791,7173 ha</w:t>
      </w:r>
      <w:r>
        <w:t xml:space="preserve"> · vendida por </w:t>
      </w:r>
      <w:r>
        <w:rPr>
          <w:b/>
        </w:rPr>
        <w:t>R$ 3.500.000,00</w:t>
      </w:r>
    </w:p>
    <w:p>
      <w:pPr>
        <w:pStyle w:val="ListBullet"/>
        <w:spacing w:line="360" w:lineRule="auto"/>
      </w:pPr>
      <w:r>
        <w:t xml:space="preserve">Quinhão por herdeiro (acordo ev. 150 / autos 0009192-87.2015): </w:t>
      </w:r>
      <w:r>
        <w:rPr>
          <w:b/>
        </w:rPr>
        <w:t>R$ 290.068,53</w:t>
      </w:r>
    </w:p>
    <w:p>
      <w:pPr>
        <w:pStyle w:val="ListBullet"/>
        <w:spacing w:line="360" w:lineRule="auto"/>
      </w:pPr>
      <w:r>
        <w:t xml:space="preserve">Recebido por Magnólia: </w:t>
      </w:r>
      <w:r>
        <w:rPr>
          <w:b/>
        </w:rPr>
        <w:t>R$ 22.214,28</w:t>
      </w:r>
      <w:r>
        <w:t xml:space="preserve"> + </w:t>
      </w:r>
      <w:r>
        <w:rPr>
          <w:b/>
        </w:rPr>
        <w:t>R$ 35.000,00</w:t>
      </w:r>
      <w:r>
        <w:t xml:space="preserve"> (trator) + </w:t>
      </w:r>
      <w:r>
        <w:rPr>
          <w:b/>
        </w:rPr>
        <w:t>R$ 6.394,80</w:t>
      </w:r>
      <w:r>
        <w:t xml:space="preserve"> (alvará) = </w:t>
      </w:r>
      <w:r>
        <w:rPr>
          <w:b/>
        </w:rPr>
        <w:t>R$ 63.609,08</w:t>
      </w:r>
    </w:p>
    <w:p>
      <w:pPr>
        <w:pStyle w:val="ListBullet"/>
        <w:spacing w:line="360" w:lineRule="auto"/>
      </w:pPr>
      <w:r>
        <w:t xml:space="preserve">Valor da causa: R$ 1.775.071,35 · honorários: 10% → </w:t>
      </w:r>
      <w:r>
        <w:rPr>
          <w:b/>
        </w:rPr>
        <w:t>12%</w:t>
      </w:r>
    </w:p>
    <w:p>
      <w:pPr>
        <w:pStyle w:val="ListBullet"/>
        <w:spacing w:line="360" w:lineRule="auto"/>
      </w:pPr>
      <w:r>
        <w:t xml:space="preserve">Saldos bancários do </w:t>
      </w:r>
      <w:r>
        <w:rPr>
          <w:i/>
        </w:rPr>
        <w:t>de cujus</w:t>
      </w:r>
      <w:r>
        <w:t xml:space="preserve"> ao óbito (ev. 347): </w:t>
      </w:r>
      <w:r>
        <w:rPr>
          <w:b/>
        </w:rPr>
        <w:t>R$ 130.882,40</w:t>
      </w:r>
    </w:p>
    <w:p>
      <w:pPr>
        <w:pStyle w:val="ListBullet"/>
        <w:spacing w:line="360" w:lineRule="auto"/>
      </w:pPr>
      <w:r>
        <w:t xml:space="preserve">Imóveis avaliados: Gurupi </w:t>
      </w:r>
      <w:r>
        <w:rPr>
          <w:b/>
        </w:rPr>
        <w:t>R$ 610.000,00</w:t>
      </w:r>
      <w:r>
        <w:t xml:space="preserve"> · Formoso do Araguaia </w:t>
      </w:r>
      <w:r>
        <w:rPr>
          <w:b/>
        </w:rPr>
        <w:t>R$ 120.000,00</w:t>
      </w:r>
    </w:p>
    <w:p>
      <w:r>
        <w:rPr>
          <w:b/>
        </w:rPr>
        <w:t>DISPOSITIVOS</w:t>
      </w:r>
    </w:p>
    <w:p>
      <w:pPr>
        <w:pStyle w:val="ListBullet"/>
        <w:spacing w:line="360" w:lineRule="auto"/>
      </w:pPr>
      <w:r>
        <w:t>CPC 508 (eficácia preclusiva) · CPC 502 e 507</w:t>
      </w:r>
    </w:p>
    <w:p>
      <w:pPr>
        <w:pStyle w:val="ListBullet"/>
        <w:spacing w:line="360" w:lineRule="auto"/>
      </w:pPr>
      <w:r>
        <w:t>CPC 525, §§ 4º e 5º (excesso sem demonstrativo → rejeição liminar)</w:t>
      </w:r>
    </w:p>
    <w:p>
      <w:pPr>
        <w:pStyle w:val="ListBullet"/>
        <w:spacing w:line="360" w:lineRule="auto"/>
      </w:pPr>
      <w:r>
        <w:t>CPC 373, II (ônus do fato extintivo)</w:t>
      </w:r>
    </w:p>
    <w:p>
      <w:pPr>
        <w:pStyle w:val="ListBullet"/>
        <w:spacing w:line="360" w:lineRule="auto"/>
      </w:pPr>
      <w:r>
        <w:t>CPC 536, § 1º, e 537 (astreintes) · CPC 618, VII (contas do inventariante)</w:t>
      </w:r>
    </w:p>
    <w:p>
      <w:pPr>
        <w:pStyle w:val="ListBullet"/>
        <w:spacing w:line="360" w:lineRule="auto"/>
      </w:pPr>
      <w:r>
        <w:t>CPC 550/552 (exigir contas; saldo = título) · CPC 85, § 11</w:t>
      </w:r>
    </w:p>
    <w:p>
      <w:pPr>
        <w:pStyle w:val="ListBullet"/>
        <w:spacing w:line="360" w:lineRule="auto"/>
      </w:pPr>
      <w:r>
        <w:t>CC 1.320, 1.322, 1.323 · CC 884 (enriquecimento sem causa) · CC 2.002 (colação)</w:t>
      </w:r>
    </w:p>
    <w:p>
      <w:r>
        <w:rPr>
          <w:b/>
        </w:rPr>
        <w:t>PRECEDENTES</w:t>
      </w:r>
    </w:p>
    <w:p>
      <w:pPr>
        <w:pStyle w:val="ListBullet"/>
        <w:spacing w:line="360" w:lineRule="auto"/>
      </w:pPr>
      <w:r>
        <w:t>TJTO, AI 0010192-13.2023.8.27.2700, Rel. Des. Helvécio de Brito Maia Neto, j. 22/11/2023 — excesso sem demonstrativo</w:t>
      </w:r>
    </w:p>
    <w:p>
      <w:pPr>
        <w:pStyle w:val="ListBullet"/>
        <w:spacing w:line="360" w:lineRule="auto"/>
      </w:pPr>
      <w:r>
        <w:t>STJ, AgInt no REsp 1.788.354/MG, Rel. Min. Maria Isabel Gallotti, 4ª T., j. 28/08/2023 — vedada rediscussão do título no cumprimento</w:t>
      </w:r>
    </w:p>
    <w:p>
      <w:pPr>
        <w:spacing w:after="40"/>
        <w:pBdr>
          <w:bottom w:val="single" w:sz="6" w:space="1" w:color="999999"/>
        </w:pBdr>
      </w:pPr>
    </w:p>
    <w:p>
      <w:pPr>
        <w:spacing w:before="240" w:after="120"/>
        <w:jc w:val="center"/>
      </w:pPr>
      <w:r>
        <w:rPr>
          <w:b/>
          <w:sz w:val="28"/>
        </w:rPr>
        <w:t>✅ CHECKLIST PRÉ-SESSÃO</w:t>
      </w:r>
    </w:p>
    <w:p>
      <w:pPr>
        <w:pStyle w:val="ListBullet"/>
        <w:spacing w:line="360" w:lineRule="auto"/>
      </w:pPr>
      <w:r>
        <w:t xml:space="preserve">[ ] Protocolar o </w:t>
      </w:r>
      <w:r>
        <w:rPr>
          <w:b/>
        </w:rPr>
        <w:t>pedido de sustentação oral</w:t>
      </w:r>
      <w:r>
        <w:t xml:space="preserve"> no e-Proc (até 24h antes, se por videoconferência)</w:t>
      </w:r>
    </w:p>
    <w:p>
      <w:pPr>
        <w:pStyle w:val="ListBullet"/>
        <w:spacing w:line="360" w:lineRule="auto"/>
      </w:pPr>
      <w:r>
        <w:t xml:space="preserve">[ ] Confirmar </w:t>
      </w:r>
      <w:r>
        <w:rPr>
          <w:b/>
        </w:rPr>
        <w:t>Relatora e Turma</w:t>
      </w:r>
      <w:r>
        <w:t xml:space="preserve"> no e-Proc (a capa dos autos indica Desa. Silvana Maria Parfieniuk / 5ª Turma da 1ª Câmara Cível; a liminar veio do gabinete da Desa. Maysa Vendramini Rosal)</w:t>
      </w:r>
    </w:p>
    <w:p>
      <w:pPr>
        <w:pStyle w:val="ListBullet"/>
        <w:spacing w:line="360" w:lineRule="auto"/>
      </w:pPr>
      <w:r>
        <w:t xml:space="preserve">[ ] Confirmar </w:t>
      </w:r>
      <w:r>
        <w:rPr>
          <w:b/>
        </w:rPr>
        <w:t>data, hora e formato</w:t>
      </w:r>
      <w:r>
        <w:t xml:space="preserve"> da sessão (presencial física, videoconferência ou virtual) — o tempo muda: 15 min × 8 min</w:t>
      </w:r>
    </w:p>
    <w:p>
      <w:pPr>
        <w:pStyle w:val="ListBullet"/>
        <w:spacing w:line="360" w:lineRule="auto"/>
      </w:pPr>
      <w:r>
        <w:t xml:space="preserve">[ ] Preencher </w:t>
      </w:r>
      <w:r>
        <w:rPr>
          <w:b/>
        </w:rPr>
        <w:t>telefone/WhatsApp</w:t>
      </w:r>
      <w:r>
        <w:t xml:space="preserve"> no pedido e confirmar o e-mail para recebimento do link</w:t>
      </w:r>
    </w:p>
    <w:p>
      <w:pPr>
        <w:pStyle w:val="ListBullet"/>
        <w:spacing w:line="360" w:lineRule="auto"/>
      </w:pPr>
      <w:r>
        <w:t xml:space="preserve">[ ] Protocolar os </w:t>
      </w:r>
      <w:r>
        <w:rPr>
          <w:b/>
        </w:rPr>
        <w:t>memoriais</w:t>
      </w:r>
      <w:r>
        <w:t xml:space="preserve"> e, se possível, encaminhá-los ao gabinete da Relatora e aos vogais</w:t>
      </w:r>
    </w:p>
    <w:p>
      <w:pPr>
        <w:pStyle w:val="ListBullet"/>
        <w:spacing w:line="360" w:lineRule="auto"/>
      </w:pPr>
      <w:r>
        <w:t xml:space="preserve">[ ] Conferir se houve </w:t>
      </w:r>
      <w:r>
        <w:rPr>
          <w:b/>
        </w:rPr>
        <w:t>nova decisão no 1º grau</w:t>
      </w:r>
      <w:r>
        <w:t xml:space="preserve"> após o evento 353 — se houver, </w:t>
      </w:r>
      <w:r>
        <w:rPr>
          <w:b/>
        </w:rPr>
        <w:t>atualizar o Bloco 1</w:t>
      </w:r>
    </w:p>
    <w:p>
      <w:pPr>
        <w:pStyle w:val="ListBullet"/>
        <w:spacing w:line="360" w:lineRule="auto"/>
      </w:pPr>
      <w:r>
        <w:t xml:space="preserve">[ ] Verificar o andamento do </w:t>
      </w:r>
      <w:r>
        <w:rPr>
          <w:b/>
        </w:rPr>
        <w:t>AI nº 0009786-84.2026.8.27.2700</w:t>
      </w:r>
      <w:r>
        <w:t xml:space="preserve"> (agravo conexo, cujas peças foram trasladadas no ev. 19) e eventual pedido de julgamento conjunto</w:t>
      </w:r>
    </w:p>
    <w:p>
      <w:pPr>
        <w:pStyle w:val="ListBullet"/>
        <w:spacing w:line="360" w:lineRule="auto"/>
      </w:pPr>
      <w:r>
        <w:t>[ ] Testar áudio/vídeo e conexão com 30 min de antecedência; ter os autos abertos em segunda tela</w:t>
      </w:r>
    </w:p>
    <w:p>
      <w:pPr>
        <w:pStyle w:val="ListBullet"/>
        <w:spacing w:line="360" w:lineRule="auto"/>
      </w:pPr>
      <w:r>
        <w:t>[ ] Levar impressos: este roteiro, os cartões de memória, a matrícula 6.631 e a petição do agravante de 15/11/2020</w:t>
      </w:r>
    </w:p>
    <w:p>
      <w:pPr>
        <w:spacing w:after="40"/>
        <w:pBdr>
          <w:bottom w:val="single" w:sz="6" w:space="1" w:color="999999"/>
        </w:pBdr>
      </w:pPr>
    </w:p>
    <w:p>
      <w:r>
        <w:rPr>
          <w:i/>
        </w:rPr>
        <w:t>Roteiro elaborado em 14 de setembro de 2026.</w:t>
      </w:r>
    </w:p>
    <w:p>
      <w:r>
        <w:rPr>
          <w:b/>
        </w:rPr>
        <w:t>Paulo Izidio da Silva Rezende — OAB/TO 5.168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