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b/>
          <w:bCs/>
          <w:color w:val="2E5395"/>
          <w:sz w:val="26"/>
          <w:szCs w:val="26"/>
        </w:rPr>
        <w:t xml:space="preserve">RAPPORT D'ARCHITECTURE</w:t>
      </w:r>
    </w:p>
    <w:p>
      <w:pPr>
        <w:spacing w:after="400"/>
        <w:jc w:val="center"/>
      </w:pPr>
      <w:r>
        <w:rPr>
          <w:b/>
          <w:bCs/>
          <w:color w:val="1F3864"/>
          <w:sz w:val="48"/>
          <w:szCs w:val="48"/>
        </w:rPr>
        <w:t xml:space="preserve">Plateforme Intelligente de Supervision Proxmox</w:t>
      </w:r>
    </w:p>
    <w:p>
      <w:pPr>
        <w:spacing w:after="800"/>
        <w:jc w:val="center"/>
      </w:pPr>
      <w:r>
        <w:rPr>
          <w:i/>
          <w:iCs/>
          <w:color w:val="595959"/>
          <w:sz w:val="24"/>
          <w:szCs w:val="24"/>
        </w:rPr>
        <w:t xml:space="preserve">Supervision centralisée, prédiction des incidents et prévention de la saturation de stockage par Intelligence Artificielle</w:t>
      </w:r>
    </w:p>
    <w:p>
      <w:pPr>
        <w:spacing w:after="80"/>
        <w:jc w:val="center"/>
      </w:pPr>
      <w:r>
        <w:rPr>
          <w:color w:val="202020"/>
          <w:sz w:val="21"/>
          <w:szCs w:val="21"/>
        </w:rPr>
        <w:t xml:space="preserve">Document d'Architecture Technique — Version 1.0</w:t>
      </w:r>
    </w:p>
    <w:p>
      <w:pPr>
        <w:spacing w:after="80"/>
        <w:jc w:val="center"/>
      </w:pPr>
      <w:r>
        <w:rPr>
          <w:color w:val="595959"/>
          <w:sz w:val="19"/>
          <w:szCs w:val="19"/>
        </w:rPr>
        <w:t xml:space="preserve">Classification : Confidentiel — Usage interne et partenaires</w:t>
      </w:r>
    </w:p>
    <w:p>
      <w:pPr>
        <w:spacing w:after="1200"/>
        <w:jc w:val="center"/>
      </w:pPr>
      <w:r>
        <w:rPr>
          <w:color w:val="595959"/>
          <w:sz w:val="19"/>
          <w:szCs w:val="19"/>
        </w:rPr>
        <w:t xml:space="preserve">13 juillet 2026</w:t>
      </w:r>
    </w:p>
    <w:p>
      <w:r>
        <w:br w:type="page"/>
      </w:r>
    </w:p>
    <w:p>
      <w:pPr>
        <w:pStyle w:val="Heading1"/>
      </w:pPr>
      <w:r>
        <w:rPr>
          <w:b/>
          <w:bCs/>
          <w:color w:val="1F3864"/>
          <w:sz w:val="32"/>
          <w:szCs w:val="32"/>
        </w:rPr>
        <w:t xml:space="preserve">Table des matières</w:t>
      </w: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5395" w:sz="8" w:space="4"/>
        </w:pBdr>
        <w:spacing w:after="240" w:before="480"/>
      </w:pPr>
      <w:r>
        <w:rPr>
          <w:b/>
          <w:bCs/>
          <w:color w:val="1F3864"/>
          <w:sz w:val="32"/>
          <w:szCs w:val="32"/>
        </w:rPr>
        <w:t xml:space="preserve">1. Résumé exécutif</w:t>
      </w:r>
    </w:p>
    <w:p>
      <w:pPr>
        <w:spacing w:after="160" w:line="276"/>
        <w:jc w:val="both"/>
      </w:pPr>
      <w:r>
        <w:rPr>
          <w:color w:val="202020"/>
          <w:sz w:val="21"/>
          <w:szCs w:val="21"/>
        </w:rPr>
        <w:t xml:space="preserve">Ce document constitue le dossier d'architecture technique de référence pour la conception et le développement d'une plateforme logicielle on-premise de supervision intelligente pour l'hyperviseur Proxmox VE. Il s'adresse aux architectes, aux équipes de développement (estimées à vingt ingénieurs répartis sur les domaines frontend, backend, données et intelligence artificielle), aux responsables sécurité et aux décideurs techniques du projet.</w:t>
      </w:r>
    </w:p>
    <w:p>
      <w:pPr>
        <w:spacing w:after="160" w:line="276"/>
        <w:jc w:val="both"/>
      </w:pPr>
      <w:r>
        <w:rPr>
          <w:color w:val="202020"/>
          <w:sz w:val="21"/>
          <w:szCs w:val="21"/>
        </w:rPr>
        <w:t xml:space="preserve">La plateforme ne remplace en aucun cas Proxmox VE : elle vient s'y greffer en tant que couche de supervision, d'intelligence et de gouvernance, en consommant l'API REST officielle de Proxmox via la bibliothèque Proxmoxer. Son objectif métier central est la prévention proactive de la saturation du stockage des machines virtuelles, un incident qui, livré sans anticipation, empêche le démarrage des VM et provoque des indisponibilités de service coûteuses pour les clients finaux.</w:t>
      </w:r>
    </w:p>
    <w:p>
      <w:pPr>
        <w:spacing w:after="160" w:line="276"/>
        <w:jc w:val="both"/>
      </w:pPr>
      <w:r>
        <w:rPr>
          <w:color w:val="202020"/>
          <w:sz w:val="21"/>
          <w:szCs w:val="21"/>
        </w:rPr>
        <w:t xml:space="preserve">L'architecture retenue est un monolithe modulaire respectant les principes de la Clean Architecture et du Domain-Driven Design, déployé selon un modèle multi-tenant strict (entreprise → utilisateurs → serveurs Proxmox → nodes → machines virtuelles → métriques), avec une isolation logique des données par tenant au niveau de la couche de persistance. Le pipeline d'intelligence artificielle combine un moteur de règles métier, un modèle de détection d'anomalies non supervisé (Isolation Forest) et un modèle de prédiction supervisé (XGBoost) pour produire un score de risque de saturation, une estimation du nombre de jours restants avant incident, et des recommandations actionnables.</w:t>
      </w:r>
    </w:p>
    <w:p>
      <w:pPr>
        <w:spacing w:after="160" w:line="276"/>
        <w:jc w:val="both"/>
      </w:pPr>
      <w:r>
        <w:rPr>
          <w:color w:val="202020"/>
          <w:sz w:val="21"/>
          <w:szCs w:val="21"/>
        </w:rPr>
        <w:t xml:space="preserve">Le tableau ci-dessous résume les décisions d'architecture majeures et leur justification synthétique ; chacune est détaillée et argumentée dans les sections dédiées du présent document.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600"/>
      </w:tblGrid>
      <w:tr>
        <w:trPr>
          <w:tblHeader/>
        </w:trPr>
        <w:tc>
          <w:tcPr>
            <w:tcW w:type="dxa" w:w="2400"/>
            <w:shd w:fill="1F3864" w:val="clear"/>
            <w:tcMar>
              <w:top w:type="dxa" w:w="100"/>
              <w:left w:type="dxa" w:w="120"/>
              <w:bottom w:type="dxa" w:w="100"/>
              <w:right w:type="dxa" w:w="120"/>
            </w:tcMar>
            <w:vAlign w:val="center"/>
          </w:tcPr>
          <w:p>
            <w:pPr>
              <w:jc w:val="left"/>
            </w:pPr>
            <w:r>
              <w:rPr>
                <w:b/>
                <w:bCs/>
                <w:color w:val="FFFFFF"/>
                <w:sz w:val="19"/>
                <w:szCs w:val="19"/>
              </w:rPr>
              <w:t xml:space="preserve">Domaine</w:t>
            </w:r>
          </w:p>
        </w:tc>
        <w:tc>
          <w:tcPr>
            <w:tcW w:type="dxa" w:w="3600"/>
            <w:shd w:fill="1F3864" w:val="clear"/>
            <w:tcMar>
              <w:top w:type="dxa" w:w="100"/>
              <w:left w:type="dxa" w:w="120"/>
              <w:bottom w:type="dxa" w:w="100"/>
              <w:right w:type="dxa" w:w="120"/>
            </w:tcMar>
            <w:vAlign w:val="center"/>
          </w:tcPr>
          <w:p>
            <w:pPr>
              <w:jc w:val="left"/>
            </w:pPr>
            <w:r>
              <w:rPr>
                <w:b/>
                <w:bCs/>
                <w:color w:val="FFFFFF"/>
                <w:sz w:val="19"/>
                <w:szCs w:val="19"/>
              </w:rPr>
              <w:t xml:space="preserve">Décision retenue</w:t>
            </w:r>
          </w:p>
        </w:tc>
        <w:tc>
          <w:tcPr>
            <w:tcW w:type="dxa" w:w="3600"/>
            <w:shd w:fill="1F3864" w:val="clear"/>
            <w:tcMar>
              <w:top w:type="dxa" w:w="100"/>
              <w:left w:type="dxa" w:w="120"/>
              <w:bottom w:type="dxa" w:w="100"/>
              <w:right w:type="dxa" w:w="120"/>
            </w:tcMar>
            <w:vAlign w:val="center"/>
          </w:tcPr>
          <w:p>
            <w:pPr>
              <w:jc w:val="left"/>
            </w:pPr>
            <w:r>
              <w:rPr>
                <w:b/>
                <w:bCs/>
                <w:color w:val="FFFFFF"/>
                <w:sz w:val="19"/>
                <w:szCs w:val="19"/>
              </w:rPr>
              <w:t xml:space="preserve">Justification synthétique</w:t>
            </w:r>
          </w:p>
        </w:tc>
      </w:tr>
      <w:tr>
        <w:tc>
          <w:tcPr>
            <w:tcW w:type="dxa" w:w="24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Style architectural</w:t>
            </w:r>
          </w:p>
        </w:tc>
        <w:tc>
          <w:tcPr>
            <w:tcW w:type="dxa" w:w="36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Monolithe modulaire (Clean Architecture / DDD)</w:t>
            </w:r>
          </w:p>
        </w:tc>
        <w:tc>
          <w:tcPr>
            <w:tcW w:type="dxa" w:w="36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Équipe unique de 20 ingénieurs, déploiement on-premise, complexité opérationnelle des microservices non justifiée au stade actuel</w:t>
            </w:r>
          </w:p>
        </w:tc>
      </w:tr>
      <w:tr>
        <w:tc>
          <w:tcPr>
            <w:tcW w:type="dxa" w:w="24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Base transactionnelle</w:t>
            </w:r>
          </w:p>
        </w:tc>
        <w:tc>
          <w:tcPr>
            <w:tcW w:type="dxa" w:w="36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PostgreSQL 16</w:t>
            </w:r>
          </w:p>
        </w:tc>
        <w:tc>
          <w:tcPr>
            <w:tcW w:type="dxa" w:w="36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Fiabilité ACID, richesse fonctionnelle (JSONB, contraintes, RLS), écosystème mature avec SQLAlchemy/Alembic</w:t>
            </w:r>
          </w:p>
        </w:tc>
      </w:tr>
      <w:tr>
        <w:tc>
          <w:tcPr>
            <w:tcW w:type="dxa" w:w="24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Séries temporelles</w:t>
            </w:r>
          </w:p>
        </w:tc>
        <w:tc>
          <w:tcPr>
            <w:tcW w:type="dxa" w:w="36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TimescaleDB (extension PostgreSQL)</w:t>
            </w:r>
          </w:p>
        </w:tc>
        <w:tc>
          <w:tcPr>
            <w:tcW w:type="dxa" w:w="36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Hypertables optimisées pour les métriques horodatées, sans introduire un second SGBD à opérer</w:t>
            </w:r>
          </w:p>
        </w:tc>
      </w:tr>
      <w:tr>
        <w:tc>
          <w:tcPr>
            <w:tcW w:type="dxa" w:w="24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Cache / files d'attente</w:t>
            </w:r>
          </w:p>
        </w:tc>
        <w:tc>
          <w:tcPr>
            <w:tcW w:type="dxa" w:w="36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Redis</w:t>
            </w:r>
          </w:p>
        </w:tc>
        <w:tc>
          <w:tcPr>
            <w:tcW w:type="dxa" w:w="36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Latence sub-milliseconde, rôle unifié cache + sessions + broker Celery + pub/sub</w:t>
            </w:r>
          </w:p>
        </w:tc>
      </w:tr>
      <w:tr>
        <w:tc>
          <w:tcPr>
            <w:tcW w:type="dxa" w:w="24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Orchestration asynchrone</w:t>
            </w:r>
          </w:p>
        </w:tc>
        <w:tc>
          <w:tcPr>
            <w:tcW w:type="dxa" w:w="36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Celery + Redis</w:t>
            </w:r>
          </w:p>
        </w:tc>
        <w:tc>
          <w:tcPr>
            <w:tcW w:type="dxa" w:w="36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Collecte périodique, inférence IA différée, découplage des traitements longs de l'API synchrone</w:t>
            </w:r>
          </w:p>
        </w:tc>
      </w:tr>
      <w:tr>
        <w:tc>
          <w:tcPr>
            <w:tcW w:type="dxa" w:w="24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Authentification plateforme</w:t>
            </w:r>
          </w:p>
        </w:tc>
        <w:tc>
          <w:tcPr>
            <w:tcW w:type="dxa" w:w="36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JWT (access + refresh) avec RBAC</w:t>
            </w:r>
          </w:p>
        </w:tc>
        <w:tc>
          <w:tcPr>
            <w:tcW w:type="dxa" w:w="36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Statelessness côté API, granularité fine des permissions, standard de l'industrie</w:t>
            </w:r>
          </w:p>
        </w:tc>
      </w:tr>
      <w:tr>
        <w:tc>
          <w:tcPr>
            <w:tcW w:type="dxa" w:w="24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Authentification Proxmox</w:t>
            </w:r>
          </w:p>
        </w:tc>
        <w:tc>
          <w:tcPr>
            <w:tcW w:type="dxa" w:w="36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API Tokens Proxmox à privilèges minimaux</w:t>
            </w:r>
          </w:p>
        </w:tc>
        <w:tc>
          <w:tcPr>
            <w:tcW w:type="dxa" w:w="36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Délégation de la validation à Proxmox lui-même, pas de stockage de mots de passe Proxmox</w:t>
            </w:r>
          </w:p>
        </w:tc>
      </w:tr>
      <w:tr>
        <w:tc>
          <w:tcPr>
            <w:tcW w:type="dxa" w:w="24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Déploiement</w:t>
            </w:r>
          </w:p>
        </w:tc>
        <w:tc>
          <w:tcPr>
            <w:tcW w:type="dxa" w:w="36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Docker Compose + Nginx (reverse proxy)</w:t>
            </w:r>
          </w:p>
        </w:tc>
        <w:tc>
          <w:tcPr>
            <w:tcW w:type="dxa" w:w="36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Simplicité on-premise, portabilité chez le client, séparation nette des services</w:t>
            </w:r>
          </w:p>
        </w:tc>
      </w:tr>
      <w:tr>
        <w:tc>
          <w:tcPr>
            <w:tcW w:type="dxa" w:w="24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Détection d'anomalies</w:t>
            </w:r>
          </w:p>
        </w:tc>
        <w:tc>
          <w:tcPr>
            <w:tcW w:type="dxa" w:w="36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Isolation Forest</w:t>
            </w:r>
          </w:p>
        </w:tc>
        <w:tc>
          <w:tcPr>
            <w:tcW w:type="dxa" w:w="36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Non supervisé, robuste aux données déséquilibrées, faible coût de calcul</w:t>
            </w:r>
          </w:p>
        </w:tc>
      </w:tr>
      <w:tr>
        <w:tc>
          <w:tcPr>
            <w:tcW w:type="dxa" w:w="24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Prédiction de saturation</w:t>
            </w:r>
          </w:p>
        </w:tc>
        <w:tc>
          <w:tcPr>
            <w:tcW w:type="dxa" w:w="36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XGBoost (régression sur séries dérivées)</w:t>
            </w:r>
          </w:p>
        </w:tc>
        <w:tc>
          <w:tcPr>
            <w:tcW w:type="dxa" w:w="36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Excellente performance sur données tabulaires structurées, interprétable via SHAP</w:t>
            </w:r>
          </w:p>
        </w:tc>
      </w:tr>
    </w:tbl>
    <w:p>
      <w:r>
        <w:br w:type="page"/>
      </w:r>
    </w:p>
    <w:p>
      <w:pPr>
        <w:pStyle w:val="Heading1"/>
        <w:pBdr>
          <w:bottom w:val="single" w:color="2E5395" w:sz="8" w:space="4"/>
        </w:pBdr>
        <w:spacing w:after="240" w:before="480"/>
      </w:pPr>
      <w:r>
        <w:rPr>
          <w:b/>
          <w:bCs/>
          <w:color w:val="1F3864"/>
          <w:sz w:val="32"/>
          <w:szCs w:val="32"/>
        </w:rPr>
        <w:t xml:space="preserve">2. Introduction et contexte du projet</w:t>
      </w:r>
    </w:p>
    <w:p>
      <w:pPr>
        <w:pStyle w:val="Heading2"/>
        <w:spacing w:after="180" w:before="360"/>
      </w:pPr>
      <w:r>
        <w:rPr>
          <w:b/>
          <w:bCs/>
          <w:color w:val="2E5395"/>
          <w:sz w:val="26"/>
          <w:szCs w:val="26"/>
        </w:rPr>
        <w:t xml:space="preserve">2.1 Problématique métier</w:t>
      </w:r>
    </w:p>
    <w:p>
      <w:pPr>
        <w:spacing w:after="160" w:line="276"/>
        <w:jc w:val="both"/>
      </w:pPr>
      <w:r>
        <w:rPr>
          <w:color w:val="202020"/>
          <w:sz w:val="21"/>
          <w:szCs w:val="21"/>
        </w:rPr>
        <w:t xml:space="preserve">Proxmox VE est une plateforme de virtualisation open-source largement adoptée par les hébergeurs, intégrateurs et entreprises souhaitant maîtriser leur infrastructure sans dépendre des offres propriétaires de VMware ou Microsoft Hyper-V. Toutefois, Proxmox VE ne fournit nativement qu'une supervision limitée : l'interface d'administration expose l'état instantané des ressources mais n'offre ni historisation approfondie, ni corrélation multi-serveurs, ni capacité prédictive.</w:t>
      </w:r>
    </w:p>
    <w:p>
      <w:pPr>
        <w:spacing w:after="160" w:line="276"/>
        <w:jc w:val="both"/>
      </w:pPr>
      <w:r>
        <w:rPr>
          <w:color w:val="202020"/>
          <w:sz w:val="21"/>
          <w:szCs w:val="21"/>
        </w:rPr>
        <w:t xml:space="preserve">Le risque opérationnel le plus critique identifié par les équipes d'exploitation est la saturation progressive du stockage alloué aux disques virtuels. Ce phénomène, souvent silencieux jusqu'à son dénouement, empêche le démarrage des machines virtuelles concernées, bloque la création de snapshots et de sauvegardes, et peut se propager à l'ensemble d'un node en cas de stockage partagé. Une détection tardive se traduit systématiquement par une intervention en urgence, une indisponibilité de service et une perte de confiance du client final.</w:t>
      </w:r>
    </w:p>
    <w:p>
      <w:pPr>
        <w:spacing w:after="160" w:line="276"/>
        <w:jc w:val="both"/>
      </w:pPr>
      <w:r>
        <w:rPr>
          <w:color w:val="202020"/>
          <w:sz w:val="21"/>
          <w:szCs w:val="21"/>
        </w:rPr>
        <w:t xml:space="preserve">La plateforme objet de ce rapport a pour vocation de transformer cette supervision réactive en une gouvernance prédictive : collecter en continu les indicateurs de performance et de consommation, les historiser, en extraire des tendances via des modèles d'apprentissage automatique, et alerter les équipes d'exploitation suffisamment tôt pour qu'une action corrective planifiée — et non une intervention de crise — suffise.</w:t>
      </w:r>
    </w:p>
    <w:p>
      <w:pPr>
        <w:pStyle w:val="Heading2"/>
        <w:spacing w:after="180" w:before="360"/>
      </w:pPr>
      <w:r>
        <w:rPr>
          <w:b/>
          <w:bCs/>
          <w:color w:val="2E5395"/>
          <w:sz w:val="26"/>
          <w:szCs w:val="26"/>
        </w:rPr>
        <w:t xml:space="preserve">2.2 Objectifs du projet</w:t>
      </w:r>
    </w:p>
    <w:p>
      <w:pPr>
        <w:pStyle w:val="ListParagraph"/>
        <w:numPr>
          <w:ilvl w:val="0"/>
          <w:numId w:val="1"/>
        </w:numPr>
        <w:spacing w:after="80"/>
      </w:pPr>
      <w:r>
        <w:rPr>
          <w:color w:val="202020"/>
          <w:sz w:val="21"/>
          <w:szCs w:val="21"/>
        </w:rPr>
        <w:t xml:space="preserve">Offrir une supervision centralisée multi-serveurs et multi-nodes Proxmox, avec un tableau de bord moderne, réactif et accessible à distance.</w:t>
      </w:r>
    </w:p>
    <w:p>
      <w:pPr>
        <w:pStyle w:val="ListParagraph"/>
        <w:numPr>
          <w:ilvl w:val="0"/>
          <w:numId w:val="1"/>
        </w:numPr>
        <w:spacing w:after="80"/>
      </w:pPr>
      <w:r>
        <w:rPr>
          <w:color w:val="202020"/>
          <w:sz w:val="21"/>
          <w:szCs w:val="21"/>
        </w:rPr>
        <w:t xml:space="preserve">Prédire la saturation du stockage des VM avec un horizon de plusieurs jours, exprimé en nombre de jours restants avant incident.</w:t>
      </w:r>
    </w:p>
    <w:p>
      <w:pPr>
        <w:pStyle w:val="ListParagraph"/>
        <w:numPr>
          <w:ilvl w:val="0"/>
          <w:numId w:val="1"/>
        </w:numPr>
        <w:spacing w:after="80"/>
      </w:pPr>
      <w:r>
        <w:rPr>
          <w:color w:val="202020"/>
          <w:sz w:val="21"/>
          <w:szCs w:val="21"/>
        </w:rPr>
        <w:t xml:space="preserve">Détecter les anomalies de comportement (pics anormaux de CPU, RAM, I/O, latence) au-delà des seuils statiques classiques.</w:t>
      </w:r>
    </w:p>
    <w:p>
      <w:pPr>
        <w:pStyle w:val="ListParagraph"/>
        <w:numPr>
          <w:ilvl w:val="0"/>
          <w:numId w:val="1"/>
        </w:numPr>
        <w:spacing w:after="80"/>
      </w:pPr>
      <w:r>
        <w:rPr>
          <w:color w:val="202020"/>
          <w:sz w:val="21"/>
          <w:szCs w:val="21"/>
        </w:rPr>
        <w:t xml:space="preserve">Générer des recommandations actionnables et hiérarchisées (suppression de snapshots obsolètes, déplacement de VM, extension de stockage).</w:t>
      </w:r>
    </w:p>
    <w:p>
      <w:pPr>
        <w:pStyle w:val="ListParagraph"/>
        <w:numPr>
          <w:ilvl w:val="0"/>
          <w:numId w:val="1"/>
        </w:numPr>
        <w:spacing w:after="80"/>
      </w:pPr>
      <w:r>
        <w:rPr>
          <w:color w:val="202020"/>
          <w:sz w:val="21"/>
          <w:szCs w:val="21"/>
        </w:rPr>
        <w:t xml:space="preserve">Garantir un audit exhaustif et immuable des actions effectuées sur la plateforme et sur les infrastructures supervisées.</w:t>
      </w:r>
    </w:p>
    <w:p>
      <w:pPr>
        <w:pStyle w:val="ListParagraph"/>
        <w:numPr>
          <w:ilvl w:val="0"/>
          <w:numId w:val="1"/>
        </w:numPr>
        <w:spacing w:after="80"/>
      </w:pPr>
      <w:r>
        <w:rPr>
          <w:color w:val="202020"/>
          <w:sz w:val="21"/>
          <w:szCs w:val="21"/>
        </w:rPr>
        <w:t xml:space="preserve">Gérer une architecture multi-tenant permettant à plusieurs entreprises clientes d'opérer la plateforme de manière cloisonnée.</w:t>
      </w:r>
    </w:p>
    <w:p>
      <w:pPr>
        <w:pStyle w:val="ListParagraph"/>
        <w:numPr>
          <w:ilvl w:val="0"/>
          <w:numId w:val="1"/>
        </w:numPr>
        <w:spacing w:after="80"/>
      </w:pPr>
      <w:r>
        <w:rPr>
          <w:color w:val="202020"/>
          <w:sz w:val="21"/>
          <w:szCs w:val="21"/>
        </w:rPr>
        <w:t xml:space="preserve">Assurer un déploiement on-premise simple, reproductible et sécurisé, sans dépendance à un cloud public.</w:t>
      </w:r>
    </w:p>
    <w:p>
      <w:pPr>
        <w:pStyle w:val="Heading2"/>
        <w:spacing w:after="180" w:before="360"/>
      </w:pPr>
      <w:r>
        <w:rPr>
          <w:b/>
          <w:bCs/>
          <w:color w:val="2E5395"/>
          <w:sz w:val="26"/>
          <w:szCs w:val="26"/>
        </w:rPr>
        <w:t xml:space="preserve">2.3 Périmètre fonctionnel</w:t>
      </w:r>
    </w:p>
    <w:p>
      <w:pPr>
        <w:spacing w:after="160" w:line="276"/>
        <w:jc w:val="both"/>
      </w:pPr>
      <w:r>
        <w:rPr>
          <w:color w:val="202020"/>
          <w:sz w:val="21"/>
          <w:szCs w:val="21"/>
        </w:rPr>
        <w:t xml:space="preserve">Le périmètre couvre la collecte de métriques (CPU, RAM, réseau, disque, I/O), leur stockage et historisation, le calcul de scores d'anomalie et de risque via des modèles d'IA, la génération d'alertes multi-niveaux, la formulation de recommandations, la gestion des utilisateurs et des permissions en mode multi-tenant, ainsi que l'audit complet des opérations. Sont explicitement hors périmètre : la gestion du cycle de vie des VM (création, migration à chaud, clonage), qui reste de la responsabilité de Proxmox VE natif, et la facturation, qui pourra faire l'objet d'un module ultérieur.</w:t>
      </w:r>
    </w:p>
    <w:p>
      <w:pPr>
        <w:pStyle w:val="Heading2"/>
        <w:spacing w:after="180" w:before="360"/>
      </w:pPr>
      <w:r>
        <w:rPr>
          <w:b/>
          <w:bCs/>
          <w:color w:val="2E5395"/>
          <w:sz w:val="26"/>
          <w:szCs w:val="26"/>
        </w:rPr>
        <w:t xml:space="preserve">2.4 Parties prenantes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200"/>
        <w:gridCol w:w="5400"/>
      </w:tblGrid>
      <w:tr>
        <w:trPr>
          <w:tblHeader/>
        </w:trPr>
        <w:tc>
          <w:tcPr>
            <w:tcW w:type="dxa" w:w="4200"/>
            <w:shd w:fill="1F3864" w:val="clear"/>
            <w:tcMar>
              <w:top w:type="dxa" w:w="100"/>
              <w:left w:type="dxa" w:w="120"/>
              <w:bottom w:type="dxa" w:w="100"/>
              <w:right w:type="dxa" w:w="120"/>
            </w:tcMar>
            <w:vAlign w:val="center"/>
          </w:tcPr>
          <w:p>
            <w:pPr>
              <w:jc w:val="left"/>
            </w:pPr>
            <w:r>
              <w:rPr>
                <w:b/>
                <w:bCs/>
                <w:color w:val="FFFFFF"/>
                <w:sz w:val="19"/>
                <w:szCs w:val="19"/>
              </w:rPr>
              <w:t xml:space="preserve">Rôle</w:t>
            </w:r>
          </w:p>
        </w:tc>
        <w:tc>
          <w:tcPr>
            <w:tcW w:type="dxa" w:w="5400"/>
            <w:shd w:fill="1F3864" w:val="clear"/>
            <w:tcMar>
              <w:top w:type="dxa" w:w="100"/>
              <w:left w:type="dxa" w:w="120"/>
              <w:bottom w:type="dxa" w:w="100"/>
              <w:right w:type="dxa" w:w="120"/>
            </w:tcMar>
            <w:vAlign w:val="center"/>
          </w:tcPr>
          <w:p>
            <w:pPr>
              <w:jc w:val="left"/>
            </w:pPr>
            <w:r>
              <w:rPr>
                <w:b/>
                <w:bCs/>
                <w:color w:val="FFFFFF"/>
                <w:sz w:val="19"/>
                <w:szCs w:val="19"/>
              </w:rPr>
              <w:t xml:space="preserve">Responsabilité vis-à-vis de la plateforme</w:t>
            </w:r>
          </w:p>
        </w:tc>
      </w:tr>
      <w:tr>
        <w:tc>
          <w:tcPr>
            <w:tcW w:type="dxa" w:w="42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Administrateur plateforme (super-admin)</w:t>
            </w:r>
          </w:p>
        </w:tc>
        <w:tc>
          <w:tcPr>
            <w:tcW w:type="dxa" w:w="54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Gestion des entreprises tenantes, configuration globale, supervision technique</w:t>
            </w:r>
          </w:p>
        </w:tc>
      </w:tr>
      <w:tr>
        <w:tc>
          <w:tcPr>
            <w:tcW w:type="dxa" w:w="42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Administrateur entreprise</w:t>
            </w:r>
          </w:p>
        </w:tc>
        <w:tc>
          <w:tcPr>
            <w:tcW w:type="dxa" w:w="54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Gestion des utilisateurs et des serveurs Proxmox de son entreprise</w:t>
            </w:r>
          </w:p>
        </w:tc>
      </w:tr>
      <w:tr>
        <w:tc>
          <w:tcPr>
            <w:tcW w:type="dxa" w:w="42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Opérateur / Exploitant</w:t>
            </w:r>
          </w:p>
        </w:tc>
        <w:tc>
          <w:tcPr>
            <w:tcW w:type="dxa" w:w="54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Consultation des tableaux de bord, traitement des alertes et recommandations</w:t>
            </w:r>
          </w:p>
        </w:tc>
      </w:tr>
      <w:tr>
        <w:tc>
          <w:tcPr>
            <w:tcW w:type="dxa" w:w="42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Auditeur</w:t>
            </w:r>
          </w:p>
        </w:tc>
        <w:tc>
          <w:tcPr>
            <w:tcW w:type="dxa" w:w="54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Accès en lecture seule aux journaux d'audit et rapports de conformité</w:t>
            </w:r>
          </w:p>
        </w:tc>
      </w:tr>
      <w:tr>
        <w:tc>
          <w:tcPr>
            <w:tcW w:type="dxa" w:w="42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Équipe de développement (20 ingénieurs)</w:t>
            </w:r>
          </w:p>
        </w:tc>
        <w:tc>
          <w:tcPr>
            <w:tcW w:type="dxa" w:w="54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Conception, développement, tests et maintenance de la plateforme</w:t>
            </w:r>
          </w:p>
        </w:tc>
      </w:tr>
    </w:tbl>
    <w:p>
      <w:r>
        <w:br w:type="page"/>
      </w:r>
    </w:p>
    <w:p>
      <w:pPr>
        <w:pStyle w:val="Heading1"/>
        <w:pBdr>
          <w:bottom w:val="single" w:color="2E5395" w:sz="8" w:space="4"/>
        </w:pBdr>
        <w:spacing w:after="240" w:before="480"/>
      </w:pPr>
      <w:r>
        <w:rPr>
          <w:b/>
          <w:bCs/>
          <w:color w:val="1F3864"/>
          <w:sz w:val="32"/>
          <w:szCs w:val="32"/>
        </w:rPr>
        <w:t xml:space="preserve">3. Architecture logicielle</w:t>
      </w:r>
    </w:p>
    <w:p>
      <w:pPr>
        <w:pStyle w:val="Heading2"/>
        <w:spacing w:after="180" w:before="360"/>
      </w:pPr>
      <w:r>
        <w:rPr>
          <w:b/>
          <w:bCs/>
          <w:color w:val="2E5395"/>
          <w:sz w:val="26"/>
          <w:szCs w:val="26"/>
        </w:rPr>
        <w:t xml:space="preserve">3.1 Choix du style architectural : monolithe modulaire</w:t>
      </w:r>
    </w:p>
    <w:p>
      <w:pPr>
        <w:spacing w:after="160" w:line="276"/>
        <w:jc w:val="both"/>
      </w:pPr>
      <w:r>
        <w:rPr>
          <w:color w:val="202020"/>
          <w:sz w:val="21"/>
          <w:szCs w:val="21"/>
        </w:rPr>
        <w:t xml:space="preserve">Le choix entre une architecture en microservices et un monolithe modulaire constitue la première décision structurante. Le tableau suivant compare les deux approches au regard des contraintes réelles du projet : équipe de vingt ingénieurs, déploiement on-premise chez des clients aux compétences DevOps variables, et absence de nécessité avérée de scalabilité indépendante par domaine fonctionnel à ce stade.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600"/>
      </w:tblGrid>
      <w:tr>
        <w:trPr>
          <w:tblHeader/>
        </w:trPr>
        <w:tc>
          <w:tcPr>
            <w:tcW w:type="dxa" w:w="2600"/>
            <w:shd w:fill="1F3864" w:val="clear"/>
            <w:tcMar>
              <w:top w:type="dxa" w:w="100"/>
              <w:left w:type="dxa" w:w="120"/>
              <w:bottom w:type="dxa" w:w="100"/>
              <w:right w:type="dxa" w:w="120"/>
            </w:tcMar>
            <w:vAlign w:val="center"/>
          </w:tcPr>
          <w:p>
            <w:pPr>
              <w:jc w:val="left"/>
            </w:pPr>
            <w:r>
              <w:rPr>
                <w:b/>
                <w:bCs/>
                <w:color w:val="FFFFFF"/>
                <w:sz w:val="19"/>
                <w:szCs w:val="19"/>
              </w:rPr>
              <w:t xml:space="preserve">Critère</w:t>
            </w:r>
          </w:p>
        </w:tc>
        <w:tc>
          <w:tcPr>
            <w:tcW w:type="dxa" w:w="3400"/>
            <w:shd w:fill="1F3864" w:val="clear"/>
            <w:tcMar>
              <w:top w:type="dxa" w:w="100"/>
              <w:left w:type="dxa" w:w="120"/>
              <w:bottom w:type="dxa" w:w="100"/>
              <w:right w:type="dxa" w:w="120"/>
            </w:tcMar>
            <w:vAlign w:val="center"/>
          </w:tcPr>
          <w:p>
            <w:pPr>
              <w:jc w:val="left"/>
            </w:pPr>
            <w:r>
              <w:rPr>
                <w:b/>
                <w:bCs/>
                <w:color w:val="FFFFFF"/>
                <w:sz w:val="19"/>
                <w:szCs w:val="19"/>
              </w:rPr>
              <w:t xml:space="preserve">Microservices</w:t>
            </w:r>
          </w:p>
        </w:tc>
        <w:tc>
          <w:tcPr>
            <w:tcW w:type="dxa" w:w="3600"/>
            <w:shd w:fill="1F3864" w:val="clear"/>
            <w:tcMar>
              <w:top w:type="dxa" w:w="100"/>
              <w:left w:type="dxa" w:w="120"/>
              <w:bottom w:type="dxa" w:w="100"/>
              <w:right w:type="dxa" w:w="120"/>
            </w:tcMar>
            <w:vAlign w:val="center"/>
          </w:tcPr>
          <w:p>
            <w:pPr>
              <w:jc w:val="left"/>
            </w:pPr>
            <w:r>
              <w:rPr>
                <w:b/>
                <w:bCs/>
                <w:color w:val="FFFFFF"/>
                <w:sz w:val="19"/>
                <w:szCs w:val="19"/>
              </w:rPr>
              <w:t xml:space="preserve">Monolithe modulaire (retenu)</w:t>
            </w:r>
          </w:p>
        </w:tc>
      </w:tr>
      <w:tr>
        <w:tc>
          <w:tcPr>
            <w:tcW w:type="dxa" w:w="26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Complexité opérationnelle on-premise</w:t>
            </w:r>
          </w:p>
        </w:tc>
        <w:tc>
          <w:tcPr>
            <w:tcW w:type="dxa" w:w="34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Élevée : orchestrateur (Kubernetes), service mesh, observabilité distribuée à déployer chez chaque client</w:t>
            </w:r>
          </w:p>
        </w:tc>
        <w:tc>
          <w:tcPr>
            <w:tcW w:type="dxa" w:w="36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Faible : un ensemble de conteneurs Docker Compose, gérable par une équipe d'exploitation réduite</w:t>
            </w:r>
          </w:p>
        </w:tc>
      </w:tr>
      <w:tr>
        <w:tc>
          <w:tcPr>
            <w:tcW w:type="dxa" w:w="26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Taille d'équipe</w:t>
            </w:r>
          </w:p>
        </w:tc>
        <w:tc>
          <w:tcPr>
            <w:tcW w:type="dxa" w:w="34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Justifié à partir de plusieurs équipes autonomes (Conway's Law)</w:t>
            </w:r>
          </w:p>
        </w:tc>
        <w:tc>
          <w:tcPr>
            <w:tcW w:type="dxa" w:w="36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Adapté à une équipe unique de 20 ingénieurs partageant un référentiel</w:t>
            </w:r>
          </w:p>
        </w:tc>
      </w:tr>
      <w:tr>
        <w:tc>
          <w:tcPr>
            <w:tcW w:type="dxa" w:w="26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Cohérence transactionnelle</w:t>
            </w:r>
          </w:p>
        </w:tc>
        <w:tc>
          <w:tcPr>
            <w:tcW w:type="dxa" w:w="34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Complexe (sagas, événements compensatoires)</w:t>
            </w:r>
          </w:p>
        </w:tc>
        <w:tc>
          <w:tcPr>
            <w:tcW w:type="dxa" w:w="36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Native via les transactions PostgreSQL</w:t>
            </w:r>
          </w:p>
        </w:tc>
      </w:tr>
      <w:tr>
        <w:tc>
          <w:tcPr>
            <w:tcW w:type="dxa" w:w="26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Vitesse de livraison initiale</w:t>
            </w:r>
          </w:p>
        </w:tc>
        <w:tc>
          <w:tcPr>
            <w:tcW w:type="dxa" w:w="34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Ralentie par l'infrastructure inter-services</w:t>
            </w:r>
          </w:p>
        </w:tc>
        <w:tc>
          <w:tcPr>
            <w:tcW w:type="dxa" w:w="36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Rapide, un seul pipeline de build et de déploiement</w:t>
            </w:r>
          </w:p>
        </w:tc>
      </w:tr>
      <w:tr>
        <w:tc>
          <w:tcPr>
            <w:tcW w:type="dxa" w:w="26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Évolutivité future</w:t>
            </w:r>
          </w:p>
        </w:tc>
        <w:tc>
          <w:tcPr>
            <w:tcW w:type="dxa" w:w="34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Découpage a priori, risque de sur-ingénierie</w:t>
            </w:r>
          </w:p>
        </w:tc>
        <w:tc>
          <w:tcPr>
            <w:tcW w:type="dxa" w:w="36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Modules internes découplés, extraction en microservice possible ultérieurement si un domaine l'exige (ex. moteur IA)</w:t>
            </w:r>
          </w:p>
        </w:tc>
      </w:tr>
    </w:tbl>
    <w:p>
      <w:pPr>
        <w:spacing w:after="160" w:line="276"/>
        <w:jc w:val="both"/>
      </w:pPr>
      <w:r>
        <w:rPr>
          <w:color w:val="202020"/>
          <w:sz w:val="21"/>
          <w:szCs w:val="21"/>
        </w:rPr>
        <w:t xml:space="preserve">Le monolithe modulaire est donc retenu, structuré en modules métier fortement cohésifs et faiblement couplés (Authentification, Supervision, Intelligence Artificielle, Alertes, Recommandations, Audit), chacun exposant une interface claire et pouvant, si la charge le justifie, être extrait en service indépendant sans réécriture du domaine métier — celui-ci étant isolé de l'infrastructure grâce à la Clean Architecture décrite ci-après.</w:t>
      </w:r>
    </w:p>
    <w:p>
      <w:pPr>
        <w:pStyle w:val="Heading2"/>
        <w:spacing w:after="180" w:before="360"/>
      </w:pPr>
      <w:r>
        <w:rPr>
          <w:b/>
          <w:bCs/>
          <w:color w:val="2E5395"/>
          <w:sz w:val="26"/>
          <w:szCs w:val="26"/>
        </w:rPr>
        <w:t xml:space="preserve">3.2 Clean Architecture et architecture hexagonale</w:t>
      </w:r>
    </w:p>
    <w:p>
      <w:pPr>
        <w:spacing w:after="160" w:line="276"/>
        <w:jc w:val="both"/>
      </w:pPr>
      <w:r>
        <w:rPr>
          <w:color w:val="202020"/>
          <w:sz w:val="21"/>
          <w:szCs w:val="21"/>
        </w:rPr>
        <w:t xml:space="preserve">Le backend applique les principes de la Clean Architecture (Robert C. Martin) combinés à l'architecture hexagonale (ports et adaptateurs). La règle de dépendance est stricte : les couches externes dépendent des couches internes, jamais l'inverse. Le domaine métier (entités, règles de gestion, cas d'usage) ne connaît ni FastAPI, ni SQLAlchemy, ni Proxmoxer : ces éléments sont des détails d'implémentation injectés via des interfaces (ports).</w:t>
      </w:r>
    </w:p>
    <w:tbl>
      <w:tblPr>
        <w:tblW w:type="pct" w:w="100%"/>
        <w:tblBorders>
          <w:top w:val="single" w:color="9DB4CE" w:sz="4"/>
          <w:left w:val="single" w:color="9DB4CE" w:sz="4"/>
          <w:bottom w:val="single" w:color="9DB4CE" w:sz="4"/>
          <w:right w:val="single" w:color="9DB4CE" w:sz="4"/>
          <w:insideH w:val="single" w:color="auto" w:sz="4"/>
          <w:insideV w:val="single" w:color="auto" w:sz="4"/>
        </w:tblBorders>
      </w:tblPr>
      <w:tblGrid>
        <w:gridCol w:w="100"/>
      </w:tblGrid>
      <w:tr>
        <w:tc>
          <w:tcPr>
            <w:shd w:fill="F7F9FC" w:val="clear"/>
            <w:tcMar>
              <w:top w:type="dxa" w:w="160"/>
              <w:left w:type="dxa" w:w="200"/>
              <w:bottom w:type="dxa" w:w="160"/>
              <w:right w:type="dxa" w:w="200"/>
            </w:tcMar>
          </w:tcPr>
          <w:p>
            <w:pPr>
              <w:spacing w:after="0"/>
            </w:pPr>
            <w:r>
              <w:rPr>
                <w:rFonts w:ascii="Consolas" w:cs="Consolas" w:eastAsia="Consolas" w:hAnsi="Consolas"/>
                <w:color w:val="1F3864"/>
                <w:sz w:val="13"/>
                <w:szCs w:val="13"/>
              </w:rPr>
              <w:t xml:space="preserve">                    ┌───────────────────────────────────────────┐</w:t>
            </w:r>
          </w:p>
          <w:p>
            <w:pPr>
              <w:spacing w:after="0"/>
            </w:pPr>
            <w:r>
              <w:rPr>
                <w:rFonts w:ascii="Consolas" w:cs="Consolas" w:eastAsia="Consolas" w:hAnsi="Consolas"/>
                <w:color w:val="1F3864"/>
                <w:sz w:val="13"/>
                <w:szCs w:val="13"/>
              </w:rPr>
              <w:t xml:space="preserve">                    │        INFRASTRUCTURE (Adapters)          │</w:t>
            </w:r>
          </w:p>
          <w:p>
            <w:pPr>
              <w:spacing w:after="0"/>
            </w:pPr>
            <w:r>
              <w:rPr>
                <w:rFonts w:ascii="Consolas" w:cs="Consolas" w:eastAsia="Consolas" w:hAnsi="Consolas"/>
                <w:color w:val="1F3864"/>
                <w:sz w:val="13"/>
                <w:szCs w:val="13"/>
              </w:rPr>
              <w:t xml:space="preserve">                    │  FastAPI · SQLAlchemy · Proxmoxer · Redis  │</w:t>
            </w:r>
          </w:p>
          <w:p>
            <w:pPr>
              <w:spacing w:after="0"/>
            </w:pPr>
            <w:r>
              <w:rPr>
                <w:rFonts w:ascii="Consolas" w:cs="Consolas" w:eastAsia="Consolas" w:hAnsi="Consolas"/>
                <w:color w:val="1F3864"/>
                <w:sz w:val="13"/>
                <w:szCs w:val="13"/>
              </w:rPr>
              <w:t xml:space="preserve">                    │   ┌───────────────────────────────────┐   │</w:t>
            </w:r>
          </w:p>
          <w:p>
            <w:pPr>
              <w:spacing w:after="0"/>
            </w:pPr>
            <w:r>
              <w:rPr>
                <w:rFonts w:ascii="Consolas" w:cs="Consolas" w:eastAsia="Consolas" w:hAnsi="Consolas"/>
                <w:color w:val="1F3864"/>
                <w:sz w:val="13"/>
                <w:szCs w:val="13"/>
              </w:rPr>
              <w:t xml:space="preserve">                    │   │      APPLICATION (Use Cases)       │   │</w:t>
            </w:r>
          </w:p>
          <w:p>
            <w:pPr>
              <w:spacing w:after="0"/>
            </w:pPr>
            <w:r>
              <w:rPr>
                <w:rFonts w:ascii="Consolas" w:cs="Consolas" w:eastAsia="Consolas" w:hAnsi="Consolas"/>
                <w:color w:val="1F3864"/>
                <w:sz w:val="13"/>
                <w:szCs w:val="13"/>
              </w:rPr>
              <w:t xml:space="preserve">                    │   │  Services applicatifs, DTO, ports  │   │</w:t>
            </w:r>
          </w:p>
          <w:p>
            <w:pPr>
              <w:spacing w:after="0"/>
            </w:pPr>
            <w:r>
              <w:rPr>
                <w:rFonts w:ascii="Consolas" w:cs="Consolas" w:eastAsia="Consolas" w:hAnsi="Consolas"/>
                <w:color w:val="1F3864"/>
                <w:sz w:val="13"/>
                <w:szCs w:val="13"/>
              </w:rPr>
              <w:t xml:space="preserve">                    │   │   ┌─────────────────────────────┐  │   │</w:t>
            </w:r>
          </w:p>
          <w:p>
            <w:pPr>
              <w:spacing w:after="0"/>
            </w:pPr>
            <w:r>
              <w:rPr>
                <w:rFonts w:ascii="Consolas" w:cs="Consolas" w:eastAsia="Consolas" w:hAnsi="Consolas"/>
                <w:color w:val="1F3864"/>
                <w:sz w:val="13"/>
                <w:szCs w:val="13"/>
              </w:rPr>
              <w:t xml:space="preserve">                    │   │   │      DOMAINE (Entités)      │  │   │</w:t>
            </w:r>
          </w:p>
          <w:p>
            <w:pPr>
              <w:spacing w:after="0"/>
            </w:pPr>
            <w:r>
              <w:rPr>
                <w:rFonts w:ascii="Consolas" w:cs="Consolas" w:eastAsia="Consolas" w:hAnsi="Consolas"/>
                <w:color w:val="1F3864"/>
                <w:sz w:val="13"/>
                <w:szCs w:val="13"/>
              </w:rPr>
              <w:t xml:space="preserve">                    │   │   │  VM, Node, Serveur, Alerte, │  │   │</w:t>
            </w:r>
          </w:p>
          <w:p>
            <w:pPr>
              <w:spacing w:after="0"/>
            </w:pPr>
            <w:r>
              <w:rPr>
                <w:rFonts w:ascii="Consolas" w:cs="Consolas" w:eastAsia="Consolas" w:hAnsi="Consolas"/>
                <w:color w:val="1F3864"/>
                <w:sz w:val="13"/>
                <w:szCs w:val="13"/>
              </w:rPr>
              <w:t xml:space="preserve">                    │   │   │  Règles métier, Value Objects│  │   │</w:t>
            </w:r>
          </w:p>
          <w:p>
            <w:pPr>
              <w:spacing w:after="0"/>
            </w:pPr>
            <w:r>
              <w:rPr>
                <w:rFonts w:ascii="Consolas" w:cs="Consolas" w:eastAsia="Consolas" w:hAnsi="Consolas"/>
                <w:color w:val="1F3864"/>
                <w:sz w:val="13"/>
                <w:szCs w:val="13"/>
              </w:rPr>
              <w:t xml:space="preserve">                    │   │   └─────────────────────────────┘  │   │</w:t>
            </w:r>
          </w:p>
          <w:p>
            <w:pPr>
              <w:spacing w:after="0"/>
            </w:pPr>
            <w:r>
              <w:rPr>
                <w:rFonts w:ascii="Consolas" w:cs="Consolas" w:eastAsia="Consolas" w:hAnsi="Consolas"/>
                <w:color w:val="1F3864"/>
                <w:sz w:val="13"/>
                <w:szCs w:val="13"/>
              </w:rPr>
              <w:t xml:space="preserve">                    │   └───────────────────────────────────┘   │</w:t>
            </w:r>
          </w:p>
          <w:p>
            <w:pPr>
              <w:spacing w:after="0"/>
            </w:pPr>
            <w:r>
              <w:rPr>
                <w:rFonts w:ascii="Consolas" w:cs="Consolas" w:eastAsia="Consolas" w:hAnsi="Consolas"/>
                <w:color w:val="1F3864"/>
                <w:sz w:val="13"/>
                <w:szCs w:val="13"/>
              </w:rPr>
              <w:t xml:space="preserve">                    └───────────────────────────────────────────┘</w:t>
            </w:r>
          </w:p>
          <w:p>
            <w:pPr>
              <w:spacing w:after="0"/>
            </w:pPr>
            <w:r>
              <w:rPr>
                <w:rFonts w:ascii="Consolas" w:cs="Consolas" w:eastAsia="Consolas" w:hAnsi="Consolas"/>
                <w:color w:val="1F3864"/>
                <w:sz w:val="13"/>
                <w:szCs w:val="13"/>
              </w:rPr>
              <w:t xml:space="preserve">        Sens de dépendance : Infrastructure → Application → Domaine (jamais l'inverse)</w:t>
            </w:r>
          </w:p>
        </w:tc>
      </w:tr>
    </w:tbl>
    <w:p>
      <w:pPr>
        <w:spacing w:after="240" w:before="80"/>
        <w:jc w:val="center"/>
      </w:pPr>
      <w:r>
        <w:rPr>
          <w:i/>
          <w:iCs/>
          <w:color w:val="595959"/>
          <w:sz w:val="18"/>
          <w:szCs w:val="18"/>
        </w:rPr>
        <w:t xml:space="preserve">Figure 1 — Vue en couches concentriques de la Clean Architecture appliquée au backend</w:t>
      </w:r>
    </w:p>
    <w:p>
      <w:pPr>
        <w:spacing w:after="160" w:line="276"/>
        <w:jc w:val="both"/>
      </w:pPr>
      <w:r>
        <w:rPr>
          <w:color w:val="202020"/>
          <w:sz w:val="21"/>
          <w:szCs w:val="21"/>
        </w:rPr>
        <w:t xml:space="preserve">Cette organisation apporte trois bénéfices majeurs : la testabilité (le domaine et les cas d'usage se testent unitairement sans base de données ni réseau, via des doubles de test implémentant les ports), la substituabilité (remplacer PostgreSQL, Proxmoxer ou le broker de messages n'impacte que la couche infrastructure) et la lisibilité métier (le code du domaine exprime le vocabulaire de la supervision Proxmox, pas celui d'un framework web).</w:t>
      </w:r>
    </w:p>
    <w:p>
      <w:pPr>
        <w:pStyle w:val="Heading2"/>
        <w:spacing w:after="180" w:before="360"/>
      </w:pPr>
      <w:r>
        <w:rPr>
          <w:b/>
          <w:bCs/>
          <w:color w:val="2E5395"/>
          <w:sz w:val="26"/>
          <w:szCs w:val="26"/>
        </w:rPr>
        <w:t xml:space="preserve">3.3 Domain-Driven Design : contextes bornés</w:t>
      </w:r>
    </w:p>
    <w:p>
      <w:pPr>
        <w:spacing w:after="160" w:line="276"/>
        <w:jc w:val="both"/>
      </w:pPr>
      <w:r>
        <w:rPr>
          <w:color w:val="202020"/>
          <w:sz w:val="21"/>
          <w:szCs w:val="21"/>
        </w:rPr>
        <w:t xml:space="preserve">Le domaine est découpé en contextes bornés (Bounded Contexts) au sens du DDD, chacun possédant son propre langage ubiquitaire et ses propres agrégats. Cette décomposition, bien que réalisée au sein d'un monolithe modulaire, prépare une éventuelle extraction en microservices sans dette de conception.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600"/>
      </w:tblGrid>
      <w:tr>
        <w:trPr>
          <w:tblHeader/>
        </w:trPr>
        <w:tc>
          <w:tcPr>
            <w:tcW w:type="dxa" w:w="2600"/>
            <w:shd w:fill="1F3864" w:val="clear"/>
            <w:tcMar>
              <w:top w:type="dxa" w:w="100"/>
              <w:left w:type="dxa" w:w="120"/>
              <w:bottom w:type="dxa" w:w="100"/>
              <w:right w:type="dxa" w:w="120"/>
            </w:tcMar>
            <w:vAlign w:val="center"/>
          </w:tcPr>
          <w:p>
            <w:pPr>
              <w:jc w:val="left"/>
            </w:pPr>
            <w:r>
              <w:rPr>
                <w:b/>
                <w:bCs/>
                <w:color w:val="FFFFFF"/>
                <w:sz w:val="19"/>
                <w:szCs w:val="19"/>
              </w:rPr>
              <w:t xml:space="preserve">Contexte borné</w:t>
            </w:r>
          </w:p>
        </w:tc>
        <w:tc>
          <w:tcPr>
            <w:tcW w:type="dxa" w:w="2400"/>
            <w:shd w:fill="1F3864" w:val="clear"/>
            <w:tcMar>
              <w:top w:type="dxa" w:w="100"/>
              <w:left w:type="dxa" w:w="120"/>
              <w:bottom w:type="dxa" w:w="100"/>
              <w:right w:type="dxa" w:w="120"/>
            </w:tcMar>
            <w:vAlign w:val="center"/>
          </w:tcPr>
          <w:p>
            <w:pPr>
              <w:jc w:val="left"/>
            </w:pPr>
            <w:r>
              <w:rPr>
                <w:b/>
                <w:bCs/>
                <w:color w:val="FFFFFF"/>
                <w:sz w:val="19"/>
                <w:szCs w:val="19"/>
              </w:rPr>
              <w:t xml:space="preserve">Agrégat racine</w:t>
            </w:r>
          </w:p>
        </w:tc>
        <w:tc>
          <w:tcPr>
            <w:tcW w:type="dxa" w:w="4600"/>
            <w:shd w:fill="1F3864" w:val="clear"/>
            <w:tcMar>
              <w:top w:type="dxa" w:w="100"/>
              <w:left w:type="dxa" w:w="120"/>
              <w:bottom w:type="dxa" w:w="100"/>
              <w:right w:type="dxa" w:w="120"/>
            </w:tcMar>
            <w:vAlign w:val="center"/>
          </w:tcPr>
          <w:p>
            <w:pPr>
              <w:jc w:val="left"/>
            </w:pPr>
            <w:r>
              <w:rPr>
                <w:b/>
                <w:bCs/>
                <w:color w:val="FFFFFF"/>
                <w:sz w:val="19"/>
                <w:szCs w:val="19"/>
              </w:rPr>
              <w:t xml:space="preserve">Responsabilité</w:t>
            </w:r>
          </w:p>
        </w:tc>
      </w:tr>
      <w:tr>
        <w:tc>
          <w:tcPr>
            <w:tcW w:type="dxa" w:w="26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Identité &amp; Accès (IAM)</w:t>
            </w:r>
          </w:p>
        </w:tc>
        <w:tc>
          <w:tcPr>
            <w:tcW w:type="dxa" w:w="24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Utilisateur</w:t>
            </w:r>
          </w:p>
        </w:tc>
        <w:tc>
          <w:tcPr>
            <w:tcW w:type="dxa" w:w="46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Authentification plateforme, RBAC, sessions, entreprises tenantes</w:t>
            </w:r>
          </w:p>
        </w:tc>
      </w:tr>
      <w:tr>
        <w:tc>
          <w:tcPr>
            <w:tcW w:type="dxa" w:w="26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Infrastructure Proxmox</w:t>
            </w:r>
          </w:p>
        </w:tc>
        <w:tc>
          <w:tcPr>
            <w:tcW w:type="dxa" w:w="24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Serveur Proxmox</w:t>
            </w:r>
          </w:p>
        </w:tc>
        <w:tc>
          <w:tcPr>
            <w:tcW w:type="dxa" w:w="46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Connexion aux serveurs, découverte des nodes et VM, tokens Proxmox</w:t>
            </w:r>
          </w:p>
        </w:tc>
      </w:tr>
      <w:tr>
        <w:tc>
          <w:tcPr>
            <w:tcW w:type="dxa" w:w="26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Supervision &amp; Métriques</w:t>
            </w:r>
          </w:p>
        </w:tc>
        <w:tc>
          <w:tcPr>
            <w:tcW w:type="dxa" w:w="24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VM</w:t>
            </w:r>
          </w:p>
        </w:tc>
        <w:tc>
          <w:tcPr>
            <w:tcW w:type="dxa" w:w="46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Collecte, stockage et exposition des métriques temporelles</w:t>
            </w:r>
          </w:p>
        </w:tc>
      </w:tr>
      <w:tr>
        <w:tc>
          <w:tcPr>
            <w:tcW w:type="dxa" w:w="26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Intelligence Artificielle</w:t>
            </w:r>
          </w:p>
        </w:tc>
        <w:tc>
          <w:tcPr>
            <w:tcW w:type="dxa" w:w="24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Modèle de Prédiction</w:t>
            </w:r>
          </w:p>
        </w:tc>
        <w:tc>
          <w:tcPr>
            <w:tcW w:type="dxa" w:w="46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Entraînement, inférence, scoring de risque et d'anomalie</w:t>
            </w:r>
          </w:p>
        </w:tc>
      </w:tr>
      <w:tr>
        <w:tc>
          <w:tcPr>
            <w:tcW w:type="dxa" w:w="26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Alerting</w:t>
            </w:r>
          </w:p>
        </w:tc>
        <w:tc>
          <w:tcPr>
            <w:tcW w:type="dxa" w:w="24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Alerte</w:t>
            </w:r>
          </w:p>
        </w:tc>
        <w:tc>
          <w:tcPr>
            <w:tcW w:type="dxa" w:w="46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Évaluation des règles, cycle de vie des alertes, notifications</w:t>
            </w:r>
          </w:p>
        </w:tc>
      </w:tr>
      <w:tr>
        <w:tc>
          <w:tcPr>
            <w:tcW w:type="dxa" w:w="26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Recommandations</w:t>
            </w:r>
          </w:p>
        </w:tc>
        <w:tc>
          <w:tcPr>
            <w:tcW w:type="dxa" w:w="24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Recommandation</w:t>
            </w:r>
          </w:p>
        </w:tc>
        <w:tc>
          <w:tcPr>
            <w:tcW w:type="dxa" w:w="46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Génération et suivi des actions correctives suggérées</w:t>
            </w:r>
          </w:p>
        </w:tc>
      </w:tr>
      <w:tr>
        <w:tc>
          <w:tcPr>
            <w:tcW w:type="dxa" w:w="26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Audit &amp; Conformité</w:t>
            </w:r>
          </w:p>
        </w:tc>
        <w:tc>
          <w:tcPr>
            <w:tcW w:type="dxa" w:w="24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Journal d'audit</w:t>
            </w:r>
          </w:p>
        </w:tc>
        <w:tc>
          <w:tcPr>
            <w:tcW w:type="dxa" w:w="46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Traçabilité immuable de toutes les actions sensibles</w:t>
            </w:r>
          </w:p>
        </w:tc>
      </w:tr>
    </w:tbl>
    <w:p>
      <w:pPr>
        <w:pStyle w:val="Heading2"/>
        <w:spacing w:after="180" w:before="360"/>
      </w:pPr>
      <w:r>
        <w:rPr>
          <w:b/>
          <w:bCs/>
          <w:color w:val="2E5395"/>
          <w:sz w:val="26"/>
          <w:szCs w:val="26"/>
        </w:rPr>
        <w:t xml:space="preserve">3.4 Architecture en couches détaillée (backend FastAPI)</w:t>
      </w:r>
    </w:p>
    <w:p>
      <w:pPr>
        <w:spacing w:after="160" w:line="276"/>
        <w:jc w:val="both"/>
      </w:pPr>
      <w:r>
        <w:rPr>
          <w:color w:val="202020"/>
          <w:sz w:val="21"/>
          <w:szCs w:val="21"/>
        </w:rPr>
        <w:t xml:space="preserve">Au sein de chaque module, l'implémentation FastAPI respecte une décomposition en quatre couches physiques de fichiers, prolongeant la Clean Architecture en conventions de code concrètes et directement actionnables par l'équipe de développement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4400"/>
        <w:gridCol w:w="2400"/>
      </w:tblGrid>
      <w:tr>
        <w:trPr>
          <w:tblHeader/>
        </w:trPr>
        <w:tc>
          <w:tcPr>
            <w:tcW w:type="dxa" w:w="2800"/>
            <w:shd w:fill="1F3864" w:val="clear"/>
            <w:tcMar>
              <w:top w:type="dxa" w:w="100"/>
              <w:left w:type="dxa" w:w="120"/>
              <w:bottom w:type="dxa" w:w="100"/>
              <w:right w:type="dxa" w:w="120"/>
            </w:tcMar>
            <w:vAlign w:val="center"/>
          </w:tcPr>
          <w:p>
            <w:pPr>
              <w:jc w:val="left"/>
            </w:pPr>
            <w:r>
              <w:rPr>
                <w:b/>
                <w:bCs/>
                <w:color w:val="FFFFFF"/>
                <w:sz w:val="19"/>
                <w:szCs w:val="19"/>
              </w:rPr>
              <w:t xml:space="preserve">Couche</w:t>
            </w:r>
          </w:p>
        </w:tc>
        <w:tc>
          <w:tcPr>
            <w:tcW w:type="dxa" w:w="4400"/>
            <w:shd w:fill="1F3864" w:val="clear"/>
            <w:tcMar>
              <w:top w:type="dxa" w:w="100"/>
              <w:left w:type="dxa" w:w="120"/>
              <w:bottom w:type="dxa" w:w="100"/>
              <w:right w:type="dxa" w:w="120"/>
            </w:tcMar>
            <w:vAlign w:val="center"/>
          </w:tcPr>
          <w:p>
            <w:pPr>
              <w:jc w:val="left"/>
            </w:pPr>
            <w:r>
              <w:rPr>
                <w:b/>
                <w:bCs/>
                <w:color w:val="FFFFFF"/>
                <w:sz w:val="19"/>
                <w:szCs w:val="19"/>
              </w:rPr>
              <w:t xml:space="preserve">Contenu</w:t>
            </w:r>
          </w:p>
        </w:tc>
        <w:tc>
          <w:tcPr>
            <w:tcW w:type="dxa" w:w="2400"/>
            <w:shd w:fill="1F3864" w:val="clear"/>
            <w:tcMar>
              <w:top w:type="dxa" w:w="100"/>
              <w:left w:type="dxa" w:w="120"/>
              <w:bottom w:type="dxa" w:w="100"/>
              <w:right w:type="dxa" w:w="120"/>
            </w:tcMar>
            <w:vAlign w:val="center"/>
          </w:tcPr>
          <w:p>
            <w:pPr>
              <w:jc w:val="left"/>
            </w:pPr>
            <w:r>
              <w:rPr>
                <w:b/>
                <w:bCs/>
                <w:color w:val="FFFFFF"/>
                <w:sz w:val="19"/>
                <w:szCs w:val="19"/>
              </w:rPr>
              <w:t xml:space="preserve">Dépend de</w:t>
            </w:r>
          </w:p>
        </w:tc>
      </w:tr>
      <w:tr>
        <w:tc>
          <w:tcPr>
            <w:tcW w:type="dxa" w:w="28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Controllers (routers FastAPI)</w:t>
            </w:r>
          </w:p>
        </w:tc>
        <w:tc>
          <w:tcPr>
            <w:tcW w:type="dxa" w:w="44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Endpoints REST, validation d'entrée via Pydantic, sérialisation de sortie</w:t>
            </w:r>
          </w:p>
        </w:tc>
        <w:tc>
          <w:tcPr>
            <w:tcW w:type="dxa" w:w="24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Services (Application)</w:t>
            </w:r>
          </w:p>
        </w:tc>
      </w:tr>
      <w:tr>
        <w:tc>
          <w:tcPr>
            <w:tcW w:type="dxa" w:w="28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Services (Application)</w:t>
            </w:r>
          </w:p>
        </w:tc>
        <w:tc>
          <w:tcPr>
            <w:tcW w:type="dxa" w:w="44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Cas d'usage, orchestration, transactions, logique applicative</w:t>
            </w:r>
          </w:p>
        </w:tc>
        <w:tc>
          <w:tcPr>
            <w:tcW w:type="dxa" w:w="24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Repositories (interfaces) + Domaine</w:t>
            </w:r>
          </w:p>
        </w:tc>
      </w:tr>
      <w:tr>
        <w:tc>
          <w:tcPr>
            <w:tcW w:type="dxa" w:w="28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Repositories</w:t>
            </w:r>
          </w:p>
        </w:tc>
        <w:tc>
          <w:tcPr>
            <w:tcW w:type="dxa" w:w="44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Implémentations SQLAlchemy des interfaces de persistance définies dans le domaine</w:t>
            </w:r>
          </w:p>
        </w:tc>
        <w:tc>
          <w:tcPr>
            <w:tcW w:type="dxa" w:w="24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Modèles ORM, session DB</w:t>
            </w:r>
          </w:p>
        </w:tc>
      </w:tr>
      <w:tr>
        <w:tc>
          <w:tcPr>
            <w:tcW w:type="dxa" w:w="28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Domaine</w:t>
            </w:r>
          </w:p>
        </w:tc>
        <w:tc>
          <w:tcPr>
            <w:tcW w:type="dxa" w:w="44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Entités, Value Objects, règles métier pures, interfaces de repository (ports)</w:t>
            </w:r>
          </w:p>
        </w:tc>
        <w:tc>
          <w:tcPr>
            <w:tcW w:type="dxa" w:w="24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Rien (aucune dépendance externe)</w:t>
            </w:r>
          </w:p>
        </w:tc>
      </w:tr>
    </w:tbl>
    <w:p>
      <w:pPr>
        <w:pStyle w:val="Heading2"/>
        <w:spacing w:after="180" w:before="360"/>
      </w:pPr>
      <w:r>
        <w:rPr>
          <w:b/>
          <w:bCs/>
          <w:color w:val="2E5395"/>
          <w:sz w:val="26"/>
          <w:szCs w:val="26"/>
        </w:rPr>
        <w:t xml:space="preserve">3.5 Architecture logique globale</w:t>
      </w:r>
    </w:p>
    <w:tbl>
      <w:tblPr>
        <w:tblW w:type="pct" w:w="100%"/>
        <w:tblBorders>
          <w:top w:val="single" w:color="9DB4CE" w:sz="4"/>
          <w:left w:val="single" w:color="9DB4CE" w:sz="4"/>
          <w:bottom w:val="single" w:color="9DB4CE" w:sz="4"/>
          <w:right w:val="single" w:color="9DB4CE" w:sz="4"/>
          <w:insideH w:val="single" w:color="auto" w:sz="4"/>
          <w:insideV w:val="single" w:color="auto" w:sz="4"/>
        </w:tblBorders>
      </w:tblPr>
      <w:tblGrid>
        <w:gridCol w:w="100"/>
      </w:tblGrid>
      <w:tr>
        <w:tc>
          <w:tcPr>
            <w:shd w:fill="F7F9FC" w:val="clear"/>
            <w:tcMar>
              <w:top w:type="dxa" w:w="160"/>
              <w:left w:type="dxa" w:w="200"/>
              <w:bottom w:type="dxa" w:w="160"/>
              <w:right w:type="dxa" w:w="200"/>
            </w:tcMar>
          </w:tcPr>
          <w:p>
            <w:pPr>
              <w:spacing w:after="0"/>
            </w:pPr>
            <w:r>
              <w:rPr>
                <w:rFonts w:ascii="Consolas" w:cs="Consolas" w:eastAsia="Consolas" w:hAnsi="Consolas"/>
                <w:color w:val="1F3864"/>
                <w:sz w:val="13"/>
                <w:szCs w:val="13"/>
              </w:rPr>
              <w:t xml:space="preserve">┌────────────┐   HTTPS   ┌───────────────┐        ┌──────────────────────────────┐</w:t>
            </w:r>
          </w:p>
          <w:p>
            <w:pPr>
              <w:spacing w:after="0"/>
            </w:pPr>
            <w:r>
              <w:rPr>
                <w:rFonts w:ascii="Consolas" w:cs="Consolas" w:eastAsia="Consolas" w:hAnsi="Consolas"/>
                <w:color w:val="1F3864"/>
                <w:sz w:val="13"/>
                <w:szCs w:val="13"/>
              </w:rPr>
              <w:t xml:space="preserve">│  Frontend  │◄─────────►│  Reverse Proxy │◄──────►│         Backend FastAPI       │</w:t>
            </w:r>
          </w:p>
          <w:p>
            <w:pPr>
              <w:spacing w:after="0"/>
            </w:pPr>
            <w:r>
              <w:rPr>
                <w:rFonts w:ascii="Consolas" w:cs="Consolas" w:eastAsia="Consolas" w:hAnsi="Consolas"/>
                <w:color w:val="1F3864"/>
                <w:sz w:val="13"/>
                <w:szCs w:val="13"/>
              </w:rPr>
              <w:t xml:space="preserve">│ React/Next │            │     Nginx      │        │  (Monolithe modulaire)        │</w:t>
            </w:r>
          </w:p>
          <w:p>
            <w:pPr>
              <w:spacing w:after="0"/>
            </w:pPr>
            <w:r>
              <w:rPr>
                <w:rFonts w:ascii="Consolas" w:cs="Consolas" w:eastAsia="Consolas" w:hAnsi="Consolas"/>
                <w:color w:val="1F3864"/>
                <w:sz w:val="13"/>
                <w:szCs w:val="13"/>
              </w:rPr>
              <w:t xml:space="preserve">└────────────┘            └───────────────┘        │  ┌────────┐  ┌─────────────┐  │</w:t>
            </w:r>
          </w:p>
          <w:p>
            <w:pPr>
              <w:spacing w:after="0"/>
            </w:pPr>
            <w:r>
              <w:rPr>
                <w:rFonts w:ascii="Consolas" w:cs="Consolas" w:eastAsia="Consolas" w:hAnsi="Consolas"/>
                <w:color w:val="1F3864"/>
                <w:sz w:val="13"/>
                <w:szCs w:val="13"/>
              </w:rPr>
              <w:t xml:space="preserve">                                                     │  │  Auth  │  │  Monitoring │  │</w:t>
            </w:r>
          </w:p>
          <w:p>
            <w:pPr>
              <w:spacing w:after="0"/>
            </w:pPr>
            <w:r>
              <w:rPr>
                <w:rFonts w:ascii="Consolas" w:cs="Consolas" w:eastAsia="Consolas" w:hAnsi="Consolas"/>
                <w:color w:val="1F3864"/>
                <w:sz w:val="13"/>
                <w:szCs w:val="13"/>
              </w:rPr>
              <w:t xml:space="preserve">                                                     │  ├────────┤  ├─────────────┤  │</w:t>
            </w:r>
          </w:p>
          <w:p>
            <w:pPr>
              <w:spacing w:after="0"/>
            </w:pPr>
            <w:r>
              <w:rPr>
                <w:rFonts w:ascii="Consolas" w:cs="Consolas" w:eastAsia="Consolas" w:hAnsi="Consolas"/>
                <w:color w:val="1F3864"/>
                <w:sz w:val="13"/>
                <w:szCs w:val="13"/>
              </w:rPr>
              <w:t xml:space="preserve">                                                     │  │   IA   │  │   Alerting  │  │</w:t>
            </w:r>
          </w:p>
          <w:p>
            <w:pPr>
              <w:spacing w:after="0"/>
            </w:pPr>
            <w:r>
              <w:rPr>
                <w:rFonts w:ascii="Consolas" w:cs="Consolas" w:eastAsia="Consolas" w:hAnsi="Consolas"/>
                <w:color w:val="1F3864"/>
                <w:sz w:val="13"/>
                <w:szCs w:val="13"/>
              </w:rPr>
              <w:t xml:space="preserve">                                                     │  ├────────┤  ├─────────────┤  │</w:t>
            </w:r>
          </w:p>
          <w:p>
            <w:pPr>
              <w:spacing w:after="0"/>
            </w:pPr>
            <w:r>
              <w:rPr>
                <w:rFonts w:ascii="Consolas" w:cs="Consolas" w:eastAsia="Consolas" w:hAnsi="Consolas"/>
                <w:color w:val="1F3864"/>
                <w:sz w:val="13"/>
                <w:szCs w:val="13"/>
              </w:rPr>
              <w:t xml:space="preserve">                                                     │  │ Reco.  │  │    Audit    │  │</w:t>
            </w:r>
          </w:p>
          <w:p>
            <w:pPr>
              <w:spacing w:after="0"/>
            </w:pPr>
            <w:r>
              <w:rPr>
                <w:rFonts w:ascii="Consolas" w:cs="Consolas" w:eastAsia="Consolas" w:hAnsi="Consolas"/>
                <w:color w:val="1F3864"/>
                <w:sz w:val="13"/>
                <w:szCs w:val="13"/>
              </w:rPr>
              <w:t xml:space="preserve">                                                     │  └────────┘  └─────────────┘  │</w:t>
            </w:r>
          </w:p>
          <w:p>
            <w:pPr>
              <w:spacing w:after="0"/>
            </w:pPr>
            <w:r>
              <w:rPr>
                <w:rFonts w:ascii="Consolas" w:cs="Consolas" w:eastAsia="Consolas" w:hAnsi="Consolas"/>
                <w:color w:val="1F3864"/>
                <w:sz w:val="13"/>
                <w:szCs w:val="13"/>
              </w:rPr>
              <w:t xml:space="preserve">                                                     └───────┬───────────┬──────────┘</w:t>
            </w:r>
          </w:p>
          <w:p>
            <w:pPr>
              <w:spacing w:after="0"/>
            </w:pPr>
            <w:r>
              <w:rPr>
                <w:rFonts w:ascii="Consolas" w:cs="Consolas" w:eastAsia="Consolas" w:hAnsi="Consolas"/>
                <w:color w:val="1F3864"/>
                <w:sz w:val="13"/>
                <w:szCs w:val="13"/>
              </w:rPr>
              <w:t xml:space="preserve">                                    ┌────────────────────────┤           │</w:t>
            </w:r>
          </w:p>
          <w:p>
            <w:pPr>
              <w:spacing w:after="0"/>
            </w:pPr>
            <w:r>
              <w:rPr>
                <w:rFonts w:ascii="Consolas" w:cs="Consolas" w:eastAsia="Consolas" w:hAnsi="Consolas"/>
                <w:color w:val="1F3864"/>
                <w:sz w:val="13"/>
                <w:szCs w:val="13"/>
              </w:rPr>
              <w:t xml:space="preserve">                                    ▼                        ▼           ▼</w:t>
            </w:r>
          </w:p>
          <w:p>
            <w:pPr>
              <w:spacing w:after="0"/>
            </w:pPr>
            <w:r>
              <w:rPr>
                <w:rFonts w:ascii="Consolas" w:cs="Consolas" w:eastAsia="Consolas" w:hAnsi="Consolas"/>
                <w:color w:val="1F3864"/>
                <w:sz w:val="13"/>
                <w:szCs w:val="13"/>
              </w:rPr>
              <w:t xml:space="preserve">                          ┌──────────────────┐   ┌──────────────┐  ┌───────────────┐</w:t>
            </w:r>
          </w:p>
          <w:p>
            <w:pPr>
              <w:spacing w:after="0"/>
            </w:pPr>
            <w:r>
              <w:rPr>
                <w:rFonts w:ascii="Consolas" w:cs="Consolas" w:eastAsia="Consolas" w:hAnsi="Consolas"/>
                <w:color w:val="1F3864"/>
                <w:sz w:val="13"/>
                <w:szCs w:val="13"/>
              </w:rPr>
              <w:t xml:space="preserve">                          │ PostgreSQL +      │   │     Redis    │  │  Workers      │</w:t>
            </w:r>
          </w:p>
          <w:p>
            <w:pPr>
              <w:spacing w:after="0"/>
            </w:pPr>
            <w:r>
              <w:rPr>
                <w:rFonts w:ascii="Consolas" w:cs="Consolas" w:eastAsia="Consolas" w:hAnsi="Consolas"/>
                <w:color w:val="1F3864"/>
                <w:sz w:val="13"/>
                <w:szCs w:val="13"/>
              </w:rPr>
              <w:t xml:space="preserve">                          │ TimescaleDB       │   │ Cache/Broker │  │  Celery       │</w:t>
            </w:r>
          </w:p>
          <w:p>
            <w:pPr>
              <w:spacing w:after="0"/>
            </w:pPr>
            <w:r>
              <w:rPr>
                <w:rFonts w:ascii="Consolas" w:cs="Consolas" w:eastAsia="Consolas" w:hAnsi="Consolas"/>
                <w:color w:val="1F3864"/>
                <w:sz w:val="13"/>
                <w:szCs w:val="13"/>
              </w:rPr>
              <w:t xml:space="preserve">                          └──────────────────┘   └──────────────┘  └───────┬───────┘</w:t>
            </w:r>
          </w:p>
          <w:p>
            <w:pPr>
              <w:spacing w:after="0"/>
            </w:pPr>
            <w:r>
              <w:rPr>
                <w:rFonts w:ascii="Consolas" w:cs="Consolas" w:eastAsia="Consolas" w:hAnsi="Consolas"/>
                <w:color w:val="1F3864"/>
                <w:sz w:val="13"/>
                <w:szCs w:val="13"/>
              </w:rPr>
              <w:t xml:space="preserve">                                                                            ▼</w:t>
            </w:r>
          </w:p>
          <w:p>
            <w:pPr>
              <w:spacing w:after="0"/>
            </w:pPr>
            <w:r>
              <w:rPr>
                <w:rFonts w:ascii="Consolas" w:cs="Consolas" w:eastAsia="Consolas" w:hAnsi="Consolas"/>
                <w:color w:val="1F3864"/>
                <w:sz w:val="13"/>
                <w:szCs w:val="13"/>
              </w:rPr>
              <w:t xml:space="preserve">                                                                 ┌──────────────────┐</w:t>
            </w:r>
          </w:p>
          <w:p>
            <w:pPr>
              <w:spacing w:after="0"/>
            </w:pPr>
            <w:r>
              <w:rPr>
                <w:rFonts w:ascii="Consolas" w:cs="Consolas" w:eastAsia="Consolas" w:hAnsi="Consolas"/>
                <w:color w:val="1F3864"/>
                <w:sz w:val="13"/>
                <w:szCs w:val="13"/>
              </w:rPr>
              <w:t xml:space="preserve">                                                                 │  Serveurs Proxmox  │</w:t>
            </w:r>
          </w:p>
          <w:p>
            <w:pPr>
              <w:spacing w:after="0"/>
            </w:pPr>
            <w:r>
              <w:rPr>
                <w:rFonts w:ascii="Consolas" w:cs="Consolas" w:eastAsia="Consolas" w:hAnsi="Consolas"/>
                <w:color w:val="1F3864"/>
                <w:sz w:val="13"/>
                <w:szCs w:val="13"/>
              </w:rPr>
              <w:t xml:space="preserve">                                                                 │  (Proxmoxer API)   │</w:t>
            </w:r>
          </w:p>
          <w:p>
            <w:pPr>
              <w:spacing w:after="0"/>
            </w:pPr>
            <w:r>
              <w:rPr>
                <w:rFonts w:ascii="Consolas" w:cs="Consolas" w:eastAsia="Consolas" w:hAnsi="Consolas"/>
                <w:color w:val="1F3864"/>
                <w:sz w:val="13"/>
                <w:szCs w:val="13"/>
              </w:rPr>
              <w:t xml:space="preserve">                                                                 └──────────────────┘</w:t>
            </w:r>
          </w:p>
        </w:tc>
      </w:tr>
    </w:tbl>
    <w:p>
      <w:pPr>
        <w:spacing w:after="240" w:before="80"/>
        <w:jc w:val="center"/>
      </w:pPr>
      <w:r>
        <w:rPr>
          <w:i/>
          <w:iCs/>
          <w:color w:val="595959"/>
          <w:sz w:val="18"/>
          <w:szCs w:val="18"/>
        </w:rPr>
        <w:t xml:space="preserve">Figure 2 — Architecture logique globale de la plateforme</w:t>
      </w:r>
    </w:p>
    <w:p>
      <w:pPr>
        <w:pStyle w:val="Heading2"/>
        <w:spacing w:after="180" w:before="360"/>
      </w:pPr>
      <w:r>
        <w:rPr>
          <w:b/>
          <w:bCs/>
          <w:color w:val="2E5395"/>
          <w:sz w:val="26"/>
          <w:szCs w:val="26"/>
        </w:rPr>
        <w:t xml:space="preserve">3.6 Architecture physique / déploiement</w:t>
      </w:r>
    </w:p>
    <w:p>
      <w:pPr>
        <w:spacing w:after="160" w:line="276"/>
        <w:jc w:val="both"/>
      </w:pPr>
      <w:r>
        <w:rPr>
          <w:color w:val="202020"/>
          <w:sz w:val="21"/>
          <w:szCs w:val="21"/>
        </w:rPr>
        <w:t xml:space="preserve">La plateforme est packagée sous forme de conteneurs Docker orchestrés par Docker Compose, déployés sur un ou plusieurs hôtes Linux chez le client, distincts des hôtes Proxmox supervisés — afin d'éviter tout couplage de ressources entre la charge de supervision et la charge de virtualisation elle-même. Le détail des conteneurs, volumes et réseaux Docker est fourni dans la section 21 (Déploiement) et sur le diagramme de déploiement UML de la section 5.5.</w:t>
      </w:r>
    </w:p>
    <w:p>
      <w:r>
        <w:br w:type="page"/>
      </w:r>
    </w:p>
    <w:p>
      <w:pPr>
        <w:pStyle w:val="Heading1"/>
        <w:pBdr>
          <w:bottom w:val="single" w:color="2E5395" w:sz="8" w:space="4"/>
        </w:pBdr>
        <w:spacing w:after="240" w:before="480"/>
      </w:pPr>
      <w:r>
        <w:rPr>
          <w:b/>
          <w:bCs/>
          <w:color w:val="1F3864"/>
          <w:sz w:val="32"/>
          <w:szCs w:val="32"/>
        </w:rPr>
        <w:t xml:space="preserve">4. Modèle multi-tenant</w:t>
      </w:r>
    </w:p>
    <w:p>
      <w:pPr>
        <w:pStyle w:val="Heading2"/>
        <w:spacing w:after="180" w:before="360"/>
      </w:pPr>
      <w:r>
        <w:rPr>
          <w:b/>
          <w:bCs/>
          <w:color w:val="2E5395"/>
          <w:sz w:val="26"/>
          <w:szCs w:val="26"/>
        </w:rPr>
        <w:t xml:space="preserve">4.1 Hiérarchie des entités</w:t>
      </w:r>
    </w:p>
    <w:p>
      <w:pPr>
        <w:spacing w:after="160" w:line="276"/>
        <w:jc w:val="both"/>
      </w:pPr>
      <w:r>
        <w:rPr>
          <w:color w:val="202020"/>
          <w:sz w:val="21"/>
          <w:szCs w:val="21"/>
        </w:rPr>
        <w:t xml:space="preserve">La plateforme adopte un modèle multi-tenant à isolation logique (shared database, shared schema, discrimination par colonne tenant_id) plutôt qu'une isolation physique par base de données dédiée. Ce choix privilégie la simplicité opérationnelle on-premise et la facilité de maintenance d'un schéma unique, tout en garantissant l'étanchéité des données par l'application systématique d'un filtre tenant à chaque requête, imposé au niveau du repository et renforcé par des politiques Row-Level Security (RLS) PostgreSQL en défense en profondeur.</w:t>
      </w:r>
    </w:p>
    <w:tbl>
      <w:tblPr>
        <w:tblW w:type="pct" w:w="100%"/>
        <w:tblBorders>
          <w:top w:val="single" w:color="9DB4CE" w:sz="4"/>
          <w:left w:val="single" w:color="9DB4CE" w:sz="4"/>
          <w:bottom w:val="single" w:color="9DB4CE" w:sz="4"/>
          <w:right w:val="single" w:color="9DB4CE" w:sz="4"/>
          <w:insideH w:val="single" w:color="auto" w:sz="4"/>
          <w:insideV w:val="single" w:color="auto" w:sz="4"/>
        </w:tblBorders>
      </w:tblPr>
      <w:tblGrid>
        <w:gridCol w:w="100"/>
      </w:tblGrid>
      <w:tr>
        <w:tc>
          <w:tcPr>
            <w:shd w:fill="F7F9FC" w:val="clear"/>
            <w:tcMar>
              <w:top w:type="dxa" w:w="160"/>
              <w:left w:type="dxa" w:w="200"/>
              <w:bottom w:type="dxa" w:w="160"/>
              <w:right w:type="dxa" w:w="200"/>
            </w:tcMar>
          </w:tcPr>
          <w:p>
            <w:pPr>
              <w:spacing w:after="0"/>
            </w:pPr>
            <w:r>
              <w:rPr>
                <w:rFonts w:ascii="Consolas" w:cs="Consolas" w:eastAsia="Consolas" w:hAnsi="Consolas"/>
                <w:color w:val="1F3864"/>
                <w:sz w:val="13"/>
                <w:szCs w:val="13"/>
              </w:rPr>
              <w:t xml:space="preserve">Entreprise (tenant)</w:t>
            </w:r>
          </w:p>
          <w:p>
            <w:pPr>
              <w:spacing w:after="0"/>
            </w:pPr>
            <w:r>
              <w:rPr>
                <w:rFonts w:ascii="Consolas" w:cs="Consolas" w:eastAsia="Consolas" w:hAnsi="Consolas"/>
                <w:color w:val="1F3864"/>
                <w:sz w:val="13"/>
                <w:szCs w:val="13"/>
              </w:rPr>
              <w:t xml:space="preserve">  └─ 1..N Utilisateurs (rôles RBAC)</w:t>
            </w:r>
          </w:p>
          <w:p>
            <w:pPr>
              <w:spacing w:after="0"/>
            </w:pPr>
            <w:r>
              <w:rPr>
                <w:rFonts w:ascii="Consolas" w:cs="Consolas" w:eastAsia="Consolas" w:hAnsi="Consolas"/>
                <w:color w:val="1F3864"/>
                <w:sz w:val="13"/>
                <w:szCs w:val="13"/>
              </w:rPr>
              <w:t xml:space="preserve">        └─ 1..N Serveurs Proxmox (connexion, API token)</w:t>
            </w:r>
          </w:p>
          <w:p>
            <w:pPr>
              <w:spacing w:after="0"/>
            </w:pPr>
            <w:r>
              <w:rPr>
                <w:rFonts w:ascii="Consolas" w:cs="Consolas" w:eastAsia="Consolas" w:hAnsi="Consolas"/>
                <w:color w:val="1F3864"/>
                <w:sz w:val="13"/>
                <w:szCs w:val="13"/>
              </w:rPr>
              <w:t xml:space="preserve">              └─ 1..N Nodes (physiques, appartenant au serveur)</w:t>
            </w:r>
          </w:p>
          <w:p>
            <w:pPr>
              <w:spacing w:after="0"/>
            </w:pPr>
            <w:r>
              <w:rPr>
                <w:rFonts w:ascii="Consolas" w:cs="Consolas" w:eastAsia="Consolas" w:hAnsi="Consolas"/>
                <w:color w:val="1F3864"/>
                <w:sz w:val="13"/>
                <w:szCs w:val="13"/>
              </w:rPr>
              <w:t xml:space="preserve">                    └─ 1..N VM (machines virtuelles)</w:t>
            </w:r>
          </w:p>
          <w:p>
            <w:pPr>
              <w:spacing w:after="0"/>
            </w:pPr>
            <w:r>
              <w:rPr>
                <w:rFonts w:ascii="Consolas" w:cs="Consolas" w:eastAsia="Consolas" w:hAnsi="Consolas"/>
                <w:color w:val="1F3864"/>
                <w:sz w:val="13"/>
                <w:szCs w:val="13"/>
              </w:rPr>
              <w:t xml:space="preserve">                          ├─ 1..N Métriques (série temporelle)</w:t>
            </w:r>
          </w:p>
          <w:p>
            <w:pPr>
              <w:spacing w:after="0"/>
            </w:pPr>
            <w:r>
              <w:rPr>
                <w:rFonts w:ascii="Consolas" w:cs="Consolas" w:eastAsia="Consolas" w:hAnsi="Consolas"/>
                <w:color w:val="1F3864"/>
                <w:sz w:val="13"/>
                <w:szCs w:val="13"/>
              </w:rPr>
              <w:t xml:space="preserve">                          ├─ 0..N Alertes</w:t>
            </w:r>
          </w:p>
          <w:p>
            <w:pPr>
              <w:spacing w:after="0"/>
            </w:pPr>
            <w:r>
              <w:rPr>
                <w:rFonts w:ascii="Consolas" w:cs="Consolas" w:eastAsia="Consolas" w:hAnsi="Consolas"/>
                <w:color w:val="1F3864"/>
                <w:sz w:val="13"/>
                <w:szCs w:val="13"/>
              </w:rPr>
              <w:t xml:space="preserve">                          └─ 0..N Recommandations</w:t>
            </w:r>
          </w:p>
        </w:tc>
      </w:tr>
    </w:tbl>
    <w:p>
      <w:pPr>
        <w:spacing w:after="240" w:before="80"/>
        <w:jc w:val="center"/>
      </w:pPr>
      <w:r>
        <w:rPr>
          <w:i/>
          <w:iCs/>
          <w:color w:val="595959"/>
          <w:sz w:val="18"/>
          <w:szCs w:val="18"/>
        </w:rPr>
        <w:t xml:space="preserve">Figure 3 — Hiérarchie multi-tenant de la plateforme</w:t>
      </w:r>
    </w:p>
    <w:p>
      <w:pPr>
        <w:pStyle w:val="Heading2"/>
        <w:spacing w:after="180" w:before="360"/>
      </w:pPr>
      <w:r>
        <w:rPr>
          <w:b/>
          <w:bCs/>
          <w:color w:val="2E5395"/>
          <w:sz w:val="26"/>
          <w:szCs w:val="26"/>
        </w:rPr>
        <w:t xml:space="preserve">4.2 Isolation et sécurité des données</w:t>
      </w:r>
    </w:p>
    <w:p>
      <w:pPr>
        <w:pStyle w:val="ListParagraph"/>
        <w:numPr>
          <w:ilvl w:val="0"/>
          <w:numId w:val="1"/>
        </w:numPr>
        <w:spacing w:after="80"/>
      </w:pPr>
      <w:r>
        <w:rPr>
          <w:color w:val="202020"/>
          <w:sz w:val="21"/>
          <w:szCs w:val="21"/>
        </w:rPr>
        <w:t xml:space="preserve">Toute requête applicative est automatiquement scopée par company_id, injecté depuis le JWT de l'utilisateur authentifié — jamais fourni par le client en paramètre libre.</w:t>
      </w:r>
    </w:p>
    <w:p>
      <w:pPr>
        <w:pStyle w:val="ListParagraph"/>
        <w:numPr>
          <w:ilvl w:val="0"/>
          <w:numId w:val="1"/>
        </w:numPr>
        <w:spacing w:after="80"/>
      </w:pPr>
      <w:r>
        <w:rPr>
          <w:color w:val="202020"/>
          <w:sz w:val="21"/>
          <w:szCs w:val="21"/>
        </w:rPr>
        <w:t xml:space="preserve">Des politiques Row-Level Security PostgreSQL constituent une seconde barrière indépendante du code applicatif, empêchant une régression logicielle d'exposer les données d'un autre tenant.</w:t>
      </w:r>
    </w:p>
    <w:p>
      <w:pPr>
        <w:pStyle w:val="ListParagraph"/>
        <w:numPr>
          <w:ilvl w:val="0"/>
          <w:numId w:val="1"/>
        </w:numPr>
        <w:spacing w:after="80"/>
      </w:pPr>
      <w:r>
        <w:rPr>
          <w:color w:val="202020"/>
          <w:sz w:val="21"/>
          <w:szCs w:val="21"/>
        </w:rPr>
        <w:t xml:space="preserve">Les identifiants techniques exposés en API sont des UUID non séquentiels, évitant toute énumération d'identifiants inter-tenant.</w:t>
      </w:r>
    </w:p>
    <w:p>
      <w:pPr>
        <w:pStyle w:val="ListParagraph"/>
        <w:numPr>
          <w:ilvl w:val="0"/>
          <w:numId w:val="1"/>
        </w:numPr>
        <w:spacing w:after="80"/>
      </w:pPr>
      <w:r>
        <w:rPr>
          <w:color w:val="202020"/>
          <w:sz w:val="21"/>
          <w:szCs w:val="21"/>
        </w:rPr>
        <w:t xml:space="preserve">Les jobs Celery de collecte et d'inférence IA sont paramétrés par tenant et ne partagent aucun état en mémoire entre entreprises.</w:t>
      </w:r>
    </w:p>
    <w:p>
      <w:r>
        <w:br w:type="page"/>
      </w:r>
    </w:p>
    <w:p>
      <w:pPr>
        <w:pStyle w:val="Heading1"/>
        <w:pBdr>
          <w:bottom w:val="single" w:color="2E5395" w:sz="8" w:space="4"/>
        </w:pBdr>
        <w:spacing w:after="240" w:before="480"/>
      </w:pPr>
      <w:r>
        <w:rPr>
          <w:b/>
          <w:bCs/>
          <w:color w:val="1F3864"/>
          <w:sz w:val="32"/>
          <w:szCs w:val="32"/>
        </w:rPr>
        <w:t xml:space="preserve">5. Diagrammes UML 2.5</w:t>
      </w:r>
    </w:p>
    <w:p>
      <w:pPr>
        <w:spacing w:after="200"/>
      </w:pPr>
      <w:r>
        <w:rPr>
          <w:i/>
          <w:iCs/>
          <w:color w:val="595959"/>
          <w:sz w:val="21"/>
          <w:szCs w:val="21"/>
        </w:rPr>
        <w:t xml:space="preserve">L'ensemble des vues UML normalisées est fourni ci-dessous : cas d'utilisation, classes, objets, paquetages, déploiement, composants, communication, structure composite, activité, états-transitions, séquence, temps et vue d'ensemble des interactions. Chaque diagramme est accompagné d'une lecture commentée.</w:t>
      </w:r>
    </w:p>
    <w:p>
      <w:pPr>
        <w:pStyle w:val="Heading2"/>
        <w:spacing w:after="180" w:before="360"/>
      </w:pPr>
      <w:r>
        <w:rPr>
          <w:b/>
          <w:bCs/>
          <w:color w:val="2E5395"/>
          <w:sz w:val="26"/>
          <w:szCs w:val="26"/>
        </w:rPr>
        <w:t xml:space="preserve">5.1 Diagramme de cas d'utilisation (Use Case Diagram)</w:t>
      </w:r>
    </w:p>
    <w:tbl>
      <w:tblPr>
        <w:tblW w:type="pct" w:w="100%"/>
        <w:tblBorders>
          <w:top w:val="single" w:color="9DB4CE" w:sz="4"/>
          <w:left w:val="single" w:color="9DB4CE" w:sz="4"/>
          <w:bottom w:val="single" w:color="9DB4CE" w:sz="4"/>
          <w:right w:val="single" w:color="9DB4CE" w:sz="4"/>
          <w:insideH w:val="single" w:color="auto" w:sz="4"/>
          <w:insideV w:val="single" w:color="auto" w:sz="4"/>
        </w:tblBorders>
      </w:tblPr>
      <w:tblGrid>
        <w:gridCol w:w="100"/>
      </w:tblGrid>
      <w:tr>
        <w:tc>
          <w:tcPr>
            <w:shd w:fill="F7F9FC" w:val="clear"/>
            <w:tcMar>
              <w:top w:type="dxa" w:w="160"/>
              <w:left w:type="dxa" w:w="200"/>
              <w:bottom w:type="dxa" w:w="160"/>
              <w:right w:type="dxa" w:w="200"/>
            </w:tcMar>
          </w:tcPr>
          <w:p>
            <w:pPr>
              <w:spacing w:after="0"/>
            </w:pPr>
            <w:r>
              <w:rPr>
                <w:rFonts w:ascii="Consolas" w:cs="Consolas" w:eastAsia="Consolas" w:hAnsi="Consolas"/>
                <w:color w:val="1F3864"/>
                <w:sz w:val="13"/>
                <w:szCs w:val="13"/>
              </w:rPr>
              <w:t xml:space="preserve">                     ┌─────────────────────────────────────────────┐</w:t>
            </w:r>
          </w:p>
          <w:p>
            <w:pPr>
              <w:spacing w:after="0"/>
            </w:pPr>
            <w:r>
              <w:rPr>
                <w:rFonts w:ascii="Consolas" w:cs="Consolas" w:eastAsia="Consolas" w:hAnsi="Consolas"/>
                <w:color w:val="1F3864"/>
                <w:sz w:val="13"/>
                <w:szCs w:val="13"/>
              </w:rPr>
              <w:t xml:space="preserve">                     │              Plateforme de Supervision        │</w:t>
            </w:r>
          </w:p>
          <w:p>
            <w:pPr>
              <w:spacing w:after="0"/>
            </w:pPr>
            <w:r>
              <w:rPr>
                <w:rFonts w:ascii="Consolas" w:cs="Consolas" w:eastAsia="Consolas" w:hAnsi="Consolas"/>
                <w:color w:val="1F3864"/>
                <w:sz w:val="13"/>
                <w:szCs w:val="13"/>
              </w:rPr>
              <w:t xml:space="preserve">  (Admin Entreprise)  │  ┌───────────────────────┐                   │</w:t>
            </w:r>
          </w:p>
          <w:p>
            <w:pPr>
              <w:spacing w:after="0"/>
            </w:pPr>
            <w:r>
              <w:rPr>
                <w:rFonts w:ascii="Consolas" w:cs="Consolas" w:eastAsia="Consolas" w:hAnsi="Consolas"/>
                <w:color w:val="1F3864"/>
                <w:sz w:val="13"/>
                <w:szCs w:val="13"/>
              </w:rPr>
              <w:t xml:space="preserve">        ○─────────────┼─►│ Gérer utilisateurs      │                  │</w:t>
            </w:r>
          </w:p>
          <w:p>
            <w:pPr>
              <w:spacing w:after="0"/>
            </w:pPr>
            <w:r>
              <w:rPr>
                <w:rFonts w:ascii="Consolas" w:cs="Consolas" w:eastAsia="Consolas" w:hAnsi="Consolas"/>
                <w:color w:val="1F3864"/>
                <w:sz w:val="13"/>
                <w:szCs w:val="13"/>
              </w:rPr>
              <w:t xml:space="preserve">       /│\            │  └───────────────────────┘                   │</w:t>
            </w:r>
          </w:p>
          <w:p>
            <w:pPr>
              <w:spacing w:after="0"/>
            </w:pPr>
            <w:r>
              <w:rPr>
                <w:rFonts w:ascii="Consolas" w:cs="Consolas" w:eastAsia="Consolas" w:hAnsi="Consolas"/>
                <w:color w:val="1F3864"/>
                <w:sz w:val="13"/>
                <w:szCs w:val="13"/>
              </w:rPr>
              <w:t xml:space="preserve">        │             │  ┌───────────────────────┐                   │</w:t>
            </w:r>
          </w:p>
          <w:p>
            <w:pPr>
              <w:spacing w:after="0"/>
            </w:pPr>
            <w:r>
              <w:rPr>
                <w:rFonts w:ascii="Consolas" w:cs="Consolas" w:eastAsia="Consolas" w:hAnsi="Consolas"/>
                <w:color w:val="1F3864"/>
                <w:sz w:val="13"/>
                <w:szCs w:val="13"/>
              </w:rPr>
              <w:t xml:space="preserve">       / \────────────┼─►│ Connecter serveur Proxmox│                 │</w:t>
            </w:r>
          </w:p>
          <w:p>
            <w:pPr>
              <w:spacing w:after="0"/>
            </w:pPr>
            <w:r>
              <w:rPr>
                <w:rFonts w:ascii="Consolas" w:cs="Consolas" w:eastAsia="Consolas" w:hAnsi="Consolas"/>
                <w:color w:val="1F3864"/>
                <w:sz w:val="13"/>
                <w:szCs w:val="13"/>
              </w:rPr>
              <w:t xml:space="preserve">                       │  └───────────────────────┘                   │</w:t>
            </w:r>
          </w:p>
          <w:p>
            <w:pPr>
              <w:spacing w:after="0"/>
            </w:pPr>
            <w:r>
              <w:rPr>
                <w:rFonts w:ascii="Consolas" w:cs="Consolas" w:eastAsia="Consolas" w:hAnsi="Consolas"/>
                <w:color w:val="1F3864"/>
                <w:sz w:val="13"/>
                <w:szCs w:val="13"/>
              </w:rPr>
              <w:t xml:space="preserve">  (Opérateur)          │  ┌───────────────────────┐                   │</w:t>
            </w:r>
          </w:p>
          <w:p>
            <w:pPr>
              <w:spacing w:after="0"/>
            </w:pPr>
            <w:r>
              <w:rPr>
                <w:rFonts w:ascii="Consolas" w:cs="Consolas" w:eastAsia="Consolas" w:hAnsi="Consolas"/>
                <w:color w:val="1F3864"/>
                <w:sz w:val="13"/>
                <w:szCs w:val="13"/>
              </w:rPr>
              <w:t xml:space="preserve">        ○──────────────┼─►│ Consulter tableau de bord│                │</w:t>
            </w:r>
          </w:p>
          <w:p>
            <w:pPr>
              <w:spacing w:after="0"/>
            </w:pPr>
            <w:r>
              <w:rPr>
                <w:rFonts w:ascii="Consolas" w:cs="Consolas" w:eastAsia="Consolas" w:hAnsi="Consolas"/>
                <w:color w:val="1F3864"/>
                <w:sz w:val="13"/>
                <w:szCs w:val="13"/>
              </w:rPr>
              <w:t xml:space="preserve">       /│\             │  └───────────────────────┘                   │</w:t>
            </w:r>
          </w:p>
          <w:p>
            <w:pPr>
              <w:spacing w:after="0"/>
            </w:pPr>
            <w:r>
              <w:rPr>
                <w:rFonts w:ascii="Consolas" w:cs="Consolas" w:eastAsia="Consolas" w:hAnsi="Consolas"/>
                <w:color w:val="1F3864"/>
                <w:sz w:val="13"/>
                <w:szCs w:val="13"/>
              </w:rPr>
              <w:t xml:space="preserve">        │              │  ┌───────────────────────┐                   │</w:t>
            </w:r>
          </w:p>
          <w:p>
            <w:pPr>
              <w:spacing w:after="0"/>
            </w:pPr>
            <w:r>
              <w:rPr>
                <w:rFonts w:ascii="Consolas" w:cs="Consolas" w:eastAsia="Consolas" w:hAnsi="Consolas"/>
                <w:color w:val="1F3864"/>
                <w:sz w:val="13"/>
                <w:szCs w:val="13"/>
              </w:rPr>
              <w:t xml:space="preserve">       / \─────────────┼─►│ Traiter une alerte       │                │</w:t>
            </w:r>
          </w:p>
          <w:p>
            <w:pPr>
              <w:spacing w:after="0"/>
            </w:pPr>
            <w:r>
              <w:rPr>
                <w:rFonts w:ascii="Consolas" w:cs="Consolas" w:eastAsia="Consolas" w:hAnsi="Consolas"/>
                <w:color w:val="1F3864"/>
                <w:sz w:val="13"/>
                <w:szCs w:val="13"/>
              </w:rPr>
              <w:t xml:space="preserve">                        │  └──────────┬────────────┘                  │</w:t>
            </w:r>
          </w:p>
          <w:p>
            <w:pPr>
              <w:spacing w:after="0"/>
            </w:pPr>
            <w:r>
              <w:rPr>
                <w:rFonts w:ascii="Consolas" w:cs="Consolas" w:eastAsia="Consolas" w:hAnsi="Consolas"/>
                <w:color w:val="1F3864"/>
                <w:sz w:val="13"/>
                <w:szCs w:val="13"/>
              </w:rPr>
              <w:t xml:space="preserve">                        │             │ &lt;&lt;include&gt;&gt;                   │</w:t>
            </w:r>
          </w:p>
          <w:p>
            <w:pPr>
              <w:spacing w:after="0"/>
            </w:pPr>
            <w:r>
              <w:rPr>
                <w:rFonts w:ascii="Consolas" w:cs="Consolas" w:eastAsia="Consolas" w:hAnsi="Consolas"/>
                <w:color w:val="1F3864"/>
                <w:sz w:val="13"/>
                <w:szCs w:val="13"/>
              </w:rPr>
              <w:t xml:space="preserve">                        │             ▼                               │</w:t>
            </w:r>
          </w:p>
          <w:p>
            <w:pPr>
              <w:spacing w:after="0"/>
            </w:pPr>
            <w:r>
              <w:rPr>
                <w:rFonts w:ascii="Consolas" w:cs="Consolas" w:eastAsia="Consolas" w:hAnsi="Consolas"/>
                <w:color w:val="1F3864"/>
                <w:sz w:val="13"/>
                <w:szCs w:val="13"/>
              </w:rPr>
              <w:t xml:space="preserve">                        │  ┌───────────────────────┐                  │</w:t>
            </w:r>
          </w:p>
          <w:p>
            <w:pPr>
              <w:spacing w:after="0"/>
            </w:pPr>
            <w:r>
              <w:rPr>
                <w:rFonts w:ascii="Consolas" w:cs="Consolas" w:eastAsia="Consolas" w:hAnsi="Consolas"/>
                <w:color w:val="1F3864"/>
                <w:sz w:val="13"/>
                <w:szCs w:val="13"/>
              </w:rPr>
              <w:t xml:space="preserve">                        │  │ Consulter recommandation │                │</w:t>
            </w:r>
          </w:p>
          <w:p>
            <w:pPr>
              <w:spacing w:after="0"/>
            </w:pPr>
            <w:r>
              <w:rPr>
                <w:rFonts w:ascii="Consolas" w:cs="Consolas" w:eastAsia="Consolas" w:hAnsi="Consolas"/>
                <w:color w:val="1F3864"/>
                <w:sz w:val="13"/>
                <w:szCs w:val="13"/>
              </w:rPr>
              <w:t xml:space="preserve">                        │  └───────────────────────┘                  │</w:t>
            </w:r>
          </w:p>
          <w:p>
            <w:pPr>
              <w:spacing w:after="0"/>
            </w:pPr>
            <w:r>
              <w:rPr>
                <w:rFonts w:ascii="Consolas" w:cs="Consolas" w:eastAsia="Consolas" w:hAnsi="Consolas"/>
                <w:color w:val="1F3864"/>
                <w:sz w:val="13"/>
                <w:szCs w:val="13"/>
              </w:rPr>
              <w:t xml:space="preserve">  (Auditeur)            │  ┌───────────────────────┐                  │</w:t>
            </w:r>
          </w:p>
          <w:p>
            <w:pPr>
              <w:spacing w:after="0"/>
            </w:pPr>
            <w:r>
              <w:rPr>
                <w:rFonts w:ascii="Consolas" w:cs="Consolas" w:eastAsia="Consolas" w:hAnsi="Consolas"/>
                <w:color w:val="1F3864"/>
                <w:sz w:val="13"/>
                <w:szCs w:val="13"/>
              </w:rPr>
              <w:t xml:space="preserve">        ○───────────────┼─►│ Consulter journal d'audit│                │</w:t>
            </w:r>
          </w:p>
          <w:p>
            <w:pPr>
              <w:spacing w:after="0"/>
            </w:pPr>
            <w:r>
              <w:rPr>
                <w:rFonts w:ascii="Consolas" w:cs="Consolas" w:eastAsia="Consolas" w:hAnsi="Consolas"/>
                <w:color w:val="1F3864"/>
                <w:sz w:val="13"/>
                <w:szCs w:val="13"/>
              </w:rPr>
              <w:t xml:space="preserve">       /│\              │  └───────────────────────┘                  │</w:t>
            </w:r>
          </w:p>
          <w:p>
            <w:pPr>
              <w:spacing w:after="0"/>
            </w:pPr>
            <w:r>
              <w:rPr>
                <w:rFonts w:ascii="Consolas" w:cs="Consolas" w:eastAsia="Consolas" w:hAnsi="Consolas"/>
                <w:color w:val="1F3864"/>
                <w:sz w:val="13"/>
                <w:szCs w:val="13"/>
              </w:rPr>
              <w:t xml:space="preserve">        │               │  ┌───────────────────────┐                  │</w:t>
            </w:r>
          </w:p>
          <w:p>
            <w:pPr>
              <w:spacing w:after="0"/>
            </w:pPr>
            <w:r>
              <w:rPr>
                <w:rFonts w:ascii="Consolas" w:cs="Consolas" w:eastAsia="Consolas" w:hAnsi="Consolas"/>
                <w:color w:val="1F3864"/>
                <w:sz w:val="13"/>
                <w:szCs w:val="13"/>
              </w:rPr>
              <w:t xml:space="preserve">       / \──────────────┼─►│ Exporter rapport          │              │</w:t>
            </w:r>
          </w:p>
          <w:p>
            <w:pPr>
              <w:spacing w:after="0"/>
            </w:pPr>
            <w:r>
              <w:rPr>
                <w:rFonts w:ascii="Consolas" w:cs="Consolas" w:eastAsia="Consolas" w:hAnsi="Consolas"/>
                <w:color w:val="1F3864"/>
                <w:sz w:val="13"/>
                <w:szCs w:val="13"/>
              </w:rPr>
              <w:t xml:space="preserve">                         │  └───────────────────────┘                 │</w:t>
            </w:r>
          </w:p>
          <w:p>
            <w:pPr>
              <w:spacing w:after="0"/>
            </w:pPr>
            <w:r>
              <w:rPr>
                <w:rFonts w:ascii="Consolas" w:cs="Consolas" w:eastAsia="Consolas" w:hAnsi="Consolas"/>
                <w:color w:val="1F3864"/>
                <w:sz w:val="13"/>
                <w:szCs w:val="13"/>
              </w:rPr>
              <w:t xml:space="preserve">  (Système IA) ○ ─ ─ ─ ─┼─►┌───────────────────────┐  &lt;&lt;extend&gt;&gt;      │</w:t>
            </w:r>
          </w:p>
          <w:p>
            <w:pPr>
              <w:spacing w:after="0"/>
            </w:pPr>
            <w:r>
              <w:rPr>
                <w:rFonts w:ascii="Consolas" w:cs="Consolas" w:eastAsia="Consolas" w:hAnsi="Consolas"/>
                <w:color w:val="1F3864"/>
                <w:sz w:val="13"/>
                <w:szCs w:val="13"/>
              </w:rPr>
              <w:t xml:space="preserve">  (acteur secondaire)    │  │ Générer prédiction        │◄────────────┤</w:t>
            </w:r>
          </w:p>
          <w:p>
            <w:pPr>
              <w:spacing w:after="0"/>
            </w:pPr>
            <w:r>
              <w:rPr>
                <w:rFonts w:ascii="Consolas" w:cs="Consolas" w:eastAsia="Consolas" w:hAnsi="Consolas"/>
                <w:color w:val="1F3864"/>
                <w:sz w:val="13"/>
                <w:szCs w:val="13"/>
              </w:rPr>
              <w:t xml:space="preserve">                         │  └───────────────────────┘                 │</w:t>
            </w:r>
          </w:p>
          <w:p>
            <w:pPr>
              <w:spacing w:after="0"/>
            </w:pPr>
            <w:r>
              <w:rPr>
                <w:rFonts w:ascii="Consolas" w:cs="Consolas" w:eastAsia="Consolas" w:hAnsi="Consolas"/>
                <w:color w:val="1F3864"/>
                <w:sz w:val="13"/>
                <w:szCs w:val="13"/>
              </w:rPr>
              <w:t xml:space="preserve">                         └─────────────────────────────────────────────┘</w:t>
            </w:r>
          </w:p>
        </w:tc>
      </w:tr>
    </w:tbl>
    <w:p>
      <w:pPr>
        <w:spacing w:after="240" w:before="80"/>
        <w:jc w:val="center"/>
      </w:pPr>
      <w:r>
        <w:rPr>
          <w:i/>
          <w:iCs/>
          <w:color w:val="595959"/>
          <w:sz w:val="18"/>
          <w:szCs w:val="18"/>
        </w:rPr>
        <w:t xml:space="preserve">Figure 4 — Diagramme de cas d'utilisation (acteurs principaux : Admin Entreprise, Opérateur, Auditeur ; acteur secondaire automatisé : Système IA)</w:t>
      </w:r>
    </w:p>
    <w:p>
      <w:pPr>
        <w:spacing w:after="160" w:line="276"/>
        <w:jc w:val="both"/>
      </w:pPr>
      <w:r>
        <w:rPr>
          <w:color w:val="202020"/>
          <w:sz w:val="21"/>
          <w:szCs w:val="21"/>
        </w:rPr>
        <w:t xml:space="preserve">Ce diagramme met en évidence quatre acteurs. L'Administrateur Entreprise gère le référentiel (utilisateurs, connexions Proxmox). L'Opérateur consulte le tableau de bord et traite les alertes, cas d'usage qui inclut systématiquement la consultation de la recommandation associée (relation &lt;&lt;include&gt;&gt;). L'Auditeur dispose d'un accès en lecture au journal d'audit et peut exporter des rapports de conformité. Le Système IA est un acteur secondaire non humain qui étend le cas d'usage « Traiter une alerte » en générant automatiquement une prédiction de risque en arrière-plan.</w:t>
      </w:r>
    </w:p>
    <w:p>
      <w:pPr>
        <w:pStyle w:val="Heading2"/>
        <w:spacing w:after="180" w:before="360"/>
      </w:pPr>
      <w:r>
        <w:rPr>
          <w:b/>
          <w:bCs/>
          <w:color w:val="2E5395"/>
          <w:sz w:val="26"/>
          <w:szCs w:val="26"/>
        </w:rPr>
        <w:t xml:space="preserve">5.2 Diagramme de classes (Class Diagram)</w:t>
      </w:r>
    </w:p>
    <w:tbl>
      <w:tblPr>
        <w:tblW w:type="pct" w:w="100%"/>
        <w:tblBorders>
          <w:top w:val="single" w:color="9DB4CE" w:sz="4"/>
          <w:left w:val="single" w:color="9DB4CE" w:sz="4"/>
          <w:bottom w:val="single" w:color="9DB4CE" w:sz="4"/>
          <w:right w:val="single" w:color="9DB4CE" w:sz="4"/>
          <w:insideH w:val="single" w:color="auto" w:sz="4"/>
          <w:insideV w:val="single" w:color="auto" w:sz="4"/>
        </w:tblBorders>
      </w:tblPr>
      <w:tblGrid>
        <w:gridCol w:w="100"/>
      </w:tblGrid>
      <w:tr>
        <w:tc>
          <w:tcPr>
            <w:shd w:fill="F7F9FC" w:val="clear"/>
            <w:tcMar>
              <w:top w:type="dxa" w:w="160"/>
              <w:left w:type="dxa" w:w="200"/>
              <w:bottom w:type="dxa" w:w="160"/>
              <w:right w:type="dxa" w:w="200"/>
            </w:tcMar>
          </w:tcPr>
          <w:p>
            <w:pPr>
              <w:spacing w:after="0"/>
            </w:pPr>
            <w:r>
              <w:rPr>
                <w:rFonts w:ascii="Consolas" w:cs="Consolas" w:eastAsia="Consolas" w:hAnsi="Consolas"/>
                <w:color w:val="1F3864"/>
                <w:sz w:val="13"/>
                <w:szCs w:val="13"/>
              </w:rPr>
              <w:t xml:space="preserve">┌───────────────────┐        ┌──────────────────┐        ┌───────────────────┐</w:t>
            </w:r>
          </w:p>
          <w:p>
            <w:pPr>
              <w:spacing w:after="0"/>
            </w:pPr>
            <w:r>
              <w:rPr>
                <w:rFonts w:ascii="Consolas" w:cs="Consolas" w:eastAsia="Consolas" w:hAnsi="Consolas"/>
                <w:color w:val="1F3864"/>
                <w:sz w:val="13"/>
                <w:szCs w:val="13"/>
              </w:rPr>
              <w:t xml:space="preserve">│     Company        │1      *│      User         │1      *│    Server          │</w:t>
            </w:r>
          </w:p>
          <w:p>
            <w:pPr>
              <w:spacing w:after="0"/>
            </w:pPr>
            <w:r>
              <w:rPr>
                <w:rFonts w:ascii="Consolas" w:cs="Consolas" w:eastAsia="Consolas" w:hAnsi="Consolas"/>
                <w:color w:val="1F3864"/>
                <w:sz w:val="13"/>
                <w:szCs w:val="13"/>
              </w:rPr>
              <w:t xml:space="preserve">├───────────────────┤◄───────┤──────────────────┤        ├───────────────────┤</w:t>
            </w:r>
          </w:p>
          <w:p>
            <w:pPr>
              <w:spacing w:after="0"/>
            </w:pPr>
            <w:r>
              <w:rPr>
                <w:rFonts w:ascii="Consolas" w:cs="Consolas" w:eastAsia="Consolas" w:hAnsi="Consolas"/>
                <w:color w:val="1F3864"/>
                <w:sz w:val="13"/>
                <w:szCs w:val="13"/>
              </w:rPr>
              <w:t xml:space="preserve">│-id: UUID            │        │-id: UUID          │◄───────┤-id: UUID            │</w:t>
            </w:r>
          </w:p>
          <w:p>
            <w:pPr>
              <w:spacing w:after="0"/>
            </w:pPr>
            <w:r>
              <w:rPr>
                <w:rFonts w:ascii="Consolas" w:cs="Consolas" w:eastAsia="Consolas" w:hAnsi="Consolas"/>
                <w:color w:val="1F3864"/>
                <w:sz w:val="13"/>
                <w:szCs w:val="13"/>
              </w:rPr>
              <w:t xml:space="preserve">│-name: str           │        │-email: str        │  1   * │-host: str           │</w:t>
            </w:r>
          </w:p>
          <w:p>
            <w:pPr>
              <w:spacing w:after="0"/>
            </w:pPr>
            <w:r>
              <w:rPr>
                <w:rFonts w:ascii="Consolas" w:cs="Consolas" w:eastAsia="Consolas" w:hAnsi="Consolas"/>
                <w:color w:val="1F3864"/>
                <w:sz w:val="13"/>
                <w:szCs w:val="13"/>
              </w:rPr>
              <w:t xml:space="preserve">│-createdAt: datetime │        │-passwordHash: str │        │-apiTokenId: str     │</w:t>
            </w:r>
          </w:p>
          <w:p>
            <w:pPr>
              <w:spacing w:after="0"/>
            </w:pPr>
            <w:r>
              <w:rPr>
                <w:rFonts w:ascii="Consolas" w:cs="Consolas" w:eastAsia="Consolas" w:hAnsi="Consolas"/>
                <w:color w:val="1F3864"/>
                <w:sz w:val="13"/>
                <w:szCs w:val="13"/>
              </w:rPr>
              <w:t xml:space="preserve">├───────────────────┤        │-role: Role        │        │-apiTokenSecret: str │</w:t>
            </w:r>
          </w:p>
          <w:p>
            <w:pPr>
              <w:spacing w:after="0"/>
            </w:pPr>
            <w:r>
              <w:rPr>
                <w:rFonts w:ascii="Consolas" w:cs="Consolas" w:eastAsia="Consolas" w:hAnsi="Consolas"/>
                <w:color w:val="1F3864"/>
                <w:sz w:val="13"/>
                <w:szCs w:val="13"/>
              </w:rPr>
              <w:t xml:space="preserve">│+addUser()           │        ├──────────────────┤        ├───────────────────┤</w:t>
            </w:r>
          </w:p>
          <w:p>
            <w:pPr>
              <w:spacing w:after="0"/>
            </w:pPr>
            <w:r>
              <w:rPr>
                <w:rFonts w:ascii="Consolas" w:cs="Consolas" w:eastAsia="Consolas" w:hAnsi="Consolas"/>
                <w:color w:val="1F3864"/>
                <w:sz w:val="13"/>
                <w:szCs w:val="13"/>
              </w:rPr>
              <w:t xml:space="preserve">│+listServers()       │        │+authenticate()    │        │+testConnection()    │</w:t>
            </w:r>
          </w:p>
          <w:p>
            <w:pPr>
              <w:spacing w:after="0"/>
            </w:pPr>
            <w:r>
              <w:rPr>
                <w:rFonts w:ascii="Consolas" w:cs="Consolas" w:eastAsia="Consolas" w:hAnsi="Consolas"/>
                <w:color w:val="1F3864"/>
                <w:sz w:val="13"/>
                <w:szCs w:val="13"/>
              </w:rPr>
              <w:t xml:space="preserve">└───────────────────┘        │+hasPermission()   │        │+listNodes()         │</w:t>
            </w:r>
          </w:p>
          <w:p>
            <w:pPr>
              <w:spacing w:after="0"/>
            </w:pPr>
            <w:r>
              <w:rPr>
                <w:rFonts w:ascii="Consolas" w:cs="Consolas" w:eastAsia="Consolas" w:hAnsi="Consolas"/>
                <w:color w:val="1F3864"/>
                <w:sz w:val="13"/>
                <w:szCs w:val="13"/>
              </w:rPr>
              <w:t xml:space="preserve">                                └──────────────────┘        └─────────┬─────────┘</w:t>
            </w:r>
          </w:p>
          <w:p>
            <w:pPr>
              <w:spacing w:after="0"/>
            </w:pPr>
            <w:r>
              <w:rPr>
                <w:rFonts w:ascii="Consolas" w:cs="Consolas" w:eastAsia="Consolas" w:hAnsi="Consolas"/>
                <w:color w:val="1F3864"/>
                <w:sz w:val="13"/>
                <w:szCs w:val="13"/>
              </w:rPr>
              <w:t xml:space="preserve">                                                                       │1</w:t>
            </w:r>
          </w:p>
          <w:p>
            <w:pPr>
              <w:spacing w:after="0"/>
            </w:pPr>
            <w:r>
              <w:rPr>
                <w:rFonts w:ascii="Consolas" w:cs="Consolas" w:eastAsia="Consolas" w:hAnsi="Consolas"/>
                <w:color w:val="1F3864"/>
                <w:sz w:val="13"/>
                <w:szCs w:val="13"/>
              </w:rPr>
              <w:t xml:space="preserve">                                                                       │</w:t>
            </w:r>
          </w:p>
          <w:p>
            <w:pPr>
              <w:spacing w:after="0"/>
            </w:pPr>
            <w:r>
              <w:rPr>
                <w:rFonts w:ascii="Consolas" w:cs="Consolas" w:eastAsia="Consolas" w:hAnsi="Consolas"/>
                <w:color w:val="1F3864"/>
                <w:sz w:val="13"/>
                <w:szCs w:val="13"/>
              </w:rPr>
              <w:t xml:space="preserve">                                                                       │*</w:t>
            </w:r>
          </w:p>
          <w:p>
            <w:pPr>
              <w:spacing w:after="0"/>
            </w:pPr>
            <w:r>
              <w:rPr>
                <w:rFonts w:ascii="Consolas" w:cs="Consolas" w:eastAsia="Consolas" w:hAnsi="Consolas"/>
                <w:color w:val="1F3864"/>
                <w:sz w:val="13"/>
                <w:szCs w:val="13"/>
              </w:rPr>
              <w:t xml:space="preserve">                                                              ┌───────────────────┐</w:t>
            </w:r>
          </w:p>
          <w:p>
            <w:pPr>
              <w:spacing w:after="0"/>
            </w:pPr>
            <w:r>
              <w:rPr>
                <w:rFonts w:ascii="Consolas" w:cs="Consolas" w:eastAsia="Consolas" w:hAnsi="Consolas"/>
                <w:color w:val="1F3864"/>
                <w:sz w:val="13"/>
                <w:szCs w:val="13"/>
              </w:rPr>
              <w:t xml:space="preserve">                                                              │      Node          │</w:t>
            </w:r>
          </w:p>
          <w:p>
            <w:pPr>
              <w:spacing w:after="0"/>
            </w:pPr>
            <w:r>
              <w:rPr>
                <w:rFonts w:ascii="Consolas" w:cs="Consolas" w:eastAsia="Consolas" w:hAnsi="Consolas"/>
                <w:color w:val="1F3864"/>
                <w:sz w:val="13"/>
                <w:szCs w:val="13"/>
              </w:rPr>
              <w:t xml:space="preserve">                                                              ├───────────────────┤</w:t>
            </w:r>
          </w:p>
          <w:p>
            <w:pPr>
              <w:spacing w:after="0"/>
            </w:pPr>
            <w:r>
              <w:rPr>
                <w:rFonts w:ascii="Consolas" w:cs="Consolas" w:eastAsia="Consolas" w:hAnsi="Consolas"/>
                <w:color w:val="1F3864"/>
                <w:sz w:val="13"/>
                <w:szCs w:val="13"/>
              </w:rPr>
              <w:t xml:space="preserve">                                                              │-id: UUID            │</w:t>
            </w:r>
          </w:p>
          <w:p>
            <w:pPr>
              <w:spacing w:after="0"/>
            </w:pPr>
            <w:r>
              <w:rPr>
                <w:rFonts w:ascii="Consolas" w:cs="Consolas" w:eastAsia="Consolas" w:hAnsi="Consolas"/>
                <w:color w:val="1F3864"/>
                <w:sz w:val="13"/>
                <w:szCs w:val="13"/>
              </w:rPr>
              <w:t xml:space="preserve">                                                              │-name: str           │</w:t>
            </w:r>
          </w:p>
          <w:p>
            <w:pPr>
              <w:spacing w:after="0"/>
            </w:pPr>
            <w:r>
              <w:rPr>
                <w:rFonts w:ascii="Consolas" w:cs="Consolas" w:eastAsia="Consolas" w:hAnsi="Consolas"/>
                <w:color w:val="1F3864"/>
                <w:sz w:val="13"/>
                <w:szCs w:val="13"/>
              </w:rPr>
              <w:t xml:space="preserve">                                                              │-status: NodeStatus  │</w:t>
            </w:r>
          </w:p>
          <w:p>
            <w:pPr>
              <w:spacing w:after="0"/>
            </w:pPr>
            <w:r>
              <w:rPr>
                <w:rFonts w:ascii="Consolas" w:cs="Consolas" w:eastAsia="Consolas" w:hAnsi="Consolas"/>
                <w:color w:val="1F3864"/>
                <w:sz w:val="13"/>
                <w:szCs w:val="13"/>
              </w:rPr>
              <w:t xml:space="preserve">                                                              └─────────┬─────────┘</w:t>
            </w:r>
          </w:p>
          <w:p>
            <w:pPr>
              <w:spacing w:after="0"/>
            </w:pPr>
            <w:r>
              <w:rPr>
                <w:rFonts w:ascii="Consolas" w:cs="Consolas" w:eastAsia="Consolas" w:hAnsi="Consolas"/>
                <w:color w:val="1F3864"/>
                <w:sz w:val="13"/>
                <w:szCs w:val="13"/>
              </w:rPr>
              <w:t xml:space="preserve">                                                                        │1</w:t>
            </w:r>
          </w:p>
          <w:p>
            <w:pPr>
              <w:spacing w:after="0"/>
            </w:pPr>
            <w:r>
              <w:rPr>
                <w:rFonts w:ascii="Consolas" w:cs="Consolas" w:eastAsia="Consolas" w:hAnsi="Consolas"/>
                <w:color w:val="1F3864"/>
                <w:sz w:val="13"/>
                <w:szCs w:val="13"/>
              </w:rPr>
              <w:t xml:space="preserve">                                                                        │</w:t>
            </w:r>
          </w:p>
          <w:p>
            <w:pPr>
              <w:spacing w:after="0"/>
            </w:pPr>
            <w:r>
              <w:rPr>
                <w:rFonts w:ascii="Consolas" w:cs="Consolas" w:eastAsia="Consolas" w:hAnsi="Consolas"/>
                <w:color w:val="1F3864"/>
                <w:sz w:val="13"/>
                <w:szCs w:val="13"/>
              </w:rPr>
              <w:t xml:space="preserve">                                                                        │*</w:t>
            </w:r>
          </w:p>
          <w:p>
            <w:pPr>
              <w:spacing w:after="0"/>
            </w:pPr>
            <w:r>
              <w:rPr>
                <w:rFonts w:ascii="Consolas" w:cs="Consolas" w:eastAsia="Consolas" w:hAnsi="Consolas"/>
                <w:color w:val="1F3864"/>
                <w:sz w:val="13"/>
                <w:szCs w:val="13"/>
              </w:rPr>
              <w:t xml:space="preserve">                                                              ┌───────────────────┐</w:t>
            </w:r>
          </w:p>
          <w:p>
            <w:pPr>
              <w:spacing w:after="0"/>
            </w:pPr>
            <w:r>
              <w:rPr>
                <w:rFonts w:ascii="Consolas" w:cs="Consolas" w:eastAsia="Consolas" w:hAnsi="Consolas"/>
                <w:color w:val="1F3864"/>
                <w:sz w:val="13"/>
                <w:szCs w:val="13"/>
              </w:rPr>
              <w:t xml:space="preserve">                                                              │       VM            │</w:t>
            </w:r>
          </w:p>
          <w:p>
            <w:pPr>
              <w:spacing w:after="0"/>
            </w:pPr>
            <w:r>
              <w:rPr>
                <w:rFonts w:ascii="Consolas" w:cs="Consolas" w:eastAsia="Consolas" w:hAnsi="Consolas"/>
                <w:color w:val="1F3864"/>
                <w:sz w:val="13"/>
                <w:szCs w:val="13"/>
              </w:rPr>
              <w:t xml:space="preserve">                                                              ├───────────────────┤</w:t>
            </w:r>
          </w:p>
          <w:p>
            <w:pPr>
              <w:spacing w:after="0"/>
            </w:pPr>
            <w:r>
              <w:rPr>
                <w:rFonts w:ascii="Consolas" w:cs="Consolas" w:eastAsia="Consolas" w:hAnsi="Consolas"/>
                <w:color w:val="1F3864"/>
                <w:sz w:val="13"/>
                <w:szCs w:val="13"/>
              </w:rPr>
              <w:t xml:space="preserve">                                                              │-id: UUID            │</w:t>
            </w:r>
          </w:p>
          <w:p>
            <w:pPr>
              <w:spacing w:after="0"/>
            </w:pPr>
            <w:r>
              <w:rPr>
                <w:rFonts w:ascii="Consolas" w:cs="Consolas" w:eastAsia="Consolas" w:hAnsi="Consolas"/>
                <w:color w:val="1F3864"/>
                <w:sz w:val="13"/>
                <w:szCs w:val="13"/>
              </w:rPr>
              <w:t xml:space="preserve">                                                              │-vmid: int           │</w:t>
            </w:r>
          </w:p>
          <w:p>
            <w:pPr>
              <w:spacing w:after="0"/>
            </w:pPr>
            <w:r>
              <w:rPr>
                <w:rFonts w:ascii="Consolas" w:cs="Consolas" w:eastAsia="Consolas" w:hAnsi="Consolas"/>
                <w:color w:val="1F3864"/>
                <w:sz w:val="13"/>
                <w:szCs w:val="13"/>
              </w:rPr>
              <w:t xml:space="preserve">                                                              │-name: str           │</w:t>
            </w:r>
          </w:p>
          <w:p>
            <w:pPr>
              <w:spacing w:after="0"/>
            </w:pPr>
            <w:r>
              <w:rPr>
                <w:rFonts w:ascii="Consolas" w:cs="Consolas" w:eastAsia="Consolas" w:hAnsi="Consolas"/>
                <w:color w:val="1F3864"/>
                <w:sz w:val="13"/>
                <w:szCs w:val="13"/>
              </w:rPr>
              <w:t xml:space="preserve">                                                              │-diskSizeGb: float   │</w:t>
            </w:r>
          </w:p>
          <w:p>
            <w:pPr>
              <w:spacing w:after="0"/>
            </w:pPr>
            <w:r>
              <w:rPr>
                <w:rFonts w:ascii="Consolas" w:cs="Consolas" w:eastAsia="Consolas" w:hAnsi="Consolas"/>
                <w:color w:val="1F3864"/>
                <w:sz w:val="13"/>
                <w:szCs w:val="13"/>
              </w:rPr>
              <w:t xml:space="preserve">                                                              ├───────────────────┤</w:t>
            </w:r>
          </w:p>
          <w:p>
            <w:pPr>
              <w:spacing w:after="0"/>
            </w:pPr>
            <w:r>
              <w:rPr>
                <w:rFonts w:ascii="Consolas" w:cs="Consolas" w:eastAsia="Consolas" w:hAnsi="Consolas"/>
                <w:color w:val="1F3864"/>
                <w:sz w:val="13"/>
                <w:szCs w:val="13"/>
              </w:rPr>
              <w:t xml:space="preserve">                                                              │+computeRiskScore()  │</w:t>
            </w:r>
          </w:p>
          <w:p>
            <w:pPr>
              <w:spacing w:after="0"/>
            </w:pPr>
            <w:r>
              <w:rPr>
                <w:rFonts w:ascii="Consolas" w:cs="Consolas" w:eastAsia="Consolas" w:hAnsi="Consolas"/>
                <w:color w:val="1F3864"/>
                <w:sz w:val="13"/>
                <w:szCs w:val="13"/>
              </w:rPr>
              <w:t xml:space="preserve">                                                              └──┬────────┬───────┘</w:t>
            </w:r>
          </w:p>
          <w:p>
            <w:pPr>
              <w:spacing w:after="0"/>
            </w:pPr>
            <w:r>
              <w:rPr>
                <w:rFonts w:ascii="Consolas" w:cs="Consolas" w:eastAsia="Consolas" w:hAnsi="Consolas"/>
                <w:color w:val="1F3864"/>
                <w:sz w:val="13"/>
                <w:szCs w:val="13"/>
              </w:rPr>
              <w:t xml:space="preserve">                                             1 ┌──────────────────┘        └─────────────┐ 1</w:t>
            </w:r>
          </w:p>
          <w:p>
            <w:pPr>
              <w:spacing w:after="0"/>
            </w:pPr>
            <w:r>
              <w:rPr>
                <w:rFonts w:ascii="Consolas" w:cs="Consolas" w:eastAsia="Consolas" w:hAnsi="Consolas"/>
                <w:color w:val="1F3864"/>
                <w:sz w:val="13"/>
                <w:szCs w:val="13"/>
              </w:rPr>
              <w:t xml:space="preserve">                                               │*                                          │*</w:t>
            </w:r>
          </w:p>
          <w:p>
            <w:pPr>
              <w:spacing w:after="0"/>
            </w:pPr>
            <w:r>
              <w:rPr>
                <w:rFonts w:ascii="Consolas" w:cs="Consolas" w:eastAsia="Consolas" w:hAnsi="Consolas"/>
                <w:color w:val="1F3864"/>
                <w:sz w:val="13"/>
                <w:szCs w:val="13"/>
              </w:rPr>
              <w:t xml:space="preserve">                                     ┌───────────────────┐                      ┌───────────────────┐</w:t>
            </w:r>
          </w:p>
          <w:p>
            <w:pPr>
              <w:spacing w:after="0"/>
            </w:pPr>
            <w:r>
              <w:rPr>
                <w:rFonts w:ascii="Consolas" w:cs="Consolas" w:eastAsia="Consolas" w:hAnsi="Consolas"/>
                <w:color w:val="1F3864"/>
                <w:sz w:val="13"/>
                <w:szCs w:val="13"/>
              </w:rPr>
              <w:t xml:space="preserve">                                     │      Metric         │                      │      Alert          │</w:t>
            </w:r>
          </w:p>
          <w:p>
            <w:pPr>
              <w:spacing w:after="0"/>
            </w:pPr>
            <w:r>
              <w:rPr>
                <w:rFonts w:ascii="Consolas" w:cs="Consolas" w:eastAsia="Consolas" w:hAnsi="Consolas"/>
                <w:color w:val="1F3864"/>
                <w:sz w:val="13"/>
                <w:szCs w:val="13"/>
              </w:rPr>
              <w:t xml:space="preserve">                                     ├───────────────────┤                      ├───────────────────┤</w:t>
            </w:r>
          </w:p>
          <w:p>
            <w:pPr>
              <w:spacing w:after="0"/>
            </w:pPr>
            <w:r>
              <w:rPr>
                <w:rFonts w:ascii="Consolas" w:cs="Consolas" w:eastAsia="Consolas" w:hAnsi="Consolas"/>
                <w:color w:val="1F3864"/>
                <w:sz w:val="13"/>
                <w:szCs w:val="13"/>
              </w:rPr>
              <w:t xml:space="preserve">                                     │-timestamp: datetime │                      │-level: AlertLevel   │</w:t>
            </w:r>
          </w:p>
          <w:p>
            <w:pPr>
              <w:spacing w:after="0"/>
            </w:pPr>
            <w:r>
              <w:rPr>
                <w:rFonts w:ascii="Consolas" w:cs="Consolas" w:eastAsia="Consolas" w:hAnsi="Consolas"/>
                <w:color w:val="1F3864"/>
                <w:sz w:val="13"/>
                <w:szCs w:val="13"/>
              </w:rPr>
              <w:t xml:space="preserve">                                     │-cpuPct: float        │                      │-status: AlertStatus │</w:t>
            </w:r>
          </w:p>
          <w:p>
            <w:pPr>
              <w:spacing w:after="0"/>
            </w:pPr>
            <w:r>
              <w:rPr>
                <w:rFonts w:ascii="Consolas" w:cs="Consolas" w:eastAsia="Consolas" w:hAnsi="Consolas"/>
                <w:color w:val="1F3864"/>
                <w:sz w:val="13"/>
                <w:szCs w:val="13"/>
              </w:rPr>
              <w:t xml:space="preserve">                                     │-diskUsedGb: float    │                      │-message: str        │</w:t>
            </w:r>
          </w:p>
          <w:p>
            <w:pPr>
              <w:spacing w:after="0"/>
            </w:pPr>
            <w:r>
              <w:rPr>
                <w:rFonts w:ascii="Consolas" w:cs="Consolas" w:eastAsia="Consolas" w:hAnsi="Consolas"/>
                <w:color w:val="1F3864"/>
                <w:sz w:val="13"/>
                <w:szCs w:val="13"/>
              </w:rPr>
              <w:t xml:space="preserve">                                     └───────────────────┘                      ├───────────────────┤</w:t>
            </w:r>
          </w:p>
          <w:p>
            <w:pPr>
              <w:spacing w:after="0"/>
            </w:pPr>
            <w:r>
              <w:rPr>
                <w:rFonts w:ascii="Consolas" w:cs="Consolas" w:eastAsia="Consolas" w:hAnsi="Consolas"/>
                <w:color w:val="1F3864"/>
                <w:sz w:val="13"/>
                <w:szCs w:val="13"/>
              </w:rPr>
              <w:t xml:space="preserve">                                                                                  │+acknowledge()       │</w:t>
            </w:r>
          </w:p>
          <w:p>
            <w:pPr>
              <w:spacing w:after="0"/>
            </w:pPr>
            <w:r>
              <w:rPr>
                <w:rFonts w:ascii="Consolas" w:cs="Consolas" w:eastAsia="Consolas" w:hAnsi="Consolas"/>
                <w:color w:val="1F3864"/>
                <w:sz w:val="13"/>
                <w:szCs w:val="13"/>
              </w:rPr>
              <w:t xml:space="preserve">                                                                                  └─────────┬─────────┘</w:t>
            </w:r>
          </w:p>
          <w:p>
            <w:pPr>
              <w:spacing w:after="0"/>
            </w:pPr>
            <w:r>
              <w:rPr>
                <w:rFonts w:ascii="Consolas" w:cs="Consolas" w:eastAsia="Consolas" w:hAnsi="Consolas"/>
                <w:color w:val="1F3864"/>
                <w:sz w:val="13"/>
                <w:szCs w:val="13"/>
              </w:rPr>
              <w:t xml:space="preserve">                                                                                              │1</w:t>
            </w:r>
          </w:p>
          <w:p>
            <w:pPr>
              <w:spacing w:after="0"/>
            </w:pPr>
            <w:r>
              <w:rPr>
                <w:rFonts w:ascii="Consolas" w:cs="Consolas" w:eastAsia="Consolas" w:hAnsi="Consolas"/>
                <w:color w:val="1F3864"/>
                <w:sz w:val="13"/>
                <w:szCs w:val="13"/>
              </w:rPr>
              <w:t xml:space="preserve">                                                                                              │*</w:t>
            </w:r>
          </w:p>
          <w:p>
            <w:pPr>
              <w:spacing w:after="0"/>
            </w:pPr>
            <w:r>
              <w:rPr>
                <w:rFonts w:ascii="Consolas" w:cs="Consolas" w:eastAsia="Consolas" w:hAnsi="Consolas"/>
                <w:color w:val="1F3864"/>
                <w:sz w:val="13"/>
                <w:szCs w:val="13"/>
              </w:rPr>
              <w:t xml:space="preserve">                                                                                    ┌───────────────────┐</w:t>
            </w:r>
          </w:p>
          <w:p>
            <w:pPr>
              <w:spacing w:after="0"/>
            </w:pPr>
            <w:r>
              <w:rPr>
                <w:rFonts w:ascii="Consolas" w:cs="Consolas" w:eastAsia="Consolas" w:hAnsi="Consolas"/>
                <w:color w:val="1F3864"/>
                <w:sz w:val="13"/>
                <w:szCs w:val="13"/>
              </w:rPr>
              <w:t xml:space="preserve">                                                                                    │  Recommendation      │</w:t>
            </w:r>
          </w:p>
          <w:p>
            <w:pPr>
              <w:spacing w:after="0"/>
            </w:pPr>
            <w:r>
              <w:rPr>
                <w:rFonts w:ascii="Consolas" w:cs="Consolas" w:eastAsia="Consolas" w:hAnsi="Consolas"/>
                <w:color w:val="1F3864"/>
                <w:sz w:val="13"/>
                <w:szCs w:val="13"/>
              </w:rPr>
              <w:t xml:space="preserve">                                                                                    ├───────────────────┤</w:t>
            </w:r>
          </w:p>
          <w:p>
            <w:pPr>
              <w:spacing w:after="0"/>
            </w:pPr>
            <w:r>
              <w:rPr>
                <w:rFonts w:ascii="Consolas" w:cs="Consolas" w:eastAsia="Consolas" w:hAnsi="Consolas"/>
                <w:color w:val="1F3864"/>
                <w:sz w:val="13"/>
                <w:szCs w:val="13"/>
              </w:rPr>
              <w:t xml:space="preserve">                                                                                    │-action: ActionType   │</w:t>
            </w:r>
          </w:p>
          <w:p>
            <w:pPr>
              <w:spacing w:after="0"/>
            </w:pPr>
            <w:r>
              <w:rPr>
                <w:rFonts w:ascii="Consolas" w:cs="Consolas" w:eastAsia="Consolas" w:hAnsi="Consolas"/>
                <w:color w:val="1F3864"/>
                <w:sz w:val="13"/>
                <w:szCs w:val="13"/>
              </w:rPr>
              <w:t xml:space="preserve">                                                                                    │-priority: int         │</w:t>
            </w:r>
          </w:p>
          <w:p>
            <w:pPr>
              <w:spacing w:after="0"/>
            </w:pPr>
            <w:r>
              <w:rPr>
                <w:rFonts w:ascii="Consolas" w:cs="Consolas" w:eastAsia="Consolas" w:hAnsi="Consolas"/>
                <w:color w:val="1F3864"/>
                <w:sz w:val="13"/>
                <w:szCs w:val="13"/>
              </w:rPr>
              <w:t xml:space="preserve">                                                                                    └───────────────────┘</w:t>
            </w:r>
          </w:p>
        </w:tc>
      </w:tr>
    </w:tbl>
    <w:p>
      <w:pPr>
        <w:spacing w:after="240" w:before="80"/>
        <w:jc w:val="center"/>
      </w:pPr>
      <w:r>
        <w:rPr>
          <w:i/>
          <w:iCs/>
          <w:color w:val="595959"/>
          <w:sz w:val="18"/>
          <w:szCs w:val="18"/>
        </w:rPr>
        <w:t xml:space="preserve">Figure 5 — Diagramme de classes du domaine (attributs et opérations principaux ; cardinalités 1..* sur chaque agrégation)</w:t>
      </w:r>
    </w:p>
    <w:p>
      <w:pPr>
        <w:spacing w:after="160" w:line="276"/>
        <w:jc w:val="both"/>
      </w:pPr>
      <w:r>
        <w:rPr>
          <w:color w:val="202020"/>
          <w:sz w:val="21"/>
          <w:szCs w:val="21"/>
        </w:rPr>
        <w:t xml:space="preserve">Le domaine expose des agrégats fortement typés : Company est la racine du tenant, User porte le rôle RBAC, Server encapsule les identifiants d'API Token Proxmox (chiffrés au repos), Node et VM reproduisent la hiérarchie native de Proxmox, tandis que Metric, Alert et Recommendation forment les agrégats produits par les modules de supervision, d'alerting et de recommandation respectivement. Les classes énumérées Role, AlertLevel, AlertStatus, NodeStatus et ActionType sont représentées comme des Value Objects immuables au sens DDD.</w:t>
      </w:r>
    </w:p>
    <w:p>
      <w:pPr>
        <w:pStyle w:val="Heading2"/>
        <w:spacing w:after="180" w:before="360"/>
      </w:pPr>
      <w:r>
        <w:rPr>
          <w:b/>
          <w:bCs/>
          <w:color w:val="2E5395"/>
          <w:sz w:val="26"/>
          <w:szCs w:val="26"/>
        </w:rPr>
        <w:t xml:space="preserve">5.3 Diagramme d'objets (Object Diagram)</w:t>
      </w:r>
    </w:p>
    <w:tbl>
      <w:tblPr>
        <w:tblW w:type="pct" w:w="100%"/>
        <w:tblBorders>
          <w:top w:val="single" w:color="9DB4CE" w:sz="4"/>
          <w:left w:val="single" w:color="9DB4CE" w:sz="4"/>
          <w:bottom w:val="single" w:color="9DB4CE" w:sz="4"/>
          <w:right w:val="single" w:color="9DB4CE" w:sz="4"/>
          <w:insideH w:val="single" w:color="auto" w:sz="4"/>
          <w:insideV w:val="single" w:color="auto" w:sz="4"/>
        </w:tblBorders>
      </w:tblPr>
      <w:tblGrid>
        <w:gridCol w:w="100"/>
      </w:tblGrid>
      <w:tr>
        <w:tc>
          <w:tcPr>
            <w:shd w:fill="F7F9FC" w:val="clear"/>
            <w:tcMar>
              <w:top w:type="dxa" w:w="160"/>
              <w:left w:type="dxa" w:w="200"/>
              <w:bottom w:type="dxa" w:w="160"/>
              <w:right w:type="dxa" w:w="200"/>
            </w:tcMar>
          </w:tcPr>
          <w:p>
            <w:pPr>
              <w:spacing w:after="0"/>
            </w:pPr>
            <w:r>
              <w:rPr>
                <w:rFonts w:ascii="Consolas" w:cs="Consolas" w:eastAsia="Consolas" w:hAnsi="Consolas"/>
                <w:color w:val="1F3864"/>
                <w:sz w:val="13"/>
                <w:szCs w:val="13"/>
              </w:rPr>
              <w:t xml:space="preserve">  srv1:Server                    node1:Node                     vm42:VM</w:t>
            </w:r>
          </w:p>
          <w:p>
            <w:pPr>
              <w:spacing w:after="0"/>
            </w:pPr>
            <w:r>
              <w:rPr>
                <w:rFonts w:ascii="Consolas" w:cs="Consolas" w:eastAsia="Consolas" w:hAnsi="Consolas"/>
                <w:color w:val="1F3864"/>
                <w:sz w:val="13"/>
                <w:szCs w:val="13"/>
              </w:rPr>
              <w:t xml:space="preserve">  ┌─────────────────┐            ┌─────────────────┐            ┌─────────────────┐</w:t>
            </w:r>
          </w:p>
          <w:p>
            <w:pPr>
              <w:spacing w:after="0"/>
            </w:pPr>
            <w:r>
              <w:rPr>
                <w:rFonts w:ascii="Consolas" w:cs="Consolas" w:eastAsia="Consolas" w:hAnsi="Consolas"/>
                <w:color w:val="1F3864"/>
                <w:sz w:val="13"/>
                <w:szCs w:val="13"/>
              </w:rPr>
              <w:t xml:space="preserve">  │ host="pve01.local" │──────────►│ name="pve-node1"  │──────────►│ vmid=142          │</w:t>
            </w:r>
          </w:p>
          <w:p>
            <w:pPr>
              <w:spacing w:after="0"/>
            </w:pPr>
            <w:r>
              <w:rPr>
                <w:rFonts w:ascii="Consolas" w:cs="Consolas" w:eastAsia="Consolas" w:hAnsi="Consolas"/>
                <w:color w:val="1F3864"/>
                <w:sz w:val="13"/>
                <w:szCs w:val="13"/>
              </w:rPr>
              <w:t xml:space="preserve">  │ id=e3a1…             │            │ status=ONLINE      │            │ name="web-prod-02" │</w:t>
            </w:r>
          </w:p>
          <w:p>
            <w:pPr>
              <w:spacing w:after="0"/>
            </w:pPr>
            <w:r>
              <w:rPr>
                <w:rFonts w:ascii="Consolas" w:cs="Consolas" w:eastAsia="Consolas" w:hAnsi="Consolas"/>
                <w:color w:val="1F3864"/>
                <w:sz w:val="13"/>
                <w:szCs w:val="13"/>
              </w:rPr>
              <w:t xml:space="preserve">  └─────────────────┘            └─────────────────┘            │ diskSizeGb=200      │</w:t>
            </w:r>
          </w:p>
          <w:p>
            <w:pPr>
              <w:spacing w:after="0"/>
            </w:pPr>
            <w:r>
              <w:rPr>
                <w:rFonts w:ascii="Consolas" w:cs="Consolas" w:eastAsia="Consolas" w:hAnsi="Consolas"/>
                <w:color w:val="1F3864"/>
                <w:sz w:val="13"/>
                <w:szCs w:val="13"/>
              </w:rPr>
              <w:t xml:space="preserve">                                                                  └────────┬────────┘</w:t>
            </w:r>
          </w:p>
          <w:p>
            <w:pPr>
              <w:spacing w:after="0"/>
            </w:pPr>
            <w:r>
              <w:rPr>
                <w:rFonts w:ascii="Consolas" w:cs="Consolas" w:eastAsia="Consolas" w:hAnsi="Consolas"/>
                <w:color w:val="1F3864"/>
                <w:sz w:val="13"/>
                <w:szCs w:val="13"/>
              </w:rPr>
              <w:t xml:space="preserve">                                                                           │</w:t>
            </w:r>
          </w:p>
          <w:p>
            <w:pPr>
              <w:spacing w:after="0"/>
            </w:pPr>
            <w:r>
              <w:rPr>
                <w:rFonts w:ascii="Consolas" w:cs="Consolas" w:eastAsia="Consolas" w:hAnsi="Consolas"/>
                <w:color w:val="1F3864"/>
                <w:sz w:val="13"/>
                <w:szCs w:val="13"/>
              </w:rPr>
              <w:t xml:space="preserve">                                                                           ▼</w:t>
            </w:r>
          </w:p>
          <w:p>
            <w:pPr>
              <w:spacing w:after="0"/>
            </w:pPr>
            <w:r>
              <w:rPr>
                <w:rFonts w:ascii="Consolas" w:cs="Consolas" w:eastAsia="Consolas" w:hAnsi="Consolas"/>
                <w:color w:val="1F3864"/>
                <w:sz w:val="13"/>
                <w:szCs w:val="13"/>
              </w:rPr>
              <w:t xml:space="preserve">                                                                 metric_2026_07_13:Metric</w:t>
            </w:r>
          </w:p>
          <w:p>
            <w:pPr>
              <w:spacing w:after="0"/>
            </w:pPr>
            <w:r>
              <w:rPr>
                <w:rFonts w:ascii="Consolas" w:cs="Consolas" w:eastAsia="Consolas" w:hAnsi="Consolas"/>
                <w:color w:val="1F3864"/>
                <w:sz w:val="13"/>
                <w:szCs w:val="13"/>
              </w:rPr>
              <w:t xml:space="preserve">                                                                 ┌─────────────────────┐</w:t>
            </w:r>
          </w:p>
          <w:p>
            <w:pPr>
              <w:spacing w:after="0"/>
            </w:pPr>
            <w:r>
              <w:rPr>
                <w:rFonts w:ascii="Consolas" w:cs="Consolas" w:eastAsia="Consolas" w:hAnsi="Consolas"/>
                <w:color w:val="1F3864"/>
                <w:sz w:val="13"/>
                <w:szCs w:val="13"/>
              </w:rPr>
              <w:t xml:space="preserve">                                                                 │ timestamp=2026-07-13T10:00 │</w:t>
            </w:r>
          </w:p>
          <w:p>
            <w:pPr>
              <w:spacing w:after="0"/>
            </w:pPr>
            <w:r>
              <w:rPr>
                <w:rFonts w:ascii="Consolas" w:cs="Consolas" w:eastAsia="Consolas" w:hAnsi="Consolas"/>
                <w:color w:val="1F3864"/>
                <w:sz w:val="13"/>
                <w:szCs w:val="13"/>
              </w:rPr>
              <w:t xml:space="preserve">                                                                 │ cpuPct=78.4                  │</w:t>
            </w:r>
          </w:p>
          <w:p>
            <w:pPr>
              <w:spacing w:after="0"/>
            </w:pPr>
            <w:r>
              <w:rPr>
                <w:rFonts w:ascii="Consolas" w:cs="Consolas" w:eastAsia="Consolas" w:hAnsi="Consolas"/>
                <w:color w:val="1F3864"/>
                <w:sz w:val="13"/>
                <w:szCs w:val="13"/>
              </w:rPr>
              <w:t xml:space="preserve">                                                                 │ diskUsedGb=189.6              │</w:t>
            </w:r>
          </w:p>
          <w:p>
            <w:pPr>
              <w:spacing w:after="0"/>
            </w:pPr>
            <w:r>
              <w:rPr>
                <w:rFonts w:ascii="Consolas" w:cs="Consolas" w:eastAsia="Consolas" w:hAnsi="Consolas"/>
                <w:color w:val="1F3864"/>
                <w:sz w:val="13"/>
                <w:szCs w:val="13"/>
              </w:rPr>
              <w:t xml:space="preserve">                                                                 └─────────────────────┘</w:t>
            </w:r>
          </w:p>
        </w:tc>
      </w:tr>
    </w:tbl>
    <w:p>
      <w:pPr>
        <w:spacing w:after="240" w:before="80"/>
        <w:jc w:val="center"/>
      </w:pPr>
      <w:r>
        <w:rPr>
          <w:i/>
          <w:iCs/>
          <w:color w:val="595959"/>
          <w:sz w:val="18"/>
          <w:szCs w:val="18"/>
        </w:rPr>
        <w:t xml:space="preserve">Figure 6 — Diagramme d'objets : instantané d'un état concret du système à un instant donné (VM proche de la saturation disque à 94,8 %)</w:t>
      </w:r>
    </w:p>
    <w:p>
      <w:pPr>
        <w:pStyle w:val="Heading2"/>
        <w:spacing w:after="180" w:before="360"/>
      </w:pPr>
      <w:r>
        <w:rPr>
          <w:b/>
          <w:bCs/>
          <w:color w:val="2E5395"/>
          <w:sz w:val="26"/>
          <w:szCs w:val="26"/>
        </w:rPr>
        <w:t xml:space="preserve">5.4 Diagramme de paquetages (Package Diagram)</w:t>
      </w:r>
    </w:p>
    <w:tbl>
      <w:tblPr>
        <w:tblW w:type="pct" w:w="100%"/>
        <w:tblBorders>
          <w:top w:val="single" w:color="9DB4CE" w:sz="4"/>
          <w:left w:val="single" w:color="9DB4CE" w:sz="4"/>
          <w:bottom w:val="single" w:color="9DB4CE" w:sz="4"/>
          <w:right w:val="single" w:color="9DB4CE" w:sz="4"/>
          <w:insideH w:val="single" w:color="auto" w:sz="4"/>
          <w:insideV w:val="single" w:color="auto" w:sz="4"/>
        </w:tblBorders>
      </w:tblPr>
      <w:tblGrid>
        <w:gridCol w:w="100"/>
      </w:tblGrid>
      <w:tr>
        <w:tc>
          <w:tcPr>
            <w:shd w:fill="F7F9FC" w:val="clear"/>
            <w:tcMar>
              <w:top w:type="dxa" w:w="160"/>
              <w:left w:type="dxa" w:w="200"/>
              <w:bottom w:type="dxa" w:w="160"/>
              <w:right w:type="dxa" w:w="200"/>
            </w:tcMar>
          </w:tcPr>
          <w:p>
            <w:pPr>
              <w:spacing w:after="0"/>
            </w:pPr>
            <w:r>
              <w:rPr>
                <w:rFonts w:ascii="Consolas" w:cs="Consolas" w:eastAsia="Consolas" w:hAnsi="Consolas"/>
                <w:color w:val="1F3864"/>
                <w:sz w:val="13"/>
                <w:szCs w:val="13"/>
              </w:rPr>
              <w:t xml:space="preserve">┌─────────────────────────────────────────────────────────────────────┐</w:t>
            </w:r>
          </w:p>
          <w:p>
            <w:pPr>
              <w:spacing w:after="0"/>
            </w:pPr>
            <w:r>
              <w:rPr>
                <w:rFonts w:ascii="Consolas" w:cs="Consolas" w:eastAsia="Consolas" w:hAnsi="Consolas"/>
                <w:color w:val="1F3864"/>
                <w:sz w:val="13"/>
                <w:szCs w:val="13"/>
              </w:rPr>
              <w:t xml:space="preserve">│                         backend (racine)                               │</w:t>
            </w:r>
          </w:p>
          <w:p>
            <w:pPr>
              <w:spacing w:after="0"/>
            </w:pPr>
            <w:r>
              <w:rPr>
                <w:rFonts w:ascii="Consolas" w:cs="Consolas" w:eastAsia="Consolas" w:hAnsi="Consolas"/>
                <w:color w:val="1F3864"/>
                <w:sz w:val="13"/>
                <w:szCs w:val="13"/>
              </w:rPr>
              <w:t xml:space="preserve">│  ┌───────────┐   ┌───────────┐   ┌───────────┐   ┌───────────────┐   │</w:t>
            </w:r>
          </w:p>
          <w:p>
            <w:pPr>
              <w:spacing w:after="0"/>
            </w:pPr>
            <w:r>
              <w:rPr>
                <w:rFonts w:ascii="Consolas" w:cs="Consolas" w:eastAsia="Consolas" w:hAnsi="Consolas"/>
                <w:color w:val="1F3864"/>
                <w:sz w:val="13"/>
                <w:szCs w:val="13"/>
              </w:rPr>
              <w:t xml:space="preserve">│  │   api      │──►│  services  │──►│  domain    │◄──│ repositories   │   │</w:t>
            </w:r>
          </w:p>
          <w:p>
            <w:pPr>
              <w:spacing w:after="0"/>
            </w:pPr>
            <w:r>
              <w:rPr>
                <w:rFonts w:ascii="Consolas" w:cs="Consolas" w:eastAsia="Consolas" w:hAnsi="Consolas"/>
                <w:color w:val="1F3864"/>
                <w:sz w:val="13"/>
                <w:szCs w:val="13"/>
              </w:rPr>
              <w:t xml:space="preserve">│  │ (routers)  │   │(use cases) │   │ (entités)  │   │ (SQLAlchemy)   │   │</w:t>
            </w:r>
          </w:p>
          <w:p>
            <w:pPr>
              <w:spacing w:after="0"/>
            </w:pPr>
            <w:r>
              <w:rPr>
                <w:rFonts w:ascii="Consolas" w:cs="Consolas" w:eastAsia="Consolas" w:hAnsi="Consolas"/>
                <w:color w:val="1F3864"/>
                <w:sz w:val="13"/>
                <w:szCs w:val="13"/>
              </w:rPr>
              <w:t xml:space="preserve">│  └───────────┘   └─────┬─────┘   └───────────┘   └───────┬───────┘   │</w:t>
            </w:r>
          </w:p>
          <w:p>
            <w:pPr>
              <w:spacing w:after="0"/>
            </w:pPr>
            <w:r>
              <w:rPr>
                <w:rFonts w:ascii="Consolas" w:cs="Consolas" w:eastAsia="Consolas" w:hAnsi="Consolas"/>
                <w:color w:val="1F3864"/>
                <w:sz w:val="13"/>
                <w:szCs w:val="13"/>
              </w:rPr>
              <w:t xml:space="preserve">│                         │                                   │           │</w:t>
            </w:r>
          </w:p>
          <w:p>
            <w:pPr>
              <w:spacing w:after="0"/>
            </w:pPr>
            <w:r>
              <w:rPr>
                <w:rFonts w:ascii="Consolas" w:cs="Consolas" w:eastAsia="Consolas" w:hAnsi="Consolas"/>
                <w:color w:val="1F3864"/>
                <w:sz w:val="13"/>
                <w:szCs w:val="13"/>
              </w:rPr>
              <w:t xml:space="preserve">│                         ▼                                   ▼           │</w:t>
            </w:r>
          </w:p>
          <w:p>
            <w:pPr>
              <w:spacing w:after="0"/>
            </w:pPr>
            <w:r>
              <w:rPr>
                <w:rFonts w:ascii="Consolas" w:cs="Consolas" w:eastAsia="Consolas" w:hAnsi="Consolas"/>
                <w:color w:val="1F3864"/>
                <w:sz w:val="13"/>
                <w:szCs w:val="13"/>
              </w:rPr>
              <w:t xml:space="preserve">│                  ┌───────────┐                       ┌───────────┐    │</w:t>
            </w:r>
          </w:p>
          <w:p>
            <w:pPr>
              <w:spacing w:after="0"/>
            </w:pPr>
            <w:r>
              <w:rPr>
                <w:rFonts w:ascii="Consolas" w:cs="Consolas" w:eastAsia="Consolas" w:hAnsi="Consolas"/>
                <w:color w:val="1F3864"/>
                <w:sz w:val="13"/>
                <w:szCs w:val="13"/>
              </w:rPr>
              <w:t xml:space="preserve">│                  │    ai      │                       │   infra    │    │</w:t>
            </w:r>
          </w:p>
          <w:p>
            <w:pPr>
              <w:spacing w:after="0"/>
            </w:pPr>
            <w:r>
              <w:rPr>
                <w:rFonts w:ascii="Consolas" w:cs="Consolas" w:eastAsia="Consolas" w:hAnsi="Consolas"/>
                <w:color w:val="1F3864"/>
                <w:sz w:val="13"/>
                <w:szCs w:val="13"/>
              </w:rPr>
              <w:t xml:space="preserve">│                  │(pipelines) │                       │(db, redis, │    │</w:t>
            </w:r>
          </w:p>
          <w:p>
            <w:pPr>
              <w:spacing w:after="0"/>
            </w:pPr>
            <w:r>
              <w:rPr>
                <w:rFonts w:ascii="Consolas" w:cs="Consolas" w:eastAsia="Consolas" w:hAnsi="Consolas"/>
                <w:color w:val="1F3864"/>
                <w:sz w:val="13"/>
                <w:szCs w:val="13"/>
              </w:rPr>
              <w:t xml:space="preserve">│                  └───────────┘                       │ proxmoxer) │    │</w:t>
            </w:r>
          </w:p>
          <w:p>
            <w:pPr>
              <w:spacing w:after="0"/>
            </w:pPr>
            <w:r>
              <w:rPr>
                <w:rFonts w:ascii="Consolas" w:cs="Consolas" w:eastAsia="Consolas" w:hAnsi="Consolas"/>
                <w:color w:val="1F3864"/>
                <w:sz w:val="13"/>
                <w:szCs w:val="13"/>
              </w:rPr>
              <w:t xml:space="preserve">│                                                        └───────────┘    │</w:t>
            </w:r>
          </w:p>
          <w:p>
            <w:pPr>
              <w:spacing w:after="0"/>
            </w:pPr>
            <w:r>
              <w:rPr>
                <w:rFonts w:ascii="Consolas" w:cs="Consolas" w:eastAsia="Consolas" w:hAnsi="Consolas"/>
                <w:color w:val="1F3864"/>
                <w:sz w:val="13"/>
                <w:szCs w:val="13"/>
              </w:rPr>
              <w:t xml:space="preserve">└─────────────────────────────────────────────────────────────────────┘</w:t>
            </w:r>
          </w:p>
        </w:tc>
      </w:tr>
    </w:tbl>
    <w:p>
      <w:pPr>
        <w:spacing w:after="240" w:before="80"/>
        <w:jc w:val="center"/>
      </w:pPr>
      <w:r>
        <w:rPr>
          <w:i/>
          <w:iCs/>
          <w:color w:val="595959"/>
          <w:sz w:val="18"/>
          <w:szCs w:val="18"/>
        </w:rPr>
        <w:t xml:space="preserve">Figure 7 — Diagramme de paquetages : dépendances autorisées entre modules Python (les flèches pointent vers le paquetage dont on dépend)</w:t>
      </w:r>
    </w:p>
    <w:p>
      <w:pPr>
        <w:spacing w:after="160" w:line="276"/>
        <w:jc w:val="both"/>
      </w:pPr>
      <w:r>
        <w:rPr>
          <w:color w:val="202020"/>
          <w:sz w:val="21"/>
          <w:szCs w:val="21"/>
        </w:rPr>
        <w:t xml:space="preserve">Une règle d'architecture est imposée en intégration continue via un analyseur de dépendances (import-linter) : le paquetage domain ne doit jamais importer api, infra ou repositories, ce qui garantit mécaniquement le respect de la Clean Architecture au fil du temps, indépendamment de la discipline individuelle des contributeurs.</w:t>
      </w:r>
    </w:p>
    <w:p>
      <w:pPr>
        <w:pStyle w:val="Heading2"/>
        <w:spacing w:after="180" w:before="360"/>
      </w:pPr>
      <w:r>
        <w:rPr>
          <w:b/>
          <w:bCs/>
          <w:color w:val="2E5395"/>
          <w:sz w:val="26"/>
          <w:szCs w:val="26"/>
        </w:rPr>
        <w:t xml:space="preserve">5.5 Diagramme de déploiement (Deployment Diagram)</w:t>
      </w:r>
    </w:p>
    <w:tbl>
      <w:tblPr>
        <w:tblW w:type="pct" w:w="100%"/>
        <w:tblBorders>
          <w:top w:val="single" w:color="9DB4CE" w:sz="4"/>
          <w:left w:val="single" w:color="9DB4CE" w:sz="4"/>
          <w:bottom w:val="single" w:color="9DB4CE" w:sz="4"/>
          <w:right w:val="single" w:color="9DB4CE" w:sz="4"/>
          <w:insideH w:val="single" w:color="auto" w:sz="4"/>
          <w:insideV w:val="single" w:color="auto" w:sz="4"/>
        </w:tblBorders>
      </w:tblPr>
      <w:tblGrid>
        <w:gridCol w:w="100"/>
      </w:tblGrid>
      <w:tr>
        <w:tc>
          <w:tcPr>
            <w:shd w:fill="F7F9FC" w:val="clear"/>
            <w:tcMar>
              <w:top w:type="dxa" w:w="160"/>
              <w:left w:type="dxa" w:w="200"/>
              <w:bottom w:type="dxa" w:w="160"/>
              <w:right w:type="dxa" w:w="200"/>
            </w:tcMar>
          </w:tcPr>
          <w:p>
            <w:pPr>
              <w:spacing w:after="0"/>
            </w:pPr>
            <w:r>
              <w:rPr>
                <w:rFonts w:ascii="Consolas" w:cs="Consolas" w:eastAsia="Consolas" w:hAnsi="Consolas"/>
                <w:color w:val="1F3864"/>
                <w:sz w:val="13"/>
                <w:szCs w:val="13"/>
              </w:rPr>
              <w:t xml:space="preserve">┌───────────────────────────── Hôte Docker (on-premise client) ─────────────────────────────┐</w:t>
            </w:r>
          </w:p>
          <w:p>
            <w:pPr>
              <w:spacing w:after="0"/>
            </w:pPr>
            <w:r>
              <w:rPr>
                <w:rFonts w:ascii="Consolas" w:cs="Consolas" w:eastAsia="Consolas" w:hAnsi="Consolas"/>
                <w:color w:val="1F3864"/>
                <w:sz w:val="13"/>
                <w:szCs w:val="13"/>
              </w:rPr>
              <w:t xml:space="preserve">│                                                                                               │</w:t>
            </w:r>
          </w:p>
          <w:p>
            <w:pPr>
              <w:spacing w:after="0"/>
            </w:pPr>
            <w:r>
              <w:rPr>
                <w:rFonts w:ascii="Consolas" w:cs="Consolas" w:eastAsia="Consolas" w:hAnsi="Consolas"/>
                <w:color w:val="1F3864"/>
                <w:sz w:val="13"/>
                <w:szCs w:val="13"/>
              </w:rPr>
              <w:t xml:space="preserve">│  ┌──────────────┐   ┌───────────────┐   ┌────────────────┐   ┌───────────────────────────┐  │</w:t>
            </w:r>
          </w:p>
          <w:p>
            <w:pPr>
              <w:spacing w:after="0"/>
            </w:pPr>
            <w:r>
              <w:rPr>
                <w:rFonts w:ascii="Consolas" w:cs="Consolas" w:eastAsia="Consolas" w:hAnsi="Consolas"/>
                <w:color w:val="1F3864"/>
                <w:sz w:val="13"/>
                <w:szCs w:val="13"/>
              </w:rPr>
              <w:t xml:space="preserve">│  │ &lt;&lt;container&gt;&gt; │   │ &lt;&lt;container&gt;&gt;  │   │ &lt;&lt;container&gt;&gt;   │   │      &lt;&lt;container&gt;&gt;          │  │</w:t>
            </w:r>
          </w:p>
          <w:p>
            <w:pPr>
              <w:spacing w:after="0"/>
            </w:pPr>
            <w:r>
              <w:rPr>
                <w:rFonts w:ascii="Consolas" w:cs="Consolas" w:eastAsia="Consolas" w:hAnsi="Consolas"/>
                <w:color w:val="1F3864"/>
                <w:sz w:val="13"/>
                <w:szCs w:val="13"/>
              </w:rPr>
              <w:t xml:space="preserve">│  │    nginx       │──►│  frontend      │   │  backend-api    │──►│  celery-worker (x N)        │  │</w:t>
            </w:r>
          </w:p>
          <w:p>
            <w:pPr>
              <w:spacing w:after="0"/>
            </w:pPr>
            <w:r>
              <w:rPr>
                <w:rFonts w:ascii="Consolas" w:cs="Consolas" w:eastAsia="Consolas" w:hAnsi="Consolas"/>
                <w:color w:val="1F3864"/>
                <w:sz w:val="13"/>
                <w:szCs w:val="13"/>
              </w:rPr>
              <w:t xml:space="preserve">│  │  :443 / :80    │   │  (Next.js SSR) │   │  (FastAPI/Uvicorn)│   │  + celery-beat (scheduler)  │  │</w:t>
            </w:r>
          </w:p>
          <w:p>
            <w:pPr>
              <w:spacing w:after="0"/>
            </w:pPr>
            <w:r>
              <w:rPr>
                <w:rFonts w:ascii="Consolas" w:cs="Consolas" w:eastAsia="Consolas" w:hAnsi="Consolas"/>
                <w:color w:val="1F3864"/>
                <w:sz w:val="13"/>
                <w:szCs w:val="13"/>
              </w:rPr>
              <w:t xml:space="preserve">│  └──────┬───────┘   └───────────────┘   └────────┬────────┘   └──────────────┬────────────┘  │</w:t>
            </w:r>
          </w:p>
          <w:p>
            <w:pPr>
              <w:spacing w:after="0"/>
            </w:pPr>
            <w:r>
              <w:rPr>
                <w:rFonts w:ascii="Consolas" w:cs="Consolas" w:eastAsia="Consolas" w:hAnsi="Consolas"/>
                <w:color w:val="1F3864"/>
                <w:sz w:val="13"/>
                <w:szCs w:val="13"/>
              </w:rPr>
              <w:t xml:space="preserve">│         │                                          │                          │                │</w:t>
            </w:r>
          </w:p>
          <w:p>
            <w:pPr>
              <w:spacing w:after="0"/>
            </w:pPr>
            <w:r>
              <w:rPr>
                <w:rFonts w:ascii="Consolas" w:cs="Consolas" w:eastAsia="Consolas" w:hAnsi="Consolas"/>
                <w:color w:val="1F3864"/>
                <w:sz w:val="13"/>
                <w:szCs w:val="13"/>
              </w:rPr>
              <w:t xml:space="preserve">│         │                                          ▼                          ▼                │</w:t>
            </w:r>
          </w:p>
          <w:p>
            <w:pPr>
              <w:spacing w:after="0"/>
            </w:pPr>
            <w:r>
              <w:rPr>
                <w:rFonts w:ascii="Consolas" w:cs="Consolas" w:eastAsia="Consolas" w:hAnsi="Consolas"/>
                <w:color w:val="1F3864"/>
                <w:sz w:val="13"/>
                <w:szCs w:val="13"/>
              </w:rPr>
              <w:t xml:space="preserve">│         │                                 ┌────────────────┐        ┌────────────────┐        │</w:t>
            </w:r>
          </w:p>
          <w:p>
            <w:pPr>
              <w:spacing w:after="0"/>
            </w:pPr>
            <w:r>
              <w:rPr>
                <w:rFonts w:ascii="Consolas" w:cs="Consolas" w:eastAsia="Consolas" w:hAnsi="Consolas"/>
                <w:color w:val="1F3864"/>
                <w:sz w:val="13"/>
                <w:szCs w:val="13"/>
              </w:rPr>
              <w:t xml:space="preserve">│         │                                 │ &lt;&lt;container&gt;&gt;    │        │ &lt;&lt;container&gt;&gt;    │        │</w:t>
            </w:r>
          </w:p>
          <w:p>
            <w:pPr>
              <w:spacing w:after="0"/>
            </w:pPr>
            <w:r>
              <w:rPr>
                <w:rFonts w:ascii="Consolas" w:cs="Consolas" w:eastAsia="Consolas" w:hAnsi="Consolas"/>
                <w:color w:val="1F3864"/>
                <w:sz w:val="13"/>
                <w:szCs w:val="13"/>
              </w:rPr>
              <w:t xml:space="preserve">│         │                                 │  postgres +      │        │     redis         │        │</w:t>
            </w:r>
          </w:p>
          <w:p>
            <w:pPr>
              <w:spacing w:after="0"/>
            </w:pPr>
            <w:r>
              <w:rPr>
                <w:rFonts w:ascii="Consolas" w:cs="Consolas" w:eastAsia="Consolas" w:hAnsi="Consolas"/>
                <w:color w:val="1F3864"/>
                <w:sz w:val="13"/>
                <w:szCs w:val="13"/>
              </w:rPr>
              <w:t xml:space="preserve">│         │                                 │  timescaledb     │        │  (cache/broker)   │        │</w:t>
            </w:r>
          </w:p>
          <w:p>
            <w:pPr>
              <w:spacing w:after="0"/>
            </w:pPr>
            <w:r>
              <w:rPr>
                <w:rFonts w:ascii="Consolas" w:cs="Consolas" w:eastAsia="Consolas" w:hAnsi="Consolas"/>
                <w:color w:val="1F3864"/>
                <w:sz w:val="13"/>
                <w:szCs w:val="13"/>
              </w:rPr>
              <w:t xml:space="preserve">│         │                                 │  &lt;&lt;volume&gt;&gt; pgdata│       │ &lt;&lt;volume&gt;&gt; redisdata│      │</w:t>
            </w:r>
          </w:p>
          <w:p>
            <w:pPr>
              <w:spacing w:after="0"/>
            </w:pPr>
            <w:r>
              <w:rPr>
                <w:rFonts w:ascii="Consolas" w:cs="Consolas" w:eastAsia="Consolas" w:hAnsi="Consolas"/>
                <w:color w:val="1F3864"/>
                <w:sz w:val="13"/>
                <w:szCs w:val="13"/>
              </w:rPr>
              <w:t xml:space="preserve">│         │                                 └────────────────┘        └────────────────┘        │</w:t>
            </w:r>
          </w:p>
          <w:p>
            <w:pPr>
              <w:spacing w:after="0"/>
            </w:pPr>
            <w:r>
              <w:rPr>
                <w:rFonts w:ascii="Consolas" w:cs="Consolas" w:eastAsia="Consolas" w:hAnsi="Consolas"/>
                <w:color w:val="1F3864"/>
                <w:sz w:val="13"/>
                <w:szCs w:val="13"/>
              </w:rPr>
              <w:t xml:space="preserve">│         │                                                                                        │</w:t>
            </w:r>
          </w:p>
          <w:p>
            <w:pPr>
              <w:spacing w:after="0"/>
            </w:pPr>
            <w:r>
              <w:rPr>
                <w:rFonts w:ascii="Consolas" w:cs="Consolas" w:eastAsia="Consolas" w:hAnsi="Consolas"/>
                <w:color w:val="1F3864"/>
                <w:sz w:val="13"/>
                <w:szCs w:val="13"/>
              </w:rPr>
              <w:t xml:space="preserve">└─────────┼────────────────────────────────────────────────────────────────────────────────────┘</w:t>
            </w:r>
          </w:p>
          <w:p>
            <w:pPr>
              <w:spacing w:after="0"/>
            </w:pPr>
            <w:r>
              <w:rPr>
                <w:rFonts w:ascii="Consolas" w:cs="Consolas" w:eastAsia="Consolas" w:hAnsi="Consolas"/>
                <w:color w:val="1F3864"/>
                <w:sz w:val="13"/>
                <w:szCs w:val="13"/>
              </w:rPr>
              <w:t xml:space="preserve">          │  HTTPS (443)                        TLS ▲</w:t>
            </w:r>
          </w:p>
          <w:p>
            <w:pPr>
              <w:spacing w:after="0"/>
            </w:pPr>
            <w:r>
              <w:rPr>
                <w:rFonts w:ascii="Consolas" w:cs="Consolas" w:eastAsia="Consolas" w:hAnsi="Consolas"/>
                <w:color w:val="1F3864"/>
                <w:sz w:val="13"/>
                <w:szCs w:val="13"/>
              </w:rPr>
              <w:t xml:space="preserve">          ▼                                          │</w:t>
            </w:r>
          </w:p>
          <w:p>
            <w:pPr>
              <w:spacing w:after="0"/>
            </w:pPr>
            <w:r>
              <w:rPr>
                <w:rFonts w:ascii="Consolas" w:cs="Consolas" w:eastAsia="Consolas" w:hAnsi="Consolas"/>
                <w:color w:val="1F3864"/>
                <w:sz w:val="13"/>
                <w:szCs w:val="13"/>
              </w:rPr>
              <w:t xml:space="preserve">  ┌────────────────┐                        ┌─────────────────────────────┐</w:t>
            </w:r>
          </w:p>
          <w:p>
            <w:pPr>
              <w:spacing w:after="0"/>
            </w:pPr>
            <w:r>
              <w:rPr>
                <w:rFonts w:ascii="Consolas" w:cs="Consolas" w:eastAsia="Consolas" w:hAnsi="Consolas"/>
                <w:color w:val="1F3864"/>
                <w:sz w:val="13"/>
                <w:szCs w:val="13"/>
              </w:rPr>
              <w:t xml:space="preserve">  │  Navigateur      │                        │  Serveurs Proxmox VE (nodes)  │</w:t>
            </w:r>
          </w:p>
          <w:p>
            <w:pPr>
              <w:spacing w:after="0"/>
            </w:pPr>
            <w:r>
              <w:rPr>
                <w:rFonts w:ascii="Consolas" w:cs="Consolas" w:eastAsia="Consolas" w:hAnsi="Consolas"/>
                <w:color w:val="1F3864"/>
                <w:sz w:val="13"/>
                <w:szCs w:val="13"/>
              </w:rPr>
              <w:t xml:space="preserve">  │  utilisateur     │                        │  &lt;&lt;device&gt;&gt;  API HTTPS :8006  │</w:t>
            </w:r>
          </w:p>
          <w:p>
            <w:pPr>
              <w:spacing w:after="0"/>
            </w:pPr>
            <w:r>
              <w:rPr>
                <w:rFonts w:ascii="Consolas" w:cs="Consolas" w:eastAsia="Consolas" w:hAnsi="Consolas"/>
                <w:color w:val="1F3864"/>
                <w:sz w:val="13"/>
                <w:szCs w:val="13"/>
              </w:rPr>
              <w:t xml:space="preserve">  └────────────────┘                        └─────────────────────────────┘</w:t>
            </w:r>
          </w:p>
        </w:tc>
      </w:tr>
    </w:tbl>
    <w:p>
      <w:pPr>
        <w:spacing w:after="240" w:before="80"/>
        <w:jc w:val="center"/>
      </w:pPr>
      <w:r>
        <w:rPr>
          <w:i/>
          <w:iCs/>
          <w:color w:val="595959"/>
          <w:sz w:val="18"/>
          <w:szCs w:val="18"/>
        </w:rPr>
        <w:t xml:space="preserve">Figure 8 — Diagramme de déploiement : nœuds physiques/virtuels, conteneurs, volumes et protocoles de communication</w:t>
      </w:r>
    </w:p>
    <w:p>
      <w:pPr>
        <w:pStyle w:val="Heading2"/>
        <w:spacing w:after="180" w:before="360"/>
      </w:pPr>
      <w:r>
        <w:rPr>
          <w:b/>
          <w:bCs/>
          <w:color w:val="2E5395"/>
          <w:sz w:val="26"/>
          <w:szCs w:val="26"/>
        </w:rPr>
        <w:t xml:space="preserve">5.6 Diagramme de composants (Component Diagram)</w:t>
      </w:r>
    </w:p>
    <w:tbl>
      <w:tblPr>
        <w:tblW w:type="pct" w:w="100%"/>
        <w:tblBorders>
          <w:top w:val="single" w:color="9DB4CE" w:sz="4"/>
          <w:left w:val="single" w:color="9DB4CE" w:sz="4"/>
          <w:bottom w:val="single" w:color="9DB4CE" w:sz="4"/>
          <w:right w:val="single" w:color="9DB4CE" w:sz="4"/>
          <w:insideH w:val="single" w:color="auto" w:sz="4"/>
          <w:insideV w:val="single" w:color="auto" w:sz="4"/>
        </w:tblBorders>
      </w:tblPr>
      <w:tblGrid>
        <w:gridCol w:w="100"/>
      </w:tblGrid>
      <w:tr>
        <w:tc>
          <w:tcPr>
            <w:shd w:fill="F7F9FC" w:val="clear"/>
            <w:tcMar>
              <w:top w:type="dxa" w:w="160"/>
              <w:left w:type="dxa" w:w="200"/>
              <w:bottom w:type="dxa" w:w="160"/>
              <w:right w:type="dxa" w:w="200"/>
            </w:tcMar>
          </w:tcPr>
          <w:p>
            <w:pPr>
              <w:spacing w:after="0"/>
            </w:pPr>
            <w:r>
              <w:rPr>
                <w:rFonts w:ascii="Consolas" w:cs="Consolas" w:eastAsia="Consolas" w:hAnsi="Consolas"/>
                <w:color w:val="1F3864"/>
                <w:sz w:val="13"/>
                <w:szCs w:val="13"/>
              </w:rPr>
              <w:t xml:space="preserve">┌────────────────────┐        ┌────────────────────┐        ┌────────────────────┐</w:t>
            </w:r>
          </w:p>
          <w:p>
            <w:pPr>
              <w:spacing w:after="0"/>
            </w:pPr>
            <w:r>
              <w:rPr>
                <w:rFonts w:ascii="Consolas" w:cs="Consolas" w:eastAsia="Consolas" w:hAnsi="Consolas"/>
                <w:color w:val="1F3864"/>
                <w:sz w:val="13"/>
                <w:szCs w:val="13"/>
              </w:rPr>
              <w:t xml:space="preserve">│   [Auth Service]     │        │ [Monitoring Service]  │        │   [AI Service]        │</w:t>
            </w:r>
          </w:p>
          <w:p>
            <w:pPr>
              <w:spacing w:after="0"/>
            </w:pPr>
            <w:r>
              <w:rPr>
                <w:rFonts w:ascii="Consolas" w:cs="Consolas" w:eastAsia="Consolas" w:hAnsi="Consolas"/>
                <w:color w:val="1F3864"/>
                <w:sz w:val="13"/>
                <w:szCs w:val="13"/>
              </w:rPr>
              <w:t xml:space="preserve">│  ○─ IAuthProvider     │        │  ○─ IMetricCollector   │        │  ○─ IPredictor         │</w:t>
            </w:r>
          </w:p>
          <w:p>
            <w:pPr>
              <w:spacing w:after="0"/>
            </w:pPr>
            <w:r>
              <w:rPr>
                <w:rFonts w:ascii="Consolas" w:cs="Consolas" w:eastAsia="Consolas" w:hAnsi="Consolas"/>
                <w:color w:val="1F3864"/>
                <w:sz w:val="13"/>
                <w:szCs w:val="13"/>
              </w:rPr>
              <w:t xml:space="preserve">│  ○─ ITokenIssuer      │        │  ○─ IMetricRepository  │        │  ○─ IAnomalyDetector   │</w:t>
            </w:r>
          </w:p>
          <w:p>
            <w:pPr>
              <w:spacing w:after="0"/>
            </w:pPr>
            <w:r>
              <w:rPr>
                <w:rFonts w:ascii="Consolas" w:cs="Consolas" w:eastAsia="Consolas" w:hAnsi="Consolas"/>
                <w:color w:val="1F3864"/>
                <w:sz w:val="13"/>
                <w:szCs w:val="13"/>
              </w:rPr>
              <w:t xml:space="preserve">└──────────┬─────────┘        └──────────┬─────────┘        └──────────┬─────────┘</w:t>
            </w:r>
          </w:p>
          <w:p>
            <w:pPr>
              <w:spacing w:after="0"/>
            </w:pPr>
            <w:r>
              <w:rPr>
                <w:rFonts w:ascii="Consolas" w:cs="Consolas" w:eastAsia="Consolas" w:hAnsi="Consolas"/>
                <w:color w:val="1F3864"/>
                <w:sz w:val="13"/>
                <w:szCs w:val="13"/>
              </w:rPr>
              <w:t xml:space="preserve">            │ uses                          │ uses                        │ uses</w:t>
            </w:r>
          </w:p>
          <w:p>
            <w:pPr>
              <w:spacing w:after="0"/>
            </w:pPr>
            <w:r>
              <w:rPr>
                <w:rFonts w:ascii="Consolas" w:cs="Consolas" w:eastAsia="Consolas" w:hAnsi="Consolas"/>
                <w:color w:val="1F3864"/>
                <w:sz w:val="13"/>
                <w:szCs w:val="13"/>
              </w:rPr>
              <w:t xml:space="preserve">            ▼                               ▼                             ▼</w:t>
            </w:r>
          </w:p>
          <w:p>
            <w:pPr>
              <w:spacing w:after="0"/>
            </w:pPr>
            <w:r>
              <w:rPr>
                <w:rFonts w:ascii="Consolas" w:cs="Consolas" w:eastAsia="Consolas" w:hAnsi="Consolas"/>
                <w:color w:val="1F3864"/>
                <w:sz w:val="13"/>
                <w:szCs w:val="13"/>
              </w:rPr>
              <w:t xml:space="preserve">┌────────────────────────────────────────────────────────────────────────────────┐</w:t>
            </w:r>
          </w:p>
          <w:p>
            <w:pPr>
              <w:spacing w:after="0"/>
            </w:pPr>
            <w:r>
              <w:rPr>
                <w:rFonts w:ascii="Consolas" w:cs="Consolas" w:eastAsia="Consolas" w:hAnsi="Consolas"/>
                <w:color w:val="1F3864"/>
                <w:sz w:val="13"/>
                <w:szCs w:val="13"/>
              </w:rPr>
              <w:t xml:space="preserve">│                          [Persistence Component]                                  │</w:t>
            </w:r>
          </w:p>
          <w:p>
            <w:pPr>
              <w:spacing w:after="0"/>
            </w:pPr>
            <w:r>
              <w:rPr>
                <w:rFonts w:ascii="Consolas" w:cs="Consolas" w:eastAsia="Consolas" w:hAnsi="Consolas"/>
                <w:color w:val="1F3864"/>
                <w:sz w:val="13"/>
                <w:szCs w:val="13"/>
              </w:rPr>
              <w:t xml:space="preserve">│      ○─ IUserRepository   ○─ IMetricRepository   ○─ IAlertRepository              │</w:t>
            </w:r>
          </w:p>
          <w:p>
            <w:pPr>
              <w:spacing w:after="0"/>
            </w:pPr>
            <w:r>
              <w:rPr>
                <w:rFonts w:ascii="Consolas" w:cs="Consolas" w:eastAsia="Consolas" w:hAnsi="Consolas"/>
                <w:color w:val="1F3864"/>
                <w:sz w:val="13"/>
                <w:szCs w:val="13"/>
              </w:rPr>
              <w:t xml:space="preserve">└────────────────────────────────────────────────────────────────────────────────┘</w:t>
            </w:r>
          </w:p>
          <w:p>
            <w:pPr>
              <w:spacing w:after="0"/>
            </w:pPr>
            <w:r>
              <w:rPr>
                <w:rFonts w:ascii="Consolas" w:cs="Consolas" w:eastAsia="Consolas" w:hAnsi="Consolas"/>
                <w:color w:val="1F3864"/>
                <w:sz w:val="13"/>
                <w:szCs w:val="13"/>
              </w:rPr>
              <w:t xml:space="preserve">            ▲</w:t>
            </w:r>
          </w:p>
          <w:p>
            <w:pPr>
              <w:spacing w:after="0"/>
            </w:pPr>
            <w:r>
              <w:rPr>
                <w:rFonts w:ascii="Consolas" w:cs="Consolas" w:eastAsia="Consolas" w:hAnsi="Consolas"/>
                <w:color w:val="1F3864"/>
                <w:sz w:val="13"/>
                <w:szCs w:val="13"/>
              </w:rPr>
              <w:t xml:space="preserve">            │ implements</w:t>
            </w:r>
          </w:p>
          <w:p>
            <w:pPr>
              <w:spacing w:after="0"/>
            </w:pPr>
            <w:r>
              <w:rPr>
                <w:rFonts w:ascii="Consolas" w:cs="Consolas" w:eastAsia="Consolas" w:hAnsi="Consolas"/>
                <w:color w:val="1F3864"/>
                <w:sz w:val="13"/>
                <w:szCs w:val="13"/>
              </w:rPr>
              <w:t xml:space="preserve">┌────────────────────┐</w:t>
            </w:r>
          </w:p>
          <w:p>
            <w:pPr>
              <w:spacing w:after="0"/>
            </w:pPr>
            <w:r>
              <w:rPr>
                <w:rFonts w:ascii="Consolas" w:cs="Consolas" w:eastAsia="Consolas" w:hAnsi="Consolas"/>
                <w:color w:val="1F3864"/>
                <w:sz w:val="13"/>
                <w:szCs w:val="13"/>
              </w:rPr>
              <w:t xml:space="preserve">│ [Proxmox Connector]   │  ○─ IProxmoxClient (façade Proxmoxer)</w:t>
            </w:r>
          </w:p>
          <w:p>
            <w:pPr>
              <w:spacing w:after="0"/>
            </w:pPr>
            <w:r>
              <w:rPr>
                <w:rFonts w:ascii="Consolas" w:cs="Consolas" w:eastAsia="Consolas" w:hAnsi="Consolas"/>
                <w:color w:val="1F3864"/>
                <w:sz w:val="13"/>
                <w:szCs w:val="13"/>
              </w:rPr>
              <w:t xml:space="preserve">└────────────────────┘</w:t>
            </w:r>
          </w:p>
        </w:tc>
      </w:tr>
    </w:tbl>
    <w:p>
      <w:pPr>
        <w:spacing w:after="240" w:before="80"/>
        <w:jc w:val="center"/>
      </w:pPr>
      <w:r>
        <w:rPr>
          <w:i/>
          <w:iCs/>
          <w:color w:val="595959"/>
          <w:sz w:val="18"/>
          <w:szCs w:val="18"/>
        </w:rPr>
        <w:t xml:space="preserve">Figure 9 — Diagramme de composants : interfaces fournies (○) exposées entre modules</w:t>
      </w:r>
    </w:p>
    <w:p>
      <w:pPr>
        <w:pStyle w:val="Heading2"/>
        <w:spacing w:after="180" w:before="360"/>
      </w:pPr>
      <w:r>
        <w:rPr>
          <w:b/>
          <w:bCs/>
          <w:color w:val="2E5395"/>
          <w:sz w:val="26"/>
          <w:szCs w:val="26"/>
        </w:rPr>
        <w:t xml:space="preserve">5.7 Diagramme de communication (Communication Diagram)</w:t>
      </w:r>
    </w:p>
    <w:tbl>
      <w:tblPr>
        <w:tblW w:type="pct" w:w="100%"/>
        <w:tblBorders>
          <w:top w:val="single" w:color="9DB4CE" w:sz="4"/>
          <w:left w:val="single" w:color="9DB4CE" w:sz="4"/>
          <w:bottom w:val="single" w:color="9DB4CE" w:sz="4"/>
          <w:right w:val="single" w:color="9DB4CE" w:sz="4"/>
          <w:insideH w:val="single" w:color="auto" w:sz="4"/>
          <w:insideV w:val="single" w:color="auto" w:sz="4"/>
        </w:tblBorders>
      </w:tblPr>
      <w:tblGrid>
        <w:gridCol w:w="100"/>
      </w:tblGrid>
      <w:tr>
        <w:tc>
          <w:tcPr>
            <w:shd w:fill="F7F9FC" w:val="clear"/>
            <w:tcMar>
              <w:top w:type="dxa" w:w="160"/>
              <w:left w:type="dxa" w:w="200"/>
              <w:bottom w:type="dxa" w:w="160"/>
              <w:right w:type="dxa" w:w="200"/>
            </w:tcMar>
          </w:tcPr>
          <w:p>
            <w:pPr>
              <w:spacing w:after="0"/>
            </w:pPr>
            <w:r>
              <w:rPr>
                <w:rFonts w:ascii="Consolas" w:cs="Consolas" w:eastAsia="Consolas" w:hAnsi="Consolas"/>
                <w:color w:val="1F3864"/>
                <w:sz w:val="13"/>
                <w:szCs w:val="13"/>
              </w:rPr>
              <w:t xml:space="preserve">        1: POST /alerts/{id}/acknowledge</w:t>
            </w:r>
          </w:p>
          <w:p>
            <w:pPr>
              <w:spacing w:after="0"/>
            </w:pPr>
            <w:r>
              <w:rPr>
                <w:rFonts w:ascii="Consolas" w:cs="Consolas" w:eastAsia="Consolas" w:hAnsi="Consolas"/>
                <w:color w:val="1F3864"/>
                <w:sz w:val="13"/>
                <w:szCs w:val="13"/>
              </w:rPr>
              <w:t xml:space="preserve">  [Frontend] ─────────────────────────────► [AlertController]</w:t>
            </w:r>
          </w:p>
          <w:p>
            <w:pPr>
              <w:spacing w:after="0"/>
            </w:pPr>
            <w:r>
              <w:rPr>
                <w:rFonts w:ascii="Consolas" w:cs="Consolas" w:eastAsia="Consolas" w:hAnsi="Consolas"/>
                <w:color w:val="1F3864"/>
                <w:sz w:val="13"/>
                <w:szCs w:val="13"/>
              </w:rPr>
              <w:t xml:space="preserve">        ▲                                          │</w:t>
            </w:r>
          </w:p>
          <w:p>
            <w:pPr>
              <w:spacing w:after="0"/>
            </w:pPr>
            <w:r>
              <w:rPr>
                <w:rFonts w:ascii="Consolas" w:cs="Consolas" w:eastAsia="Consolas" w:hAnsi="Consolas"/>
                <w:color w:val="1F3864"/>
                <w:sz w:val="13"/>
                <w:szCs w:val="13"/>
              </w:rPr>
              <w:t xml:space="preserve">        │ 4: 200 OK (AlertDTO)                      │ 2: acknowledge(alertId, userId)</w:t>
            </w:r>
          </w:p>
          <w:p>
            <w:pPr>
              <w:spacing w:after="0"/>
            </w:pPr>
            <w:r>
              <w:rPr>
                <w:rFonts w:ascii="Consolas" w:cs="Consolas" w:eastAsia="Consolas" w:hAnsi="Consolas"/>
                <w:color w:val="1F3864"/>
                <w:sz w:val="13"/>
                <w:szCs w:val="13"/>
              </w:rPr>
              <w:t xml:space="preserve">        │                                            ▼</w:t>
            </w:r>
          </w:p>
          <w:p>
            <w:pPr>
              <w:spacing w:after="0"/>
            </w:pPr>
            <w:r>
              <w:rPr>
                <w:rFonts w:ascii="Consolas" w:cs="Consolas" w:eastAsia="Consolas" w:hAnsi="Consolas"/>
                <w:color w:val="1F3864"/>
                <w:sz w:val="13"/>
                <w:szCs w:val="13"/>
              </w:rPr>
              <w:t xml:space="preserve">        │                                   [AlertService]</w:t>
            </w:r>
          </w:p>
          <w:p>
            <w:pPr>
              <w:spacing w:after="0"/>
            </w:pPr>
            <w:r>
              <w:rPr>
                <w:rFonts w:ascii="Consolas" w:cs="Consolas" w:eastAsia="Consolas" w:hAnsi="Consolas"/>
                <w:color w:val="1F3864"/>
                <w:sz w:val="13"/>
                <w:szCs w:val="13"/>
              </w:rPr>
              <w:t xml:space="preserve">        │                                            │</w:t>
            </w:r>
          </w:p>
          <w:p>
            <w:pPr>
              <w:spacing w:after="0"/>
            </w:pPr>
            <w:r>
              <w:rPr>
                <w:rFonts w:ascii="Consolas" w:cs="Consolas" w:eastAsia="Consolas" w:hAnsi="Consolas"/>
                <w:color w:val="1F3864"/>
                <w:sz w:val="13"/>
                <w:szCs w:val="13"/>
              </w:rPr>
              <w:t xml:space="preserve">        │                                            │ 3: save(alert) / logAudit(action)</w:t>
            </w:r>
          </w:p>
          <w:p>
            <w:pPr>
              <w:spacing w:after="0"/>
            </w:pPr>
            <w:r>
              <w:rPr>
                <w:rFonts w:ascii="Consolas" w:cs="Consolas" w:eastAsia="Consolas" w:hAnsi="Consolas"/>
                <w:color w:val="1F3864"/>
                <w:sz w:val="13"/>
                <w:szCs w:val="13"/>
              </w:rPr>
              <w:t xml:space="preserve">        │                                            ▼</w:t>
            </w:r>
          </w:p>
          <w:p>
            <w:pPr>
              <w:spacing w:after="0"/>
            </w:pPr>
            <w:r>
              <w:rPr>
                <w:rFonts w:ascii="Consolas" w:cs="Consolas" w:eastAsia="Consolas" w:hAnsi="Consolas"/>
                <w:color w:val="1F3864"/>
                <w:sz w:val="13"/>
                <w:szCs w:val="13"/>
              </w:rPr>
              <w:t xml:space="preserve">        └────────────────────────────  [AlertRepository] ──► [AuditRepository]</w:t>
            </w:r>
          </w:p>
        </w:tc>
      </w:tr>
    </w:tbl>
    <w:p>
      <w:pPr>
        <w:spacing w:after="240" w:before="80"/>
        <w:jc w:val="center"/>
      </w:pPr>
      <w:r>
        <w:rPr>
          <w:i/>
          <w:iCs/>
          <w:color w:val="595959"/>
          <w:sz w:val="18"/>
          <w:szCs w:val="18"/>
        </w:rPr>
        <w:t xml:space="preserve">Figure 10 — Diagramme de communication : traitement de l'acquittement d'une alerte (numérotation des messages)</w:t>
      </w:r>
    </w:p>
    <w:p>
      <w:pPr>
        <w:pStyle w:val="Heading2"/>
        <w:spacing w:after="180" w:before="360"/>
      </w:pPr>
      <w:r>
        <w:rPr>
          <w:b/>
          <w:bCs/>
          <w:color w:val="2E5395"/>
          <w:sz w:val="26"/>
          <w:szCs w:val="26"/>
        </w:rPr>
        <w:t xml:space="preserve">5.8 Diagramme de structure composite (Composite Structure Diagram)</w:t>
      </w:r>
    </w:p>
    <w:tbl>
      <w:tblPr>
        <w:tblW w:type="pct" w:w="100%"/>
        <w:tblBorders>
          <w:top w:val="single" w:color="9DB4CE" w:sz="4"/>
          <w:left w:val="single" w:color="9DB4CE" w:sz="4"/>
          <w:bottom w:val="single" w:color="9DB4CE" w:sz="4"/>
          <w:right w:val="single" w:color="9DB4CE" w:sz="4"/>
          <w:insideH w:val="single" w:color="auto" w:sz="4"/>
          <w:insideV w:val="single" w:color="auto" w:sz="4"/>
        </w:tblBorders>
      </w:tblPr>
      <w:tblGrid>
        <w:gridCol w:w="100"/>
      </w:tblGrid>
      <w:tr>
        <w:tc>
          <w:tcPr>
            <w:shd w:fill="F7F9FC" w:val="clear"/>
            <w:tcMar>
              <w:top w:type="dxa" w:w="160"/>
              <w:left w:type="dxa" w:w="200"/>
              <w:bottom w:type="dxa" w:w="160"/>
              <w:right w:type="dxa" w:w="200"/>
            </w:tcMar>
          </w:tcPr>
          <w:p>
            <w:pPr>
              <w:spacing w:after="0"/>
            </w:pPr>
            <w:r>
              <w:rPr>
                <w:rFonts w:ascii="Consolas" w:cs="Consolas" w:eastAsia="Consolas" w:hAnsi="Consolas"/>
                <w:color w:val="1F3864"/>
                <w:sz w:val="13"/>
                <w:szCs w:val="13"/>
              </w:rPr>
              <w:t xml:space="preserve">┌────────────────────────── [AIService] ───────────────────────────┐</w:t>
            </w:r>
          </w:p>
          <w:p>
            <w:pPr>
              <w:spacing w:after="0"/>
            </w:pPr>
            <w:r>
              <w:rPr>
                <w:rFonts w:ascii="Consolas" w:cs="Consolas" w:eastAsia="Consolas" w:hAnsi="Consolas"/>
                <w:color w:val="1F3864"/>
                <w:sz w:val="13"/>
                <w:szCs w:val="13"/>
              </w:rPr>
              <w:t xml:space="preserve">│   ┌───────────────┐ port:features  ┌───────────────────┐            │</w:t>
            </w:r>
          </w:p>
          <w:p>
            <w:pPr>
              <w:spacing w:after="0"/>
            </w:pPr>
            <w:r>
              <w:rPr>
                <w:rFonts w:ascii="Consolas" w:cs="Consolas" w:eastAsia="Consolas" w:hAnsi="Consolas"/>
                <w:color w:val="1F3864"/>
                <w:sz w:val="13"/>
                <w:szCs w:val="13"/>
              </w:rPr>
              <w:t xml:space="preserve">│   │ FeatureBuilder  │───────────────►│ AnomalyDetector      │            │</w:t>
            </w:r>
          </w:p>
          <w:p>
            <w:pPr>
              <w:spacing w:after="0"/>
            </w:pPr>
            <w:r>
              <w:rPr>
                <w:rFonts w:ascii="Consolas" w:cs="Consolas" w:eastAsia="Consolas" w:hAnsi="Consolas"/>
                <w:color w:val="1F3864"/>
                <w:sz w:val="13"/>
                <w:szCs w:val="13"/>
              </w:rPr>
              <w:t xml:space="preserve">│   └───────────────┘                 │ (Isolation Forest)   │            │</w:t>
            </w:r>
          </w:p>
          <w:p>
            <w:pPr>
              <w:spacing w:after="0"/>
            </w:pPr>
            <w:r>
              <w:rPr>
                <w:rFonts w:ascii="Consolas" w:cs="Consolas" w:eastAsia="Consolas" w:hAnsi="Consolas"/>
                <w:color w:val="1F3864"/>
                <w:sz w:val="13"/>
                <w:szCs w:val="13"/>
              </w:rPr>
              <w:t xml:space="preserve">│                                       └──────────┬────────┘            │</w:t>
            </w:r>
          </w:p>
          <w:p>
            <w:pPr>
              <w:spacing w:after="0"/>
            </w:pPr>
            <w:r>
              <w:rPr>
                <w:rFonts w:ascii="Consolas" w:cs="Consolas" w:eastAsia="Consolas" w:hAnsi="Consolas"/>
                <w:color w:val="1F3864"/>
                <w:sz w:val="13"/>
                <w:szCs w:val="13"/>
              </w:rPr>
              <w:t xml:space="preserve">│                                                    │ port:anomalyScore   │</w:t>
            </w:r>
          </w:p>
          <w:p>
            <w:pPr>
              <w:spacing w:after="0"/>
            </w:pPr>
            <w:r>
              <w:rPr>
                <w:rFonts w:ascii="Consolas" w:cs="Consolas" w:eastAsia="Consolas" w:hAnsi="Consolas"/>
                <w:color w:val="1F3864"/>
                <w:sz w:val="13"/>
                <w:szCs w:val="13"/>
              </w:rPr>
              <w:t xml:space="preserve">│                                                    ▼                     │</w:t>
            </w:r>
          </w:p>
          <w:p>
            <w:pPr>
              <w:spacing w:after="0"/>
            </w:pPr>
            <w:r>
              <w:rPr>
                <w:rFonts w:ascii="Consolas" w:cs="Consolas" w:eastAsia="Consolas" w:hAnsi="Consolas"/>
                <w:color w:val="1F3864"/>
                <w:sz w:val="13"/>
                <w:szCs w:val="13"/>
              </w:rPr>
              <w:t xml:space="preserve">│                                        ┌───────────────────┐            │</w:t>
            </w:r>
          </w:p>
          <w:p>
            <w:pPr>
              <w:spacing w:after="0"/>
            </w:pPr>
            <w:r>
              <w:rPr>
                <w:rFonts w:ascii="Consolas" w:cs="Consolas" w:eastAsia="Consolas" w:hAnsi="Consolas"/>
                <w:color w:val="1F3864"/>
                <w:sz w:val="13"/>
                <w:szCs w:val="13"/>
              </w:rPr>
              <w:t xml:space="preserve">│                                        │ SaturationPredictor  │            │</w:t>
            </w:r>
          </w:p>
          <w:p>
            <w:pPr>
              <w:spacing w:after="0"/>
            </w:pPr>
            <w:r>
              <w:rPr>
                <w:rFonts w:ascii="Consolas" w:cs="Consolas" w:eastAsia="Consolas" w:hAnsi="Consolas"/>
                <w:color w:val="1F3864"/>
                <w:sz w:val="13"/>
                <w:szCs w:val="13"/>
              </w:rPr>
              <w:t xml:space="preserve">│                                        │ (XGBoost)             │            │</w:t>
            </w:r>
          </w:p>
          <w:p>
            <w:pPr>
              <w:spacing w:after="0"/>
            </w:pPr>
            <w:r>
              <w:rPr>
                <w:rFonts w:ascii="Consolas" w:cs="Consolas" w:eastAsia="Consolas" w:hAnsi="Consolas"/>
                <w:color w:val="1F3864"/>
                <w:sz w:val="13"/>
                <w:szCs w:val="13"/>
              </w:rPr>
              <w:t xml:space="preserve">│                                        └──────────┬────────┘            │</w:t>
            </w:r>
          </w:p>
          <w:p>
            <w:pPr>
              <w:spacing w:after="0"/>
            </w:pPr>
            <w:r>
              <w:rPr>
                <w:rFonts w:ascii="Consolas" w:cs="Consolas" w:eastAsia="Consolas" w:hAnsi="Consolas"/>
                <w:color w:val="1F3864"/>
                <w:sz w:val="13"/>
                <w:szCs w:val="13"/>
              </w:rPr>
              <w:t xml:space="preserve">│                                                    │ port:riskScore      │</w:t>
            </w:r>
          </w:p>
          <w:p>
            <w:pPr>
              <w:spacing w:after="0"/>
            </w:pPr>
            <w:r>
              <w:rPr>
                <w:rFonts w:ascii="Consolas" w:cs="Consolas" w:eastAsia="Consolas" w:hAnsi="Consolas"/>
                <w:color w:val="1F3864"/>
                <w:sz w:val="13"/>
                <w:szCs w:val="13"/>
              </w:rPr>
              <w:t xml:space="preserve">│                                                    ▼                     │</w:t>
            </w:r>
          </w:p>
          <w:p>
            <w:pPr>
              <w:spacing w:after="0"/>
            </w:pPr>
            <w:r>
              <w:rPr>
                <w:rFonts w:ascii="Consolas" w:cs="Consolas" w:eastAsia="Consolas" w:hAnsi="Consolas"/>
                <w:color w:val="1F3864"/>
                <w:sz w:val="13"/>
                <w:szCs w:val="13"/>
              </w:rPr>
              <w:t xml:space="preserve">│                                        ┌───────────────────┐            │</w:t>
            </w:r>
          </w:p>
          <w:p>
            <w:pPr>
              <w:spacing w:after="0"/>
            </w:pPr>
            <w:r>
              <w:rPr>
                <w:rFonts w:ascii="Consolas" w:cs="Consolas" w:eastAsia="Consolas" w:hAnsi="Consolas"/>
                <w:color w:val="1F3864"/>
                <w:sz w:val="13"/>
                <w:szCs w:val="13"/>
              </w:rPr>
              <w:t xml:space="preserve">│                                        │ RecommendationEngine│            │</w:t>
            </w:r>
          </w:p>
          <w:p>
            <w:pPr>
              <w:spacing w:after="0"/>
            </w:pPr>
            <w:r>
              <w:rPr>
                <w:rFonts w:ascii="Consolas" w:cs="Consolas" w:eastAsia="Consolas" w:hAnsi="Consolas"/>
                <w:color w:val="1F3864"/>
                <w:sz w:val="13"/>
                <w:szCs w:val="13"/>
              </w:rPr>
              <w:t xml:space="preserve">│                                        └───────────────────┘            │</w:t>
            </w:r>
          </w:p>
          <w:p>
            <w:pPr>
              <w:spacing w:after="0"/>
            </w:pPr>
            <w:r>
              <w:rPr>
                <w:rFonts w:ascii="Consolas" w:cs="Consolas" w:eastAsia="Consolas" w:hAnsi="Consolas"/>
                <w:color w:val="1F3864"/>
                <w:sz w:val="13"/>
                <w:szCs w:val="13"/>
              </w:rPr>
              <w:t xml:space="preserve">└────────────────────────────────────────────────────────────────────────┘</w:t>
            </w:r>
          </w:p>
        </w:tc>
      </w:tr>
    </w:tbl>
    <w:p>
      <w:pPr>
        <w:spacing w:after="240" w:before="80"/>
        <w:jc w:val="center"/>
      </w:pPr>
      <w:r>
        <w:rPr>
          <w:i/>
          <w:iCs/>
          <w:color w:val="595959"/>
          <w:sz w:val="18"/>
          <w:szCs w:val="18"/>
        </w:rPr>
        <w:t xml:space="preserve">Figure 11 — Diagramme de structure composite du composant interne AIService et de ses ports</w:t>
      </w:r>
    </w:p>
    <w:p>
      <w:pPr>
        <w:pStyle w:val="Heading2"/>
        <w:spacing w:after="180" w:before="360"/>
      </w:pPr>
      <w:r>
        <w:rPr>
          <w:b/>
          <w:bCs/>
          <w:color w:val="2E5395"/>
          <w:sz w:val="26"/>
          <w:szCs w:val="26"/>
        </w:rPr>
        <w:t xml:space="preserve">5.9 Diagramme d'activité (Activity Diagram)</w:t>
      </w:r>
    </w:p>
    <w:tbl>
      <w:tblPr>
        <w:tblW w:type="pct" w:w="100%"/>
        <w:tblBorders>
          <w:top w:val="single" w:color="9DB4CE" w:sz="4"/>
          <w:left w:val="single" w:color="9DB4CE" w:sz="4"/>
          <w:bottom w:val="single" w:color="9DB4CE" w:sz="4"/>
          <w:right w:val="single" w:color="9DB4CE" w:sz="4"/>
          <w:insideH w:val="single" w:color="auto" w:sz="4"/>
          <w:insideV w:val="single" w:color="auto" w:sz="4"/>
        </w:tblBorders>
      </w:tblPr>
      <w:tblGrid>
        <w:gridCol w:w="100"/>
      </w:tblGrid>
      <w:tr>
        <w:tc>
          <w:tcPr>
            <w:shd w:fill="F7F9FC" w:val="clear"/>
            <w:tcMar>
              <w:top w:type="dxa" w:w="160"/>
              <w:left w:type="dxa" w:w="200"/>
              <w:bottom w:type="dxa" w:w="160"/>
              <w:right w:type="dxa" w:w="200"/>
            </w:tcMar>
          </w:tcPr>
          <w:p>
            <w:pPr>
              <w:spacing w:after="0"/>
            </w:pPr>
            <w:r>
              <w:rPr>
                <w:rFonts w:ascii="Consolas" w:cs="Consolas" w:eastAsia="Consolas" w:hAnsi="Consolas"/>
                <w:color w:val="1F3864"/>
                <w:sz w:val="13"/>
                <w:szCs w:val="13"/>
              </w:rPr>
              <w:t xml:space="preserve">        ●  (début)</w:t>
            </w:r>
          </w:p>
          <w:p>
            <w:pPr>
              <w:spacing w:after="0"/>
            </w:pPr>
            <w:r>
              <w:rPr>
                <w:rFonts w:ascii="Consolas" w:cs="Consolas" w:eastAsia="Consolas" w:hAnsi="Consolas"/>
                <w:color w:val="1F3864"/>
                <w:sz w:val="13"/>
                <w:szCs w:val="13"/>
              </w:rPr>
              <w:t xml:space="preserve">        │</w:t>
            </w:r>
          </w:p>
          <w:p>
            <w:pPr>
              <w:spacing w:after="0"/>
            </w:pPr>
            <w:r>
              <w:rPr>
                <w:rFonts w:ascii="Consolas" w:cs="Consolas" w:eastAsia="Consolas" w:hAnsi="Consolas"/>
                <w:color w:val="1F3864"/>
                <w:sz w:val="13"/>
                <w:szCs w:val="13"/>
              </w:rPr>
              <w:t xml:space="preserve">        ▼</w:t>
            </w:r>
          </w:p>
          <w:p>
            <w:pPr>
              <w:spacing w:after="0"/>
            </w:pPr>
            <w:r>
              <w:rPr>
                <w:rFonts w:ascii="Consolas" w:cs="Consolas" w:eastAsia="Consolas" w:hAnsi="Consolas"/>
                <w:color w:val="1F3864"/>
                <w:sz w:val="13"/>
                <w:szCs w:val="13"/>
              </w:rPr>
              <w:t xml:space="preserve">  [Collecter métriques VM (Celery Beat, toutes les 30s)]</w:t>
            </w:r>
          </w:p>
          <w:p>
            <w:pPr>
              <w:spacing w:after="0"/>
            </w:pPr>
            <w:r>
              <w:rPr>
                <w:rFonts w:ascii="Consolas" w:cs="Consolas" w:eastAsia="Consolas" w:hAnsi="Consolas"/>
                <w:color w:val="1F3864"/>
                <w:sz w:val="13"/>
                <w:szCs w:val="13"/>
              </w:rPr>
              <w:t xml:space="preserve">        │</w:t>
            </w:r>
          </w:p>
          <w:p>
            <w:pPr>
              <w:spacing w:after="0"/>
            </w:pPr>
            <w:r>
              <w:rPr>
                <w:rFonts w:ascii="Consolas" w:cs="Consolas" w:eastAsia="Consolas" w:hAnsi="Consolas"/>
                <w:color w:val="1F3864"/>
                <w:sz w:val="13"/>
                <w:szCs w:val="13"/>
              </w:rPr>
              <w:t xml:space="preserve">        ▼</w:t>
            </w:r>
          </w:p>
          <w:p>
            <w:pPr>
              <w:spacing w:after="0"/>
            </w:pPr>
            <w:r>
              <w:rPr>
                <w:rFonts w:ascii="Consolas" w:cs="Consolas" w:eastAsia="Consolas" w:hAnsi="Consolas"/>
                <w:color w:val="1F3864"/>
                <w:sz w:val="13"/>
                <w:szCs w:val="13"/>
              </w:rPr>
              <w:t xml:space="preserve">  [Stocker en TimescaleDB + cache Redis]</w:t>
            </w:r>
          </w:p>
          <w:p>
            <w:pPr>
              <w:spacing w:after="0"/>
            </w:pPr>
            <w:r>
              <w:rPr>
                <w:rFonts w:ascii="Consolas" w:cs="Consolas" w:eastAsia="Consolas" w:hAnsi="Consolas"/>
                <w:color w:val="1F3864"/>
                <w:sz w:val="13"/>
                <w:szCs w:val="13"/>
              </w:rPr>
              <w:t xml:space="preserve">        │</w:t>
            </w:r>
          </w:p>
          <w:p>
            <w:pPr>
              <w:spacing w:after="0"/>
            </w:pPr>
            <w:r>
              <w:rPr>
                <w:rFonts w:ascii="Consolas" w:cs="Consolas" w:eastAsia="Consolas" w:hAnsi="Consolas"/>
                <w:color w:val="1F3864"/>
                <w:sz w:val="13"/>
                <w:szCs w:val="13"/>
              </w:rPr>
              <w:t xml:space="preserve">        ▼</w:t>
            </w:r>
          </w:p>
          <w:p>
            <w:pPr>
              <w:spacing w:after="0"/>
            </w:pPr>
            <w:r>
              <w:rPr>
                <w:rFonts w:ascii="Consolas" w:cs="Consolas" w:eastAsia="Consolas" w:hAnsi="Consolas"/>
                <w:color w:val="1F3864"/>
                <w:sz w:val="13"/>
                <w:szCs w:val="13"/>
              </w:rPr>
              <w:t xml:space="preserve">     &lt;Fenêtre de features complète ?&gt;──── non ──► ◆ (fin de cycle)</w:t>
            </w:r>
          </w:p>
          <w:p>
            <w:pPr>
              <w:spacing w:after="0"/>
            </w:pPr>
            <w:r>
              <w:rPr>
                <w:rFonts w:ascii="Consolas" w:cs="Consolas" w:eastAsia="Consolas" w:hAnsi="Consolas"/>
                <w:color w:val="1F3864"/>
                <w:sz w:val="13"/>
                <w:szCs w:val="13"/>
              </w:rPr>
              <w:t xml:space="preserve">        │ oui</w:t>
            </w:r>
          </w:p>
          <w:p>
            <w:pPr>
              <w:spacing w:after="0"/>
            </w:pPr>
            <w:r>
              <w:rPr>
                <w:rFonts w:ascii="Consolas" w:cs="Consolas" w:eastAsia="Consolas" w:hAnsi="Consolas"/>
                <w:color w:val="1F3864"/>
                <w:sz w:val="13"/>
                <w:szCs w:val="13"/>
              </w:rPr>
              <w:t xml:space="preserve">        ▼</w:t>
            </w:r>
          </w:p>
          <w:p>
            <w:pPr>
              <w:spacing w:after="0"/>
            </w:pPr>
            <w:r>
              <w:rPr>
                <w:rFonts w:ascii="Consolas" w:cs="Consolas" w:eastAsia="Consolas" w:hAnsi="Consolas"/>
                <w:color w:val="1F3864"/>
                <w:sz w:val="13"/>
                <w:szCs w:val="13"/>
              </w:rPr>
              <w:t xml:space="preserve">  [Calculer les features dérivées]</w:t>
            </w:r>
          </w:p>
          <w:p>
            <w:pPr>
              <w:spacing w:after="0"/>
            </w:pPr>
            <w:r>
              <w:rPr>
                <w:rFonts w:ascii="Consolas" w:cs="Consolas" w:eastAsia="Consolas" w:hAnsi="Consolas"/>
                <w:color w:val="1F3864"/>
                <w:sz w:val="13"/>
                <w:szCs w:val="13"/>
              </w:rPr>
              <w:t xml:space="preserve">        │</w:t>
            </w:r>
          </w:p>
          <w:p>
            <w:pPr>
              <w:spacing w:after="0"/>
            </w:pPr>
            <w:r>
              <w:rPr>
                <w:rFonts w:ascii="Consolas" w:cs="Consolas" w:eastAsia="Consolas" w:hAnsi="Consolas"/>
                <w:color w:val="1F3864"/>
                <w:sz w:val="13"/>
                <w:szCs w:val="13"/>
              </w:rPr>
              <w:t xml:space="preserve">        ▼</w:t>
            </w:r>
          </w:p>
          <w:p>
            <w:pPr>
              <w:spacing w:after="0"/>
            </w:pPr>
            <w:r>
              <w:rPr>
                <w:rFonts w:ascii="Consolas" w:cs="Consolas" w:eastAsia="Consolas" w:hAnsi="Consolas"/>
                <w:color w:val="1F3864"/>
                <w:sz w:val="13"/>
                <w:szCs w:val="13"/>
              </w:rPr>
              <w:t xml:space="preserve">  [Exécuter Isolation Forest] ──┐</w:t>
            </w:r>
          </w:p>
          <w:p>
            <w:pPr>
              <w:spacing w:after="0"/>
            </w:pPr>
            <w:r>
              <w:rPr>
                <w:rFonts w:ascii="Consolas" w:cs="Consolas" w:eastAsia="Consolas" w:hAnsi="Consolas"/>
                <w:color w:val="1F3864"/>
                <w:sz w:val="13"/>
                <w:szCs w:val="13"/>
              </w:rPr>
              <w:t xml:space="preserve">        │                        │ (parallèle)</w:t>
            </w:r>
          </w:p>
          <w:p>
            <w:pPr>
              <w:spacing w:after="0"/>
            </w:pPr>
            <w:r>
              <w:rPr>
                <w:rFonts w:ascii="Consolas" w:cs="Consolas" w:eastAsia="Consolas" w:hAnsi="Consolas"/>
                <w:color w:val="1F3864"/>
                <w:sz w:val="13"/>
                <w:szCs w:val="13"/>
              </w:rPr>
              <w:t xml:space="preserve">  [Exécuter XGBoost] ◄──────────┘</w:t>
            </w:r>
          </w:p>
          <w:p>
            <w:pPr>
              <w:spacing w:after="0"/>
            </w:pPr>
            <w:r>
              <w:rPr>
                <w:rFonts w:ascii="Consolas" w:cs="Consolas" w:eastAsia="Consolas" w:hAnsi="Consolas"/>
                <w:color w:val="1F3864"/>
                <w:sz w:val="13"/>
                <w:szCs w:val="13"/>
              </w:rPr>
              <w:t xml:space="preserve">        │</w:t>
            </w:r>
          </w:p>
          <w:p>
            <w:pPr>
              <w:spacing w:after="0"/>
            </w:pPr>
            <w:r>
              <w:rPr>
                <w:rFonts w:ascii="Consolas" w:cs="Consolas" w:eastAsia="Consolas" w:hAnsi="Consolas"/>
                <w:color w:val="1F3864"/>
                <w:sz w:val="13"/>
                <w:szCs w:val="13"/>
              </w:rPr>
              <w:t xml:space="preserve">        ▼</w:t>
            </w:r>
          </w:p>
          <w:p>
            <w:pPr>
              <w:spacing w:after="0"/>
            </w:pPr>
            <w:r>
              <w:rPr>
                <w:rFonts w:ascii="Consolas" w:cs="Consolas" w:eastAsia="Consolas" w:hAnsi="Consolas"/>
                <w:color w:val="1F3864"/>
                <w:sz w:val="13"/>
                <w:szCs w:val="13"/>
              </w:rPr>
              <w:t xml:space="preserve">     &lt;Score de risque &gt; seuil ?&gt;── non ──► ◆ (fin de cycle)</w:t>
            </w:r>
          </w:p>
          <w:p>
            <w:pPr>
              <w:spacing w:after="0"/>
            </w:pPr>
            <w:r>
              <w:rPr>
                <w:rFonts w:ascii="Consolas" w:cs="Consolas" w:eastAsia="Consolas" w:hAnsi="Consolas"/>
                <w:color w:val="1F3864"/>
                <w:sz w:val="13"/>
                <w:szCs w:val="13"/>
              </w:rPr>
              <w:t xml:space="preserve">        │ oui</w:t>
            </w:r>
          </w:p>
          <w:p>
            <w:pPr>
              <w:spacing w:after="0"/>
            </w:pPr>
            <w:r>
              <w:rPr>
                <w:rFonts w:ascii="Consolas" w:cs="Consolas" w:eastAsia="Consolas" w:hAnsi="Consolas"/>
                <w:color w:val="1F3864"/>
                <w:sz w:val="13"/>
                <w:szCs w:val="13"/>
              </w:rPr>
              <w:t xml:space="preserve">        ▼</w:t>
            </w:r>
          </w:p>
          <w:p>
            <w:pPr>
              <w:spacing w:after="0"/>
            </w:pPr>
            <w:r>
              <w:rPr>
                <w:rFonts w:ascii="Consolas" w:cs="Consolas" w:eastAsia="Consolas" w:hAnsi="Consolas"/>
                <w:color w:val="1F3864"/>
                <w:sz w:val="13"/>
                <w:szCs w:val="13"/>
              </w:rPr>
              <w:t xml:space="preserve">  [Créer Alerte + Recommandation]</w:t>
            </w:r>
          </w:p>
          <w:p>
            <w:pPr>
              <w:spacing w:after="0"/>
            </w:pPr>
            <w:r>
              <w:rPr>
                <w:rFonts w:ascii="Consolas" w:cs="Consolas" w:eastAsia="Consolas" w:hAnsi="Consolas"/>
                <w:color w:val="1F3864"/>
                <w:sz w:val="13"/>
                <w:szCs w:val="13"/>
              </w:rPr>
              <w:t xml:space="preserve">        │</w:t>
            </w:r>
          </w:p>
          <w:p>
            <w:pPr>
              <w:spacing w:after="0"/>
            </w:pPr>
            <w:r>
              <w:rPr>
                <w:rFonts w:ascii="Consolas" w:cs="Consolas" w:eastAsia="Consolas" w:hAnsi="Consolas"/>
                <w:color w:val="1F3864"/>
                <w:sz w:val="13"/>
                <w:szCs w:val="13"/>
              </w:rPr>
              <w:t xml:space="preserve">        ▼</w:t>
            </w:r>
          </w:p>
          <w:p>
            <w:pPr>
              <w:spacing w:after="0"/>
            </w:pPr>
            <w:r>
              <w:rPr>
                <w:rFonts w:ascii="Consolas" w:cs="Consolas" w:eastAsia="Consolas" w:hAnsi="Consolas"/>
                <w:color w:val="1F3864"/>
                <w:sz w:val="13"/>
                <w:szCs w:val="13"/>
              </w:rPr>
              <w:t xml:space="preserve">  [Notifier utilisateurs concernés]</w:t>
            </w:r>
          </w:p>
          <w:p>
            <w:pPr>
              <w:spacing w:after="0"/>
            </w:pPr>
            <w:r>
              <w:rPr>
                <w:rFonts w:ascii="Consolas" w:cs="Consolas" w:eastAsia="Consolas" w:hAnsi="Consolas"/>
                <w:color w:val="1F3864"/>
                <w:sz w:val="13"/>
                <w:szCs w:val="13"/>
              </w:rPr>
              <w:t xml:space="preserve">        │</w:t>
            </w:r>
          </w:p>
          <w:p>
            <w:pPr>
              <w:spacing w:after="0"/>
            </w:pPr>
            <w:r>
              <w:rPr>
                <w:rFonts w:ascii="Consolas" w:cs="Consolas" w:eastAsia="Consolas" w:hAnsi="Consolas"/>
                <w:color w:val="1F3864"/>
                <w:sz w:val="13"/>
                <w:szCs w:val="13"/>
              </w:rPr>
              <w:t xml:space="preserve">        ▼</w:t>
            </w:r>
          </w:p>
          <w:p>
            <w:pPr>
              <w:spacing w:after="0"/>
            </w:pPr>
            <w:r>
              <w:rPr>
                <w:rFonts w:ascii="Consolas" w:cs="Consolas" w:eastAsia="Consolas" w:hAnsi="Consolas"/>
                <w:color w:val="1F3864"/>
                <w:sz w:val="13"/>
                <w:szCs w:val="13"/>
              </w:rPr>
              <w:t xml:space="preserve">        ⬤ (fin)</w:t>
            </w:r>
          </w:p>
        </w:tc>
      </w:tr>
    </w:tbl>
    <w:p>
      <w:pPr>
        <w:spacing w:after="240" w:before="80"/>
        <w:jc w:val="center"/>
      </w:pPr>
      <w:r>
        <w:rPr>
          <w:i/>
          <w:iCs/>
          <w:color w:val="595959"/>
          <w:sz w:val="18"/>
          <w:szCs w:val="18"/>
        </w:rPr>
        <w:t xml:space="preserve">Figure 12 — Diagramme d'activité du cycle complet de collecte, inférence et alerting</w:t>
      </w:r>
    </w:p>
    <w:p>
      <w:pPr>
        <w:pStyle w:val="Heading2"/>
        <w:spacing w:after="180" w:before="360"/>
      </w:pPr>
      <w:r>
        <w:rPr>
          <w:b/>
          <w:bCs/>
          <w:color w:val="2E5395"/>
          <w:sz w:val="26"/>
          <w:szCs w:val="26"/>
        </w:rPr>
        <w:t xml:space="preserve">5.10 Diagramme d'état-transition (State Machine Diagram)</w:t>
      </w:r>
    </w:p>
    <w:tbl>
      <w:tblPr>
        <w:tblW w:type="pct" w:w="100%"/>
        <w:tblBorders>
          <w:top w:val="single" w:color="9DB4CE" w:sz="4"/>
          <w:left w:val="single" w:color="9DB4CE" w:sz="4"/>
          <w:bottom w:val="single" w:color="9DB4CE" w:sz="4"/>
          <w:right w:val="single" w:color="9DB4CE" w:sz="4"/>
          <w:insideH w:val="single" w:color="auto" w:sz="4"/>
          <w:insideV w:val="single" w:color="auto" w:sz="4"/>
        </w:tblBorders>
      </w:tblPr>
      <w:tblGrid>
        <w:gridCol w:w="100"/>
      </w:tblGrid>
      <w:tr>
        <w:tc>
          <w:tcPr>
            <w:shd w:fill="F7F9FC" w:val="clear"/>
            <w:tcMar>
              <w:top w:type="dxa" w:w="160"/>
              <w:left w:type="dxa" w:w="200"/>
              <w:bottom w:type="dxa" w:w="160"/>
              <w:right w:type="dxa" w:w="200"/>
            </w:tcMar>
          </w:tcPr>
          <w:p>
            <w:pPr>
              <w:spacing w:after="0"/>
            </w:pPr>
            <w:r>
              <w:rPr>
                <w:rFonts w:ascii="Consolas" w:cs="Consolas" w:eastAsia="Consolas" w:hAnsi="Consolas"/>
                <w:color w:val="1F3864"/>
                <w:sz w:val="13"/>
                <w:szCs w:val="13"/>
              </w:rPr>
              <w:t xml:space="preserve">        ●</w:t>
            </w:r>
          </w:p>
          <w:p>
            <w:pPr>
              <w:spacing w:after="0"/>
            </w:pPr>
            <w:r>
              <w:rPr>
                <w:rFonts w:ascii="Consolas" w:cs="Consolas" w:eastAsia="Consolas" w:hAnsi="Consolas"/>
                <w:color w:val="1F3864"/>
                <w:sz w:val="13"/>
                <w:szCs w:val="13"/>
              </w:rPr>
              <w:t xml:space="preserve">        │</w:t>
            </w:r>
          </w:p>
          <w:p>
            <w:pPr>
              <w:spacing w:after="0"/>
            </w:pPr>
            <w:r>
              <w:rPr>
                <w:rFonts w:ascii="Consolas" w:cs="Consolas" w:eastAsia="Consolas" w:hAnsi="Consolas"/>
                <w:color w:val="1F3864"/>
                <w:sz w:val="13"/>
                <w:szCs w:val="13"/>
              </w:rPr>
              <w:t xml:space="preserve">        ▼</w:t>
            </w:r>
          </w:p>
          <w:p>
            <w:pPr>
              <w:spacing w:after="0"/>
            </w:pPr>
            <w:r>
              <w:rPr>
                <w:rFonts w:ascii="Consolas" w:cs="Consolas" w:eastAsia="Consolas" w:hAnsi="Consolas"/>
                <w:color w:val="1F3864"/>
                <w:sz w:val="13"/>
                <w:szCs w:val="13"/>
              </w:rPr>
              <w:t xml:space="preserve">   ┌───────────┐   évaluation règle   ┌───────────┐   acquittement   ┌───────────────┐</w:t>
            </w:r>
          </w:p>
          <w:p>
            <w:pPr>
              <w:spacing w:after="0"/>
            </w:pPr>
            <w:r>
              <w:rPr>
                <w:rFonts w:ascii="Consolas" w:cs="Consolas" w:eastAsia="Consolas" w:hAnsi="Consolas"/>
                <w:color w:val="1F3864"/>
                <w:sz w:val="13"/>
                <w:szCs w:val="13"/>
              </w:rPr>
              <w:t xml:space="preserve">   │  [Aucune]   │─────────────────────►│  [Ouverte]  │─────────────────►│ [Acquittée]     │</w:t>
            </w:r>
          </w:p>
          <w:p>
            <w:pPr>
              <w:spacing w:after="0"/>
            </w:pPr>
            <w:r>
              <w:rPr>
                <w:rFonts w:ascii="Consolas" w:cs="Consolas" w:eastAsia="Consolas" w:hAnsi="Consolas"/>
                <w:color w:val="1F3864"/>
                <w:sz w:val="13"/>
                <w:szCs w:val="13"/>
              </w:rPr>
              <w:t xml:space="preserve">   └───────────┘                       └─────┬─────┘                  └───────┬───────┘</w:t>
            </w:r>
          </w:p>
          <w:p>
            <w:pPr>
              <w:spacing w:after="0"/>
            </w:pPr>
            <w:r>
              <w:rPr>
                <w:rFonts w:ascii="Consolas" w:cs="Consolas" w:eastAsia="Consolas" w:hAnsi="Consolas"/>
                <w:color w:val="1F3864"/>
                <w:sz w:val="13"/>
                <w:szCs w:val="13"/>
              </w:rPr>
              <w:t xml:space="preserve">                                                │ escalade (SLA dépassé)          │ résolution</w:t>
            </w:r>
          </w:p>
          <w:p>
            <w:pPr>
              <w:spacing w:after="0"/>
            </w:pPr>
            <w:r>
              <w:rPr>
                <w:rFonts w:ascii="Consolas" w:cs="Consolas" w:eastAsia="Consolas" w:hAnsi="Consolas"/>
                <w:color w:val="1F3864"/>
                <w:sz w:val="13"/>
                <w:szCs w:val="13"/>
              </w:rPr>
              <w:t xml:space="preserve">                                                ▼                                  ▼</w:t>
            </w:r>
          </w:p>
          <w:p>
            <w:pPr>
              <w:spacing w:after="0"/>
            </w:pPr>
            <w:r>
              <w:rPr>
                <w:rFonts w:ascii="Consolas" w:cs="Consolas" w:eastAsia="Consolas" w:hAnsi="Consolas"/>
                <w:color w:val="1F3864"/>
                <w:sz w:val="13"/>
                <w:szCs w:val="13"/>
              </w:rPr>
              <w:t xml:space="preserve">                                         ┌───────────┐                     ┌───────────┐</w:t>
            </w:r>
          </w:p>
          <w:p>
            <w:pPr>
              <w:spacing w:after="0"/>
            </w:pPr>
            <w:r>
              <w:rPr>
                <w:rFonts w:ascii="Consolas" w:cs="Consolas" w:eastAsia="Consolas" w:hAnsi="Consolas"/>
                <w:color w:val="1F3864"/>
                <w:sz w:val="13"/>
                <w:szCs w:val="13"/>
              </w:rPr>
              <w:t xml:space="preserve">                                         │ [Escaladée] │                     │ [Résolue]   │</w:t>
            </w:r>
          </w:p>
          <w:p>
            <w:pPr>
              <w:spacing w:after="0"/>
            </w:pPr>
            <w:r>
              <w:rPr>
                <w:rFonts w:ascii="Consolas" w:cs="Consolas" w:eastAsia="Consolas" w:hAnsi="Consolas"/>
                <w:color w:val="1F3864"/>
                <w:sz w:val="13"/>
                <w:szCs w:val="13"/>
              </w:rPr>
              <w:t xml:space="preserve">                                         └─────┬─────┘                     └───────────┘</w:t>
            </w:r>
          </w:p>
          <w:p>
            <w:pPr>
              <w:spacing w:after="0"/>
            </w:pPr>
            <w:r>
              <w:rPr>
                <w:rFonts w:ascii="Consolas" w:cs="Consolas" w:eastAsia="Consolas" w:hAnsi="Consolas"/>
                <w:color w:val="1F3864"/>
                <w:sz w:val="13"/>
                <w:szCs w:val="13"/>
              </w:rPr>
              <w:t xml:space="preserve">                                                │ résolution</w:t>
            </w:r>
          </w:p>
          <w:p>
            <w:pPr>
              <w:spacing w:after="0"/>
            </w:pPr>
            <w:r>
              <w:rPr>
                <w:rFonts w:ascii="Consolas" w:cs="Consolas" w:eastAsia="Consolas" w:hAnsi="Consolas"/>
                <w:color w:val="1F3864"/>
                <w:sz w:val="13"/>
                <w:szCs w:val="13"/>
              </w:rPr>
              <w:t xml:space="preserve">                                                └─────────────────────────────────►(fin)</w:t>
            </w:r>
          </w:p>
        </w:tc>
      </w:tr>
    </w:tbl>
    <w:p>
      <w:pPr>
        <w:spacing w:after="240" w:before="80"/>
        <w:jc w:val="center"/>
      </w:pPr>
      <w:r>
        <w:rPr>
          <w:i/>
          <w:iCs/>
          <w:color w:val="595959"/>
          <w:sz w:val="18"/>
          <w:szCs w:val="18"/>
        </w:rPr>
        <w:t xml:space="preserve">Figure 13 — Diagramme d'état-transition du cycle de vie d'une Alerte</w:t>
      </w:r>
    </w:p>
    <w:p>
      <w:pPr>
        <w:pStyle w:val="Heading2"/>
        <w:spacing w:after="180" w:before="360"/>
      </w:pPr>
      <w:r>
        <w:rPr>
          <w:b/>
          <w:bCs/>
          <w:color w:val="2E5395"/>
          <w:sz w:val="26"/>
          <w:szCs w:val="26"/>
        </w:rPr>
        <w:t xml:space="preserve">5.11 Diagrammes de séquence (Sequence Diagrams)</w:t>
      </w:r>
    </w:p>
    <w:p>
      <w:pPr>
        <w:spacing w:after="160" w:line="276"/>
        <w:jc w:val="both"/>
      </w:pPr>
      <w:r>
        <w:rPr>
          <w:color w:val="202020"/>
          <w:sz w:val="21"/>
          <w:szCs w:val="21"/>
        </w:rPr>
        <w:t xml:space="preserve">Trois séquences critiques sont détaillées ci-dessous : l'authentification plateforme (JWT), la validation d'un appel à l'API Proxmox (API Token), et le cycle de collecte/prédiction. Les diagrammes de séquence de l'authentification sont repris et enrichis à la section 6.3.</w:t>
      </w:r>
    </w:p>
    <w:tbl>
      <w:tblPr>
        <w:tblW w:type="pct" w:w="100%"/>
        <w:tblBorders>
          <w:top w:val="single" w:color="9DB4CE" w:sz="4"/>
          <w:left w:val="single" w:color="9DB4CE" w:sz="4"/>
          <w:bottom w:val="single" w:color="9DB4CE" w:sz="4"/>
          <w:right w:val="single" w:color="9DB4CE" w:sz="4"/>
          <w:insideH w:val="single" w:color="auto" w:sz="4"/>
          <w:insideV w:val="single" w:color="auto" w:sz="4"/>
        </w:tblBorders>
      </w:tblPr>
      <w:tblGrid>
        <w:gridCol w:w="100"/>
      </w:tblGrid>
      <w:tr>
        <w:tc>
          <w:tcPr>
            <w:shd w:fill="F7F9FC" w:val="clear"/>
            <w:tcMar>
              <w:top w:type="dxa" w:w="160"/>
              <w:left w:type="dxa" w:w="200"/>
              <w:bottom w:type="dxa" w:w="160"/>
              <w:right w:type="dxa" w:w="200"/>
            </w:tcMar>
          </w:tcPr>
          <w:p>
            <w:pPr>
              <w:spacing w:after="0"/>
            </w:pPr>
            <w:r>
              <w:rPr>
                <w:rFonts w:ascii="Consolas" w:cs="Consolas" w:eastAsia="Consolas" w:hAnsi="Consolas"/>
                <w:color w:val="1F3864"/>
                <w:sz w:val="13"/>
                <w:szCs w:val="13"/>
              </w:rPr>
              <w:t xml:space="preserve">Utilisateur   Frontend        Backend/Auth      PostgreSQL        Redis</w:t>
            </w:r>
          </w:p>
          <w:p>
            <w:pPr>
              <w:spacing w:after="0"/>
            </w:pPr>
            <w:r>
              <w:rPr>
                <w:rFonts w:ascii="Consolas" w:cs="Consolas" w:eastAsia="Consolas" w:hAnsi="Consolas"/>
                <w:color w:val="1F3864"/>
                <w:sz w:val="13"/>
                <w:szCs w:val="13"/>
              </w:rPr>
              <w:t xml:space="preserve">    │             │                 │                 │               │</w:t>
            </w:r>
          </w:p>
          <w:p>
            <w:pPr>
              <w:spacing w:after="0"/>
            </w:pPr>
            <w:r>
              <w:rPr>
                <w:rFonts w:ascii="Consolas" w:cs="Consolas" w:eastAsia="Consolas" w:hAnsi="Consolas"/>
                <w:color w:val="1F3864"/>
                <w:sz w:val="13"/>
                <w:szCs w:val="13"/>
              </w:rPr>
              <w:t xml:space="preserve">    │ saisit login │                 │                 │               │</w:t>
            </w:r>
          </w:p>
          <w:p>
            <w:pPr>
              <w:spacing w:after="0"/>
            </w:pPr>
            <w:r>
              <w:rPr>
                <w:rFonts w:ascii="Consolas" w:cs="Consolas" w:eastAsia="Consolas" w:hAnsi="Consolas"/>
                <w:color w:val="1F3864"/>
                <w:sz w:val="13"/>
                <w:szCs w:val="13"/>
              </w:rPr>
              <w:t xml:space="preserve">    │────────────► │                 │                 │               │</w:t>
            </w:r>
          </w:p>
          <w:p>
            <w:pPr>
              <w:spacing w:after="0"/>
            </w:pPr>
            <w:r>
              <w:rPr>
                <w:rFonts w:ascii="Consolas" w:cs="Consolas" w:eastAsia="Consolas" w:hAnsi="Consolas"/>
                <w:color w:val="1F3864"/>
                <w:sz w:val="13"/>
                <w:szCs w:val="13"/>
              </w:rPr>
              <w:t xml:space="preserve">    │             │  POST /auth/login │                 │               │</w:t>
            </w:r>
          </w:p>
          <w:p>
            <w:pPr>
              <w:spacing w:after="0"/>
            </w:pPr>
            <w:r>
              <w:rPr>
                <w:rFonts w:ascii="Consolas" w:cs="Consolas" w:eastAsia="Consolas" w:hAnsi="Consolas"/>
                <w:color w:val="1F3864"/>
                <w:sz w:val="13"/>
                <w:szCs w:val="13"/>
              </w:rPr>
              <w:t xml:space="preserve">    │             │────────────────► │                 │               │</w:t>
            </w:r>
          </w:p>
          <w:p>
            <w:pPr>
              <w:spacing w:after="0"/>
            </w:pPr>
            <w:r>
              <w:rPr>
                <w:rFonts w:ascii="Consolas" w:cs="Consolas" w:eastAsia="Consolas" w:hAnsi="Consolas"/>
                <w:color w:val="1F3864"/>
                <w:sz w:val="13"/>
                <w:szCs w:val="13"/>
              </w:rPr>
              <w:t xml:space="preserve">    │             │                 │ SELECT user      │               │</w:t>
            </w:r>
          </w:p>
          <w:p>
            <w:pPr>
              <w:spacing w:after="0"/>
            </w:pPr>
            <w:r>
              <w:rPr>
                <w:rFonts w:ascii="Consolas" w:cs="Consolas" w:eastAsia="Consolas" w:hAnsi="Consolas"/>
                <w:color w:val="1F3864"/>
                <w:sz w:val="13"/>
                <w:szCs w:val="13"/>
              </w:rPr>
              <w:t xml:space="preserve">    │             │                 │────────────────► │               │</w:t>
            </w:r>
          </w:p>
          <w:p>
            <w:pPr>
              <w:spacing w:after="0"/>
            </w:pPr>
            <w:r>
              <w:rPr>
                <w:rFonts w:ascii="Consolas" w:cs="Consolas" w:eastAsia="Consolas" w:hAnsi="Consolas"/>
                <w:color w:val="1F3864"/>
                <w:sz w:val="13"/>
                <w:szCs w:val="13"/>
              </w:rPr>
              <w:t xml:space="preserve">    │             │                 │◄──────────────── │               │</w:t>
            </w:r>
          </w:p>
          <w:p>
            <w:pPr>
              <w:spacing w:after="0"/>
            </w:pPr>
            <w:r>
              <w:rPr>
                <w:rFonts w:ascii="Consolas" w:cs="Consolas" w:eastAsia="Consolas" w:hAnsi="Consolas"/>
                <w:color w:val="1F3864"/>
                <w:sz w:val="13"/>
                <w:szCs w:val="13"/>
              </w:rPr>
              <w:t xml:space="preserve">    │             │                 │ vérifie hash bcrypt│              │</w:t>
            </w:r>
          </w:p>
          <w:p>
            <w:pPr>
              <w:spacing w:after="0"/>
            </w:pPr>
            <w:r>
              <w:rPr>
                <w:rFonts w:ascii="Consolas" w:cs="Consolas" w:eastAsia="Consolas" w:hAnsi="Consolas"/>
                <w:color w:val="1F3864"/>
                <w:sz w:val="13"/>
                <w:szCs w:val="13"/>
              </w:rPr>
              <w:t xml:space="preserve">    │             │                 │ génère access+refresh JWT         │</w:t>
            </w:r>
          </w:p>
          <w:p>
            <w:pPr>
              <w:spacing w:after="0"/>
            </w:pPr>
            <w:r>
              <w:rPr>
                <w:rFonts w:ascii="Consolas" w:cs="Consolas" w:eastAsia="Consolas" w:hAnsi="Consolas"/>
                <w:color w:val="1F3864"/>
                <w:sz w:val="13"/>
                <w:szCs w:val="13"/>
              </w:rPr>
              <w:t xml:space="preserve">    │             │                 │ stocke refresh (hash) ──────────► │</w:t>
            </w:r>
          </w:p>
          <w:p>
            <w:pPr>
              <w:spacing w:after="0"/>
            </w:pPr>
            <w:r>
              <w:rPr>
                <w:rFonts w:ascii="Consolas" w:cs="Consolas" w:eastAsia="Consolas" w:hAnsi="Consolas"/>
                <w:color w:val="1F3864"/>
                <w:sz w:val="13"/>
                <w:szCs w:val="13"/>
              </w:rPr>
              <w:t xml:space="preserve">    │             │◄──────────────── │                 │               │</w:t>
            </w:r>
          </w:p>
          <w:p>
            <w:pPr>
              <w:spacing w:after="0"/>
            </w:pPr>
            <w:r>
              <w:rPr>
                <w:rFonts w:ascii="Consolas" w:cs="Consolas" w:eastAsia="Consolas" w:hAnsi="Consolas"/>
                <w:color w:val="1F3864"/>
                <w:sz w:val="13"/>
                <w:szCs w:val="13"/>
              </w:rPr>
              <w:t xml:space="preserve">    │             │  200 {access, refresh}              │               │</w:t>
            </w:r>
          </w:p>
          <w:p>
            <w:pPr>
              <w:spacing w:after="0"/>
            </w:pPr>
            <w:r>
              <w:rPr>
                <w:rFonts w:ascii="Consolas" w:cs="Consolas" w:eastAsia="Consolas" w:hAnsi="Consolas"/>
                <w:color w:val="1F3864"/>
                <w:sz w:val="13"/>
                <w:szCs w:val="13"/>
              </w:rPr>
              <w:t xml:space="preserve">    │◄─────────────                 │                 │               │</w:t>
            </w:r>
          </w:p>
        </w:tc>
      </w:tr>
    </w:tbl>
    <w:p>
      <w:pPr>
        <w:spacing w:after="240" w:before="80"/>
        <w:jc w:val="center"/>
      </w:pPr>
      <w:r>
        <w:rPr>
          <w:i/>
          <w:iCs/>
          <w:color w:val="595959"/>
          <w:sz w:val="18"/>
          <w:szCs w:val="18"/>
        </w:rPr>
        <w:t xml:space="preserve">Figure 14 — Diagramme de séquence : connexion à la plateforme (émission JWT)</w:t>
      </w:r>
    </w:p>
    <w:tbl>
      <w:tblPr>
        <w:tblW w:type="pct" w:w="100%"/>
        <w:tblBorders>
          <w:top w:val="single" w:color="9DB4CE" w:sz="4"/>
          <w:left w:val="single" w:color="9DB4CE" w:sz="4"/>
          <w:bottom w:val="single" w:color="9DB4CE" w:sz="4"/>
          <w:right w:val="single" w:color="9DB4CE" w:sz="4"/>
          <w:insideH w:val="single" w:color="auto" w:sz="4"/>
          <w:insideV w:val="single" w:color="auto" w:sz="4"/>
        </w:tblBorders>
      </w:tblPr>
      <w:tblGrid>
        <w:gridCol w:w="100"/>
      </w:tblGrid>
      <w:tr>
        <w:tc>
          <w:tcPr>
            <w:shd w:fill="F7F9FC" w:val="clear"/>
            <w:tcMar>
              <w:top w:type="dxa" w:w="160"/>
              <w:left w:type="dxa" w:w="200"/>
              <w:bottom w:type="dxa" w:w="160"/>
              <w:right w:type="dxa" w:w="200"/>
            </w:tcMar>
          </w:tcPr>
          <w:p>
            <w:pPr>
              <w:spacing w:after="0"/>
            </w:pPr>
            <w:r>
              <w:rPr>
                <w:rFonts w:ascii="Consolas" w:cs="Consolas" w:eastAsia="Consolas" w:hAnsi="Consolas"/>
                <w:color w:val="1F3864"/>
                <w:sz w:val="13"/>
                <w:szCs w:val="13"/>
              </w:rPr>
              <w:t xml:space="preserve">Celery Worker      Backend/ProxmoxConnector       Serveur Proxmox VE</w:t>
            </w:r>
          </w:p>
          <w:p>
            <w:pPr>
              <w:spacing w:after="0"/>
            </w:pPr>
            <w:r>
              <w:rPr>
                <w:rFonts w:ascii="Consolas" w:cs="Consolas" w:eastAsia="Consolas" w:hAnsi="Consolas"/>
                <w:color w:val="1F3864"/>
                <w:sz w:val="13"/>
                <w:szCs w:val="13"/>
              </w:rPr>
              <w:t xml:space="preserve">     │                        │                            │</w:t>
            </w:r>
          </w:p>
          <w:p>
            <w:pPr>
              <w:spacing w:after="0"/>
            </w:pPr>
            <w:r>
              <w:rPr>
                <w:rFonts w:ascii="Consolas" w:cs="Consolas" w:eastAsia="Consolas" w:hAnsi="Consolas"/>
                <w:color w:val="1F3864"/>
                <w:sz w:val="13"/>
                <w:szCs w:val="13"/>
              </w:rPr>
              <w:t xml:space="preserve">     │  collect_metrics(server_id)                          │</w:t>
            </w:r>
          </w:p>
          <w:p>
            <w:pPr>
              <w:spacing w:after="0"/>
            </w:pPr>
            <w:r>
              <w:rPr>
                <w:rFonts w:ascii="Consolas" w:cs="Consolas" w:eastAsia="Consolas" w:hAnsi="Consolas"/>
                <w:color w:val="1F3864"/>
                <w:sz w:val="13"/>
                <w:szCs w:val="13"/>
              </w:rPr>
              <w:t xml:space="preserve">     │──────────────────────► │                            │</w:t>
            </w:r>
          </w:p>
          <w:p>
            <w:pPr>
              <w:spacing w:after="0"/>
            </w:pPr>
            <w:r>
              <w:rPr>
                <w:rFonts w:ascii="Consolas" w:cs="Consolas" w:eastAsia="Consolas" w:hAnsi="Consolas"/>
                <w:color w:val="1F3864"/>
                <w:sz w:val="13"/>
                <w:szCs w:val="13"/>
              </w:rPr>
              <w:t xml:space="preserve">     │                        │ GET /api2/json/nodes         │</w:t>
            </w:r>
          </w:p>
          <w:p>
            <w:pPr>
              <w:spacing w:after="0"/>
            </w:pPr>
            <w:r>
              <w:rPr>
                <w:rFonts w:ascii="Consolas" w:cs="Consolas" w:eastAsia="Consolas" w:hAnsi="Consolas"/>
                <w:color w:val="1F3864"/>
                <w:sz w:val="13"/>
                <w:szCs w:val="13"/>
              </w:rPr>
              <w:t xml:space="preserve">     │                        │ Authorization: PVEAPIToken=… │</w:t>
            </w:r>
          </w:p>
          <w:p>
            <w:pPr>
              <w:spacing w:after="0"/>
            </w:pPr>
            <w:r>
              <w:rPr>
                <w:rFonts w:ascii="Consolas" w:cs="Consolas" w:eastAsia="Consolas" w:hAnsi="Consolas"/>
                <w:color w:val="1F3864"/>
                <w:sz w:val="13"/>
                <w:szCs w:val="13"/>
              </w:rPr>
              <w:t xml:space="preserve">     │                        │────────────────────────────► │</w:t>
            </w:r>
          </w:p>
          <w:p>
            <w:pPr>
              <w:spacing w:after="0"/>
            </w:pPr>
            <w:r>
              <w:rPr>
                <w:rFonts w:ascii="Consolas" w:cs="Consolas" w:eastAsia="Consolas" w:hAnsi="Consolas"/>
                <w:color w:val="1F3864"/>
                <w:sz w:val="13"/>
                <w:szCs w:val="13"/>
              </w:rPr>
              <w:t xml:space="preserve">     │                        │        (Proxmox valide le token en interne)</w:t>
            </w:r>
          </w:p>
          <w:p>
            <w:pPr>
              <w:spacing w:after="0"/>
            </w:pPr>
            <w:r>
              <w:rPr>
                <w:rFonts w:ascii="Consolas" w:cs="Consolas" w:eastAsia="Consolas" w:hAnsi="Consolas"/>
                <w:color w:val="1F3864"/>
                <w:sz w:val="13"/>
                <w:szCs w:val="13"/>
              </w:rPr>
              <w:t xml:space="preserve">     │                        │◄──────────────────────────── │</w:t>
            </w:r>
          </w:p>
          <w:p>
            <w:pPr>
              <w:spacing w:after="0"/>
            </w:pPr>
            <w:r>
              <w:rPr>
                <w:rFonts w:ascii="Consolas" w:cs="Consolas" w:eastAsia="Consolas" w:hAnsi="Consolas"/>
                <w:color w:val="1F3864"/>
                <w:sz w:val="13"/>
                <w:szCs w:val="13"/>
              </w:rPr>
              <w:t xml:space="preserve">     │                        │  200 [nodes JSON]             │</w:t>
            </w:r>
          </w:p>
          <w:p>
            <w:pPr>
              <w:spacing w:after="0"/>
            </w:pPr>
            <w:r>
              <w:rPr>
                <w:rFonts w:ascii="Consolas" w:cs="Consolas" w:eastAsia="Consolas" w:hAnsi="Consolas"/>
                <w:color w:val="1F3864"/>
                <w:sz w:val="13"/>
                <w:szCs w:val="13"/>
              </w:rPr>
              <w:t xml:space="preserve">     │◄──────────────────────  │                            │</w:t>
            </w:r>
          </w:p>
          <w:p>
            <w:pPr>
              <w:spacing w:after="0"/>
            </w:pPr>
            <w:r>
              <w:rPr>
                <w:rFonts w:ascii="Consolas" w:cs="Consolas" w:eastAsia="Consolas" w:hAnsi="Consolas"/>
                <w:color w:val="1F3864"/>
                <w:sz w:val="13"/>
                <w:szCs w:val="13"/>
              </w:rPr>
              <w:t xml:space="preserve">     │  persiste métriques    │                            │</w:t>
            </w:r>
          </w:p>
        </w:tc>
      </w:tr>
    </w:tbl>
    <w:p>
      <w:pPr>
        <w:spacing w:after="240" w:before="80"/>
        <w:jc w:val="center"/>
      </w:pPr>
      <w:r>
        <w:rPr>
          <w:i/>
          <w:iCs/>
          <w:color w:val="595959"/>
          <w:sz w:val="18"/>
          <w:szCs w:val="18"/>
        </w:rPr>
        <w:t xml:space="preserve">Figure 15 — Diagramme de séquence : collecte de métriques via API Token Proxmox (validation déléguée à Proxmox)</w:t>
      </w:r>
    </w:p>
    <w:p>
      <w:pPr>
        <w:pStyle w:val="Heading2"/>
        <w:spacing w:after="180" w:before="360"/>
      </w:pPr>
      <w:r>
        <w:rPr>
          <w:b/>
          <w:bCs/>
          <w:color w:val="2E5395"/>
          <w:sz w:val="26"/>
          <w:szCs w:val="26"/>
        </w:rPr>
        <w:t xml:space="preserve">5.12 Diagramme de temps (Timing Diagram)</w:t>
      </w:r>
    </w:p>
    <w:tbl>
      <w:tblPr>
        <w:tblW w:type="pct" w:w="100%"/>
        <w:tblBorders>
          <w:top w:val="single" w:color="9DB4CE" w:sz="4"/>
          <w:left w:val="single" w:color="9DB4CE" w:sz="4"/>
          <w:bottom w:val="single" w:color="9DB4CE" w:sz="4"/>
          <w:right w:val="single" w:color="9DB4CE" w:sz="4"/>
          <w:insideH w:val="single" w:color="auto" w:sz="4"/>
          <w:insideV w:val="single" w:color="auto" w:sz="4"/>
        </w:tblBorders>
      </w:tblPr>
      <w:tblGrid>
        <w:gridCol w:w="100"/>
      </w:tblGrid>
      <w:tr>
        <w:tc>
          <w:tcPr>
            <w:shd w:fill="F7F9FC" w:val="clear"/>
            <w:tcMar>
              <w:top w:type="dxa" w:w="160"/>
              <w:left w:type="dxa" w:w="200"/>
              <w:bottom w:type="dxa" w:w="160"/>
              <w:right w:type="dxa" w:w="200"/>
            </w:tcMar>
          </w:tcPr>
          <w:p>
            <w:pPr>
              <w:spacing w:after="0"/>
            </w:pPr>
            <w:r>
              <w:rPr>
                <w:rFonts w:ascii="Consolas" w:cs="Consolas" w:eastAsia="Consolas" w:hAnsi="Consolas"/>
                <w:color w:val="1F3864"/>
                <w:sz w:val="13"/>
                <w:szCs w:val="13"/>
              </w:rPr>
              <w:t xml:space="preserve">État VM     ┌──────────────────────────────────────────────────────────────►  t</w:t>
            </w:r>
          </w:p>
          <w:p>
            <w:pPr>
              <w:spacing w:after="0"/>
            </w:pPr>
            <w:r>
              <w:rPr>
                <w:rFonts w:ascii="Consolas" w:cs="Consolas" w:eastAsia="Consolas" w:hAnsi="Consolas"/>
                <w:color w:val="1F3864"/>
                <w:sz w:val="13"/>
                <w:szCs w:val="13"/>
              </w:rPr>
              <w:t xml:space="preserve">Normal      ████████████</w:t>
            </w:r>
          </w:p>
          <w:p>
            <w:pPr>
              <w:spacing w:after="0"/>
            </w:pPr>
            <w:r>
              <w:rPr>
                <w:rFonts w:ascii="Consolas" w:cs="Consolas" w:eastAsia="Consolas" w:hAnsi="Consolas"/>
                <w:color w:val="1F3864"/>
                <w:sz w:val="13"/>
                <w:szCs w:val="13"/>
              </w:rPr>
              <w:t xml:space="preserve">Warning                 ██████████████</w:t>
            </w:r>
          </w:p>
          <w:p>
            <w:pPr>
              <w:spacing w:after="0"/>
            </w:pPr>
            <w:r>
              <w:rPr>
                <w:rFonts w:ascii="Consolas" w:cs="Consolas" w:eastAsia="Consolas" w:hAnsi="Consolas"/>
                <w:color w:val="1F3864"/>
                <w:sz w:val="13"/>
                <w:szCs w:val="13"/>
              </w:rPr>
              <w:t xml:space="preserve">Critical                              ████████</w:t>
            </w:r>
          </w:p>
          <w:p>
            <w:pPr>
              <w:spacing w:after="0"/>
            </w:pPr>
            <w:r>
              <w:rPr>
                <w:rFonts w:ascii="Consolas" w:cs="Consolas" w:eastAsia="Consolas" w:hAnsi="Consolas"/>
                <w:color w:val="1F3864"/>
                <w:sz w:val="13"/>
                <w:szCs w:val="13"/>
              </w:rPr>
              <w:t xml:space="preserve">Emergency                                     ████►</w:t>
            </w:r>
          </w:p>
          <w:p>
            <w:pPr>
              <w:spacing w:after="0"/>
            </w:pPr>
            <w:r>
              <w:rPr>
                <w:rFonts w:ascii="Consolas" w:cs="Consolas" w:eastAsia="Consolas" w:hAnsi="Consolas"/>
                <w:color w:val="1F3864"/>
                <w:sz w:val="13"/>
                <w:szCs w:val="13"/>
              </w:rPr>
              <w:t xml:space="preserve">            0        6j        12j        18j       21j  (jours avant saturation estimée)</w:t>
            </w:r>
          </w:p>
          <w:p>
            <w:pPr>
              <w:spacing w:after="0"/>
            </w:pPr>
            <w:r>
              <w:rPr>
                <w:rFonts w:ascii="Consolas" w:cs="Consolas" w:eastAsia="Consolas" w:hAnsi="Consolas"/>
                <w:color w:val="1F3864"/>
                <w:sz w:val="13"/>
                <w:szCs w:val="13"/>
              </w:rPr>
              <w:t xml:space="preserve">                                                     ▲</w:t>
            </w:r>
          </w:p>
          <w:p>
            <w:pPr>
              <w:spacing w:after="0"/>
            </w:pPr>
            <w:r>
              <w:rPr>
                <w:rFonts w:ascii="Consolas" w:cs="Consolas" w:eastAsia="Consolas" w:hAnsi="Consolas"/>
                <w:color w:val="1F3864"/>
                <w:sz w:val="13"/>
                <w:szCs w:val="13"/>
              </w:rPr>
              <w:t xml:space="preserve">                                            seuil d'alerte Emergency franchi</w:t>
            </w:r>
          </w:p>
        </w:tc>
      </w:tr>
    </w:tbl>
    <w:p>
      <w:pPr>
        <w:spacing w:after="240" w:before="80"/>
        <w:jc w:val="center"/>
      </w:pPr>
      <w:r>
        <w:rPr>
          <w:i/>
          <w:iCs/>
          <w:color w:val="595959"/>
          <w:sz w:val="18"/>
          <w:szCs w:val="18"/>
        </w:rPr>
        <w:t xml:space="preserve">Figure 16 — Diagramme de temps : évolution de l'état d'une VM en fonction du score de risque prédit sur 21 jours</w:t>
      </w:r>
    </w:p>
    <w:p>
      <w:pPr>
        <w:pStyle w:val="Heading2"/>
        <w:spacing w:after="180" w:before="360"/>
      </w:pPr>
      <w:r>
        <w:rPr>
          <w:b/>
          <w:bCs/>
          <w:color w:val="2E5395"/>
          <w:sz w:val="26"/>
          <w:szCs w:val="26"/>
        </w:rPr>
        <w:t xml:space="preserve">5.13 Diagramme de vue d'ensemble des interactions (Interaction Overview Diagram)</w:t>
      </w:r>
    </w:p>
    <w:tbl>
      <w:tblPr>
        <w:tblW w:type="pct" w:w="100%"/>
        <w:tblBorders>
          <w:top w:val="single" w:color="9DB4CE" w:sz="4"/>
          <w:left w:val="single" w:color="9DB4CE" w:sz="4"/>
          <w:bottom w:val="single" w:color="9DB4CE" w:sz="4"/>
          <w:right w:val="single" w:color="9DB4CE" w:sz="4"/>
          <w:insideH w:val="single" w:color="auto" w:sz="4"/>
          <w:insideV w:val="single" w:color="auto" w:sz="4"/>
        </w:tblBorders>
      </w:tblPr>
      <w:tblGrid>
        <w:gridCol w:w="100"/>
      </w:tblGrid>
      <w:tr>
        <w:tc>
          <w:tcPr>
            <w:shd w:fill="F7F9FC" w:val="clear"/>
            <w:tcMar>
              <w:top w:type="dxa" w:w="160"/>
              <w:left w:type="dxa" w:w="200"/>
              <w:bottom w:type="dxa" w:w="160"/>
              <w:right w:type="dxa" w:w="200"/>
            </w:tcMar>
          </w:tcPr>
          <w:p>
            <w:pPr>
              <w:spacing w:after="0"/>
            </w:pPr>
            <w:r>
              <w:rPr>
                <w:rFonts w:ascii="Consolas" w:cs="Consolas" w:eastAsia="Consolas" w:hAnsi="Consolas"/>
                <w:color w:val="1F3864"/>
                <w:sz w:val="13"/>
                <w:szCs w:val="13"/>
              </w:rPr>
              <w:t xml:space="preserve">        ●</w:t>
            </w:r>
          </w:p>
          <w:p>
            <w:pPr>
              <w:spacing w:after="0"/>
            </w:pPr>
            <w:r>
              <w:rPr>
                <w:rFonts w:ascii="Consolas" w:cs="Consolas" w:eastAsia="Consolas" w:hAnsi="Consolas"/>
                <w:color w:val="1F3864"/>
                <w:sz w:val="13"/>
                <w:szCs w:val="13"/>
              </w:rPr>
              <w:t xml:space="preserve">        │</w:t>
            </w:r>
          </w:p>
          <w:p>
            <w:pPr>
              <w:spacing w:after="0"/>
            </w:pPr>
            <w:r>
              <w:rPr>
                <w:rFonts w:ascii="Consolas" w:cs="Consolas" w:eastAsia="Consolas" w:hAnsi="Consolas"/>
                <w:color w:val="1F3864"/>
                <w:sz w:val="13"/>
                <w:szCs w:val="13"/>
              </w:rPr>
              <w:t xml:space="preserve">        ▼</w:t>
            </w:r>
          </w:p>
          <w:p>
            <w:pPr>
              <w:spacing w:after="0"/>
            </w:pPr>
            <w:r>
              <w:rPr>
                <w:rFonts w:ascii="Consolas" w:cs="Consolas" w:eastAsia="Consolas" w:hAnsi="Consolas"/>
                <w:color w:val="1F3864"/>
                <w:sz w:val="13"/>
                <w:szCs w:val="13"/>
              </w:rPr>
              <w:t xml:space="preserve">  ┌───────────────────────┐</w:t>
            </w:r>
          </w:p>
          <w:p>
            <w:pPr>
              <w:spacing w:after="0"/>
            </w:pPr>
            <w:r>
              <w:rPr>
                <w:rFonts w:ascii="Consolas" w:cs="Consolas" w:eastAsia="Consolas" w:hAnsi="Consolas"/>
                <w:color w:val="1F3864"/>
                <w:sz w:val="13"/>
                <w:szCs w:val="13"/>
              </w:rPr>
              <w:t xml:space="preserve">  │ ref: Séquence           │   (Figure 15 — Collecte métriques)</w:t>
            </w:r>
          </w:p>
          <w:p>
            <w:pPr>
              <w:spacing w:after="0"/>
            </w:pPr>
            <w:r>
              <w:rPr>
                <w:rFonts w:ascii="Consolas" w:cs="Consolas" w:eastAsia="Consolas" w:hAnsi="Consolas"/>
                <w:color w:val="1F3864"/>
                <w:sz w:val="13"/>
                <w:szCs w:val="13"/>
              </w:rPr>
              <w:t xml:space="preserve">  │ « Collecte métriques »  │</w:t>
            </w:r>
          </w:p>
          <w:p>
            <w:pPr>
              <w:spacing w:after="0"/>
            </w:pPr>
            <w:r>
              <w:rPr>
                <w:rFonts w:ascii="Consolas" w:cs="Consolas" w:eastAsia="Consolas" w:hAnsi="Consolas"/>
                <w:color w:val="1F3864"/>
                <w:sz w:val="13"/>
                <w:szCs w:val="13"/>
              </w:rPr>
              <w:t xml:space="preserve">  └───────────┬───────────┘</w:t>
            </w:r>
          </w:p>
          <w:p>
            <w:pPr>
              <w:spacing w:after="0"/>
            </w:pPr>
            <w:r>
              <w:rPr>
                <w:rFonts w:ascii="Consolas" w:cs="Consolas" w:eastAsia="Consolas" w:hAnsi="Consolas"/>
                <w:color w:val="1F3864"/>
                <w:sz w:val="13"/>
                <w:szCs w:val="13"/>
              </w:rPr>
              <w:t xml:space="preserve">               ▼</w:t>
            </w:r>
          </w:p>
          <w:p>
            <w:pPr>
              <w:spacing w:after="0"/>
            </w:pPr>
            <w:r>
              <w:rPr>
                <w:rFonts w:ascii="Consolas" w:cs="Consolas" w:eastAsia="Consolas" w:hAnsi="Consolas"/>
                <w:color w:val="1F3864"/>
                <w:sz w:val="13"/>
                <w:szCs w:val="13"/>
              </w:rPr>
              <w:t xml:space="preserve">         &lt;données suffisantes ?&gt;── non ──► ◆</w:t>
            </w:r>
          </w:p>
          <w:p>
            <w:pPr>
              <w:spacing w:after="0"/>
            </w:pPr>
            <w:r>
              <w:rPr>
                <w:rFonts w:ascii="Consolas" w:cs="Consolas" w:eastAsia="Consolas" w:hAnsi="Consolas"/>
                <w:color w:val="1F3864"/>
                <w:sz w:val="13"/>
                <w:szCs w:val="13"/>
              </w:rPr>
              <w:t xml:space="preserve">               │ oui</w:t>
            </w:r>
          </w:p>
          <w:p>
            <w:pPr>
              <w:spacing w:after="0"/>
            </w:pPr>
            <w:r>
              <w:rPr>
                <w:rFonts w:ascii="Consolas" w:cs="Consolas" w:eastAsia="Consolas" w:hAnsi="Consolas"/>
                <w:color w:val="1F3864"/>
                <w:sz w:val="13"/>
                <w:szCs w:val="13"/>
              </w:rPr>
              <w:t xml:space="preserve">               ▼</w:t>
            </w:r>
          </w:p>
          <w:p>
            <w:pPr>
              <w:spacing w:after="0"/>
            </w:pPr>
            <w:r>
              <w:rPr>
                <w:rFonts w:ascii="Consolas" w:cs="Consolas" w:eastAsia="Consolas" w:hAnsi="Consolas"/>
                <w:color w:val="1F3864"/>
                <w:sz w:val="13"/>
                <w:szCs w:val="13"/>
              </w:rPr>
              <w:t xml:space="preserve">  ┌───────────────────────┐</w:t>
            </w:r>
          </w:p>
          <w:p>
            <w:pPr>
              <w:spacing w:after="0"/>
            </w:pPr>
            <w:r>
              <w:rPr>
                <w:rFonts w:ascii="Consolas" w:cs="Consolas" w:eastAsia="Consolas" w:hAnsi="Consolas"/>
                <w:color w:val="1F3864"/>
                <w:sz w:val="13"/>
                <w:szCs w:val="13"/>
              </w:rPr>
              <w:t xml:space="preserve">  │ ref: Activité            │   (Figure 12 — Pipeline IA)</w:t>
            </w:r>
          </w:p>
          <w:p>
            <w:pPr>
              <w:spacing w:after="0"/>
            </w:pPr>
            <w:r>
              <w:rPr>
                <w:rFonts w:ascii="Consolas" w:cs="Consolas" w:eastAsia="Consolas" w:hAnsi="Consolas"/>
                <w:color w:val="1F3864"/>
                <w:sz w:val="13"/>
                <w:szCs w:val="13"/>
              </w:rPr>
              <w:t xml:space="preserve">  │ « Inférence IA »         │</w:t>
            </w:r>
          </w:p>
          <w:p>
            <w:pPr>
              <w:spacing w:after="0"/>
            </w:pPr>
            <w:r>
              <w:rPr>
                <w:rFonts w:ascii="Consolas" w:cs="Consolas" w:eastAsia="Consolas" w:hAnsi="Consolas"/>
                <w:color w:val="1F3864"/>
                <w:sz w:val="13"/>
                <w:szCs w:val="13"/>
              </w:rPr>
              <w:t xml:space="preserve">  └───────────┬───────────┘</w:t>
            </w:r>
          </w:p>
          <w:p>
            <w:pPr>
              <w:spacing w:after="0"/>
            </w:pPr>
            <w:r>
              <w:rPr>
                <w:rFonts w:ascii="Consolas" w:cs="Consolas" w:eastAsia="Consolas" w:hAnsi="Consolas"/>
                <w:color w:val="1F3864"/>
                <w:sz w:val="13"/>
                <w:szCs w:val="13"/>
              </w:rPr>
              <w:t xml:space="preserve">               ▼</w:t>
            </w:r>
          </w:p>
          <w:p>
            <w:pPr>
              <w:spacing w:after="0"/>
            </w:pPr>
            <w:r>
              <w:rPr>
                <w:rFonts w:ascii="Consolas" w:cs="Consolas" w:eastAsia="Consolas" w:hAnsi="Consolas"/>
                <w:color w:val="1F3864"/>
                <w:sz w:val="13"/>
                <w:szCs w:val="13"/>
              </w:rPr>
              <w:t xml:space="preserve">         &lt;alerte générée ?&gt;──── non ──► ◆</w:t>
            </w:r>
          </w:p>
          <w:p>
            <w:pPr>
              <w:spacing w:after="0"/>
            </w:pPr>
            <w:r>
              <w:rPr>
                <w:rFonts w:ascii="Consolas" w:cs="Consolas" w:eastAsia="Consolas" w:hAnsi="Consolas"/>
                <w:color w:val="1F3864"/>
                <w:sz w:val="13"/>
                <w:szCs w:val="13"/>
              </w:rPr>
              <w:t xml:space="preserve">               │ oui</w:t>
            </w:r>
          </w:p>
          <w:p>
            <w:pPr>
              <w:spacing w:after="0"/>
            </w:pPr>
            <w:r>
              <w:rPr>
                <w:rFonts w:ascii="Consolas" w:cs="Consolas" w:eastAsia="Consolas" w:hAnsi="Consolas"/>
                <w:color w:val="1F3864"/>
                <w:sz w:val="13"/>
                <w:szCs w:val="13"/>
              </w:rPr>
              <w:t xml:space="preserve">               ▼</w:t>
            </w:r>
          </w:p>
          <w:p>
            <w:pPr>
              <w:spacing w:after="0"/>
            </w:pPr>
            <w:r>
              <w:rPr>
                <w:rFonts w:ascii="Consolas" w:cs="Consolas" w:eastAsia="Consolas" w:hAnsi="Consolas"/>
                <w:color w:val="1F3864"/>
                <w:sz w:val="13"/>
                <w:szCs w:val="13"/>
              </w:rPr>
              <w:t xml:space="preserve">  ┌───────────────────────┐</w:t>
            </w:r>
          </w:p>
          <w:p>
            <w:pPr>
              <w:spacing w:after="0"/>
            </w:pPr>
            <w:r>
              <w:rPr>
                <w:rFonts w:ascii="Consolas" w:cs="Consolas" w:eastAsia="Consolas" w:hAnsi="Consolas"/>
                <w:color w:val="1F3864"/>
                <w:sz w:val="13"/>
                <w:szCs w:val="13"/>
              </w:rPr>
              <w:t xml:space="preserve">  │ ref: État                │   (Figure 13 — Cycle de vie Alerte)</w:t>
            </w:r>
          </w:p>
          <w:p>
            <w:pPr>
              <w:spacing w:after="0"/>
            </w:pPr>
            <w:r>
              <w:rPr>
                <w:rFonts w:ascii="Consolas" w:cs="Consolas" w:eastAsia="Consolas" w:hAnsi="Consolas"/>
                <w:color w:val="1F3864"/>
                <w:sz w:val="13"/>
                <w:szCs w:val="13"/>
              </w:rPr>
              <w:t xml:space="preserve">  │ « Notification »         │</w:t>
            </w:r>
          </w:p>
          <w:p>
            <w:pPr>
              <w:spacing w:after="0"/>
            </w:pPr>
            <w:r>
              <w:rPr>
                <w:rFonts w:ascii="Consolas" w:cs="Consolas" w:eastAsia="Consolas" w:hAnsi="Consolas"/>
                <w:color w:val="1F3864"/>
                <w:sz w:val="13"/>
                <w:szCs w:val="13"/>
              </w:rPr>
              <w:t xml:space="preserve">  └───────────┬───────────┘</w:t>
            </w:r>
          </w:p>
          <w:p>
            <w:pPr>
              <w:spacing w:after="0"/>
            </w:pPr>
            <w:r>
              <w:rPr>
                <w:rFonts w:ascii="Consolas" w:cs="Consolas" w:eastAsia="Consolas" w:hAnsi="Consolas"/>
                <w:color w:val="1F3864"/>
                <w:sz w:val="13"/>
                <w:szCs w:val="13"/>
              </w:rPr>
              <w:t xml:space="preserve">               ▼</w:t>
            </w:r>
          </w:p>
          <w:p>
            <w:pPr>
              <w:spacing w:after="0"/>
            </w:pPr>
            <w:r>
              <w:rPr>
                <w:rFonts w:ascii="Consolas" w:cs="Consolas" w:eastAsia="Consolas" w:hAnsi="Consolas"/>
                <w:color w:val="1F3864"/>
                <w:sz w:val="13"/>
                <w:szCs w:val="13"/>
              </w:rPr>
              <w:t xml:space="preserve">               ⬤</w:t>
            </w:r>
          </w:p>
        </w:tc>
      </w:tr>
    </w:tbl>
    <w:p>
      <w:pPr>
        <w:spacing w:after="240" w:before="80"/>
        <w:jc w:val="center"/>
      </w:pPr>
      <w:r>
        <w:rPr>
          <w:i/>
          <w:iCs/>
          <w:color w:val="595959"/>
          <w:sz w:val="18"/>
          <w:szCs w:val="18"/>
        </w:rPr>
        <w:t xml:space="preserve">Figure 17 — Diagramme de vue d'ensemble des interactions, orchestrant les sous-diagrammes des figures 12, 13 et 15</w:t>
      </w:r>
    </w:p>
    <w:p>
      <w:r>
        <w:br w:type="page"/>
      </w:r>
    </w:p>
    <w:p>
      <w:pPr>
        <w:pStyle w:val="Heading1"/>
        <w:pBdr>
          <w:bottom w:val="single" w:color="2E5395" w:sz="8" w:space="4"/>
        </w:pBdr>
        <w:spacing w:after="240" w:before="480"/>
      </w:pPr>
      <w:r>
        <w:rPr>
          <w:b/>
          <w:bCs/>
          <w:color w:val="1F3864"/>
          <w:sz w:val="32"/>
          <w:szCs w:val="32"/>
        </w:rPr>
        <w:t xml:space="preserve">6. Authentification</w:t>
      </w:r>
    </w:p>
    <w:p>
      <w:pPr>
        <w:spacing w:after="160" w:line="276"/>
        <w:jc w:val="both"/>
      </w:pPr>
      <w:r>
        <w:rPr>
          <w:color w:val="202020"/>
          <w:sz w:val="21"/>
          <w:szCs w:val="21"/>
        </w:rPr>
        <w:t xml:space="preserve">Le système repose sur deux mécanismes d'authentification strictement distincts et non interchangeables : l'authentification à la plateforme elle-même (utilisateurs humains) et l'authentification aux serveurs Proxmox supervisés (machine-to-machine).</w:t>
      </w:r>
    </w:p>
    <w:p>
      <w:pPr>
        <w:pStyle w:val="Heading2"/>
        <w:spacing w:after="180" w:before="360"/>
      </w:pPr>
      <w:r>
        <w:rPr>
          <w:b/>
          <w:bCs/>
          <w:color w:val="2E5395"/>
          <w:sz w:val="26"/>
          <w:szCs w:val="26"/>
        </w:rPr>
        <w:t xml:space="preserve">6.1 Authentification plateforme (JWT + RBAC)</w:t>
      </w:r>
    </w:p>
    <w:p>
      <w:pPr>
        <w:spacing w:after="160" w:line="276"/>
        <w:jc w:val="both"/>
      </w:pPr>
      <w:r>
        <w:rPr>
          <w:color w:val="202020"/>
          <w:sz w:val="21"/>
          <w:szCs w:val="21"/>
        </w:rPr>
        <w:t xml:space="preserve">L'utilisateur s'authentifie auprès du backend via un couple email/mot de passe (hashé avec bcrypt, facteur de coût 12). En cas de succès, le serveur émet deux jetons : un Access Token JWT de courte durée de vie (15 minutes), signé en HS256 ou RS256 selon la politique de déploiement, transportant l'identifiant utilisateur, le tenant (company_id) et le rôle ; et un Refresh Token de longue durée (7 jours), opaque côté client, dont seul le hash est persisté côté serveur (permettant sa révocation immédiate, contrairement à un JWT auto-porteur classique).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600"/>
      </w:tblGrid>
      <w:tr>
        <w:trPr>
          <w:tblHeader/>
        </w:trPr>
        <w:tc>
          <w:tcPr>
            <w:tcW w:type="dxa" w:w="2200"/>
            <w:shd w:fill="1F3864" w:val="clear"/>
            <w:tcMar>
              <w:top w:type="dxa" w:w="100"/>
              <w:left w:type="dxa" w:w="120"/>
              <w:bottom w:type="dxa" w:w="100"/>
              <w:right w:type="dxa" w:w="120"/>
            </w:tcMar>
            <w:vAlign w:val="center"/>
          </w:tcPr>
          <w:p>
            <w:pPr>
              <w:jc w:val="left"/>
            </w:pPr>
            <w:r>
              <w:rPr>
                <w:b/>
                <w:bCs/>
                <w:color w:val="FFFFFF"/>
                <w:sz w:val="19"/>
                <w:szCs w:val="19"/>
              </w:rPr>
              <w:t xml:space="preserve">Élément</w:t>
            </w:r>
          </w:p>
        </w:tc>
        <w:tc>
          <w:tcPr>
            <w:tcW w:type="dxa" w:w="3600"/>
            <w:shd w:fill="1F3864" w:val="clear"/>
            <w:tcMar>
              <w:top w:type="dxa" w:w="100"/>
              <w:left w:type="dxa" w:w="120"/>
              <w:bottom w:type="dxa" w:w="100"/>
              <w:right w:type="dxa" w:w="120"/>
            </w:tcMar>
            <w:vAlign w:val="center"/>
          </w:tcPr>
          <w:p>
            <w:pPr>
              <w:jc w:val="left"/>
            </w:pPr>
            <w:r>
              <w:rPr>
                <w:b/>
                <w:bCs/>
                <w:color w:val="FFFFFF"/>
                <w:sz w:val="19"/>
                <w:szCs w:val="19"/>
              </w:rPr>
              <w:t xml:space="preserve">Access Token</w:t>
            </w:r>
          </w:p>
        </w:tc>
        <w:tc>
          <w:tcPr>
            <w:tcW w:type="dxa" w:w="3600"/>
            <w:shd w:fill="1F3864" w:val="clear"/>
            <w:tcMar>
              <w:top w:type="dxa" w:w="100"/>
              <w:left w:type="dxa" w:w="120"/>
              <w:bottom w:type="dxa" w:w="100"/>
              <w:right w:type="dxa" w:w="120"/>
            </w:tcMar>
            <w:vAlign w:val="center"/>
          </w:tcPr>
          <w:p>
            <w:pPr>
              <w:jc w:val="left"/>
            </w:pPr>
            <w:r>
              <w:rPr>
                <w:b/>
                <w:bCs/>
                <w:color w:val="FFFFFF"/>
                <w:sz w:val="19"/>
                <w:szCs w:val="19"/>
              </w:rPr>
              <w:t xml:space="preserve">Refresh Token</w:t>
            </w:r>
          </w:p>
        </w:tc>
      </w:tr>
      <w:tr>
        <w:tc>
          <w:tcPr>
            <w:tcW w:type="dxa" w:w="22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Format</w:t>
            </w:r>
          </w:p>
        </w:tc>
        <w:tc>
          <w:tcPr>
            <w:tcW w:type="dxa" w:w="36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JWT signé (HS256/RS256)</w:t>
            </w:r>
          </w:p>
        </w:tc>
        <w:tc>
          <w:tcPr>
            <w:tcW w:type="dxa" w:w="36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Chaîne aléatoire opaque (256 bits)</w:t>
            </w:r>
          </w:p>
        </w:tc>
      </w:tr>
      <w:tr>
        <w:tc>
          <w:tcPr>
            <w:tcW w:type="dxa" w:w="22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Durée de vie</w:t>
            </w:r>
          </w:p>
        </w:tc>
        <w:tc>
          <w:tcPr>
            <w:tcW w:type="dxa" w:w="36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15 minutes</w:t>
            </w:r>
          </w:p>
        </w:tc>
        <w:tc>
          <w:tcPr>
            <w:tcW w:type="dxa" w:w="36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7 jours (glissant, rotation à chaque usage)</w:t>
            </w:r>
          </w:p>
        </w:tc>
      </w:tr>
      <w:tr>
        <w:tc>
          <w:tcPr>
            <w:tcW w:type="dxa" w:w="22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Stockage côté client</w:t>
            </w:r>
          </w:p>
        </w:tc>
        <w:tc>
          <w:tcPr>
            <w:tcW w:type="dxa" w:w="36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Mémoire applicative (jamais localStorage)</w:t>
            </w:r>
          </w:p>
        </w:tc>
        <w:tc>
          <w:tcPr>
            <w:tcW w:type="dxa" w:w="36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Cookie HttpOnly + Secure + SameSite=Strict</w:t>
            </w:r>
          </w:p>
        </w:tc>
      </w:tr>
      <w:tr>
        <w:tc>
          <w:tcPr>
            <w:tcW w:type="dxa" w:w="22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Contenu</w:t>
            </w:r>
          </w:p>
        </w:tc>
        <w:tc>
          <w:tcPr>
            <w:tcW w:type="dxa" w:w="36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sub, company_id, role, permissions, exp, iat</w:t>
            </w:r>
          </w:p>
        </w:tc>
        <w:tc>
          <w:tcPr>
            <w:tcW w:type="dxa" w:w="36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Aucune donnée métier (opaque)</w:t>
            </w:r>
          </w:p>
        </w:tc>
      </w:tr>
      <w:tr>
        <w:tc>
          <w:tcPr>
            <w:tcW w:type="dxa" w:w="22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Révocation</w:t>
            </w:r>
          </w:p>
        </w:tc>
        <w:tc>
          <w:tcPr>
            <w:tcW w:type="dxa" w:w="36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Impossible avant expiration (courte durée volontairement)</w:t>
            </w:r>
          </w:p>
        </w:tc>
        <w:tc>
          <w:tcPr>
            <w:tcW w:type="dxa" w:w="36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Immédiate via suppression du hash en base/Redis</w:t>
            </w:r>
          </w:p>
        </w:tc>
      </w:tr>
    </w:tbl>
    <w:p>
      <w:pPr>
        <w:spacing w:after="160" w:line="276"/>
        <w:jc w:val="both"/>
      </w:pPr>
      <w:r>
        <w:rPr>
          <w:color w:val="202020"/>
          <w:sz w:val="21"/>
          <w:szCs w:val="21"/>
        </w:rPr>
        <w:t xml:space="preserve">Le contrôle d'accès basé sur les rôles (RBAC) définit quatre rôles principaux — Super Admin, Admin Entreprise, Opérateur, Auditeur — chacun associé à un ensemble de permissions granulaires (ex. servers:write, alerts:acknowledge, audit:read) vérifiées par une dépendance FastAPI dédiée sur chaque endpoint, plutôt que par un contrôle dispersé dans la logique métier.</w:t>
      </w:r>
    </w:p>
    <w:p>
      <w:pPr>
        <w:pStyle w:val="Heading2"/>
        <w:spacing w:after="180" w:before="360"/>
      </w:pPr>
      <w:r>
        <w:rPr>
          <w:b/>
          <w:bCs/>
          <w:color w:val="2E5395"/>
          <w:sz w:val="26"/>
          <w:szCs w:val="26"/>
        </w:rPr>
        <w:t xml:space="preserve">6.2 Authentification Proxmox (API Tokens)</w:t>
      </w:r>
    </w:p>
    <w:p>
      <w:pPr>
        <w:spacing w:after="160" w:line="276"/>
        <w:jc w:val="both"/>
      </w:pPr>
      <w:r>
        <w:rPr>
          <w:color w:val="202020"/>
          <w:sz w:val="21"/>
          <w:szCs w:val="21"/>
        </w:rPr>
        <w:t xml:space="preserve">La plateforme ne stocke jamais de mot de passe Proxmox. Chaque connexion à un serveur Proxmox s'appuie sur un API Token généré depuis l'interface Proxmox elle-même (Datacenter → Permissions → API Tokens), associé à un utilisateur Proxmox dédié à la supervision (ex. monitoring@pve) et à un rôle personnalisé respectant le principe du moindre privilège : lecture seule sur les métriques de nodes, VM, stockage et tâches, sans droit d'administration, de modification ni de suppression.</w:t>
      </w:r>
    </w:p>
    <w:p>
      <w:pPr>
        <w:spacing w:after="160" w:line="276"/>
        <w:jc w:val="both"/>
      </w:pPr>
      <w:r>
        <w:rPr>
          <w:color w:val="202020"/>
          <w:sz w:val="21"/>
          <w:szCs w:val="21"/>
        </w:rPr>
        <w:t xml:space="preserve">La validation de ce token est intégralement déléguée à Proxmox : à chaque appel, le backend transmet l'en-tête Authorization: PVEAPIToken=USER@REALM!TOKENID=SECRET, et c'est Proxmox qui authentifie et autorise la requête selon son propre moteur RBAC interne. La plateforme ne réimplémente donc aucune logique d'authentification Proxmox, réduisant la surface d'attaque et garantissant la cohérence avec les politiques de sécurité déjà définies par le client sur son cluster.</w:t>
      </w:r>
    </w:p>
    <w:tbl>
      <w:tblPr>
        <w:tblW w:type="pct" w:w="100%"/>
        <w:tblBorders>
          <w:top w:val="single" w:color="C00000" w:sz="4"/>
          <w:left w:val="single" w:color="C00000" w:sz="24"/>
          <w:bottom w:val="single" w:color="C00000" w:sz="4"/>
          <w:right w:val="single" w:color="C00000" w:sz="4"/>
          <w:insideH w:val="single" w:color="auto" w:sz="4"/>
          <w:insideV w:val="single" w:color="auto" w:sz="4"/>
        </w:tblBorders>
      </w:tblPr>
      <w:tblGrid>
        <w:gridCol w:w="100"/>
      </w:tblGrid>
      <w:tr>
        <w:tc>
          <w:tcPr>
            <w:shd w:fill="FBFBFB" w:val="clear"/>
            <w:tcMar>
              <w:top w:type="dxa" w:w="140"/>
              <w:left w:type="dxa" w:w="200"/>
              <w:bottom w:type="dxa" w:w="140"/>
              <w:right w:type="dxa" w:w="200"/>
            </w:tcMar>
          </w:tcPr>
          <w:p>
            <w:pPr>
              <w:spacing w:after="60"/>
            </w:pPr>
            <w:r>
              <w:rPr>
                <w:b/>
                <w:bCs/>
                <w:color w:val="C00000"/>
                <w:sz w:val="21"/>
                <w:szCs w:val="21"/>
              </w:rPr>
              <w:t xml:space="preserve">Fuite d'un API Token Proxmox — Risque Élevé</w:t>
            </w:r>
          </w:p>
          <w:p>
            <w:pPr>
              <w:spacing w:after="60"/>
            </w:pPr>
            <w:r>
              <w:rPr>
                <w:color w:val="202020"/>
                <w:sz w:val="19"/>
                <w:szCs w:val="19"/>
              </w:rPr>
              <w:t xml:space="preserve">Un token dérobé permettrait une lecture des métriques d'infrastructure du client, potentiellement sensible (topologie, dimensionnement, planning de sauvegarde).</w:t>
            </w:r>
          </w:p>
          <w:p>
            <w:r>
              <w:rPr>
                <w:b/>
                <w:bCs/>
                <w:color w:val="202020"/>
                <w:sz w:val="19"/>
                <w:szCs w:val="19"/>
              </w:rPr>
              <w:t xml:space="preserve">Mitigation : </w:t>
            </w:r>
            <w:r>
              <w:rPr>
                <w:color w:val="202020"/>
                <w:sz w:val="19"/>
                <w:szCs w:val="19"/>
              </w:rPr>
              <w:t xml:space="preserve">Rôle Proxmox strictement en lecture seule, chiffrement du secret au repos (AES-256-GCM via clé gérée par Vault ou variable d'environnement protégée), rotation recommandée tous les 90 jours, alerte en cas d'usage depuis une IP inhabituelle.</w:t>
            </w:r>
          </w:p>
        </w:tc>
      </w:tr>
    </w:tbl>
    <w:p>
      <w:pPr>
        <w:pStyle w:val="Heading2"/>
        <w:spacing w:after="180" w:before="360"/>
      </w:pPr>
      <w:r>
        <w:rPr>
          <w:b/>
          <w:bCs/>
          <w:color w:val="2E5395"/>
          <w:sz w:val="26"/>
          <w:szCs w:val="26"/>
        </w:rPr>
        <w:t xml:space="preserve">6.3 Diagrammes de séquence détaillés</w:t>
      </w:r>
    </w:p>
    <w:p>
      <w:pPr>
        <w:pStyle w:val="Heading3"/>
        <w:spacing w:after="120" w:before="240"/>
      </w:pPr>
      <w:r>
        <w:rPr>
          <w:b/>
          <w:bCs/>
          <w:color w:val="202020"/>
          <w:sz w:val="23"/>
          <w:szCs w:val="23"/>
        </w:rPr>
        <w:t xml:space="preserve">6.3.1 Rafraîchissement de session (refresh token)</w:t>
      </w:r>
    </w:p>
    <w:tbl>
      <w:tblPr>
        <w:tblW w:type="pct" w:w="100%"/>
        <w:tblBorders>
          <w:top w:val="single" w:color="9DB4CE" w:sz="4"/>
          <w:left w:val="single" w:color="9DB4CE" w:sz="4"/>
          <w:bottom w:val="single" w:color="9DB4CE" w:sz="4"/>
          <w:right w:val="single" w:color="9DB4CE" w:sz="4"/>
          <w:insideH w:val="single" w:color="auto" w:sz="4"/>
          <w:insideV w:val="single" w:color="auto" w:sz="4"/>
        </w:tblBorders>
      </w:tblPr>
      <w:tblGrid>
        <w:gridCol w:w="100"/>
      </w:tblGrid>
      <w:tr>
        <w:tc>
          <w:tcPr>
            <w:shd w:fill="F7F9FC" w:val="clear"/>
            <w:tcMar>
              <w:top w:type="dxa" w:w="160"/>
              <w:left w:type="dxa" w:w="200"/>
              <w:bottom w:type="dxa" w:w="160"/>
              <w:right w:type="dxa" w:w="200"/>
            </w:tcMar>
          </w:tcPr>
          <w:p>
            <w:pPr>
              <w:spacing w:after="0"/>
            </w:pPr>
            <w:r>
              <w:rPr>
                <w:rFonts w:ascii="Consolas" w:cs="Consolas" w:eastAsia="Consolas" w:hAnsi="Consolas"/>
                <w:color w:val="1F3864"/>
                <w:sz w:val="13"/>
                <w:szCs w:val="13"/>
              </w:rPr>
              <w:t xml:space="preserve">Frontend            Backend/Auth          Redis (blacklist)      PostgreSQL</w:t>
            </w:r>
          </w:p>
          <w:p>
            <w:pPr>
              <w:spacing w:after="0"/>
            </w:pPr>
            <w:r>
              <w:rPr>
                <w:rFonts w:ascii="Consolas" w:cs="Consolas" w:eastAsia="Consolas" w:hAnsi="Consolas"/>
                <w:color w:val="1F3864"/>
                <w:sz w:val="13"/>
                <w:szCs w:val="13"/>
              </w:rPr>
              <w:t xml:space="preserve">   │  access expiré        │                      │                    │</w:t>
            </w:r>
          </w:p>
          <w:p>
            <w:pPr>
              <w:spacing w:after="0"/>
            </w:pPr>
            <w:r>
              <w:rPr>
                <w:rFonts w:ascii="Consolas" w:cs="Consolas" w:eastAsia="Consolas" w:hAnsi="Consolas"/>
                <w:color w:val="1F3864"/>
                <w:sz w:val="13"/>
                <w:szCs w:val="13"/>
              </w:rPr>
              <w:t xml:space="preserve">   │  POST /auth/refresh    │                      │                    │</w:t>
            </w:r>
          </w:p>
          <w:p>
            <w:pPr>
              <w:spacing w:after="0"/>
            </w:pPr>
            <w:r>
              <w:rPr>
                <w:rFonts w:ascii="Consolas" w:cs="Consolas" w:eastAsia="Consolas" w:hAnsi="Consolas"/>
                <w:color w:val="1F3864"/>
                <w:sz w:val="13"/>
                <w:szCs w:val="13"/>
              </w:rPr>
              <w:t xml:space="preserve">   │──────────────────────► │                      │                    │</w:t>
            </w:r>
          </w:p>
          <w:p>
            <w:pPr>
              <w:spacing w:after="0"/>
            </w:pPr>
            <w:r>
              <w:rPr>
                <w:rFonts w:ascii="Consolas" w:cs="Consolas" w:eastAsia="Consolas" w:hAnsi="Consolas"/>
                <w:color w:val="1F3864"/>
                <w:sz w:val="13"/>
                <w:szCs w:val="13"/>
              </w:rPr>
              <w:t xml:space="preserve">   │                       │ vérifie hash refresh ─────────────────────► │</w:t>
            </w:r>
          </w:p>
          <w:p>
            <w:pPr>
              <w:spacing w:after="0"/>
            </w:pPr>
            <w:r>
              <w:rPr>
                <w:rFonts w:ascii="Consolas" w:cs="Consolas" w:eastAsia="Consolas" w:hAnsi="Consolas"/>
                <w:color w:val="1F3864"/>
                <w:sz w:val="13"/>
                <w:szCs w:val="13"/>
              </w:rPr>
              <w:t xml:space="preserve">   │                       │◄──────────────────────────────────────────  │</w:t>
            </w:r>
          </w:p>
          <w:p>
            <w:pPr>
              <w:spacing w:after="0"/>
            </w:pPr>
            <w:r>
              <w:rPr>
                <w:rFonts w:ascii="Consolas" w:cs="Consolas" w:eastAsia="Consolas" w:hAnsi="Consolas"/>
                <w:color w:val="1F3864"/>
                <w:sz w:val="13"/>
                <w:szCs w:val="13"/>
              </w:rPr>
              <w:t xml:space="preserve">   │                       │ vérifie non révoqué ─► │                    │</w:t>
            </w:r>
          </w:p>
          <w:p>
            <w:pPr>
              <w:spacing w:after="0"/>
            </w:pPr>
            <w:r>
              <w:rPr>
                <w:rFonts w:ascii="Consolas" w:cs="Consolas" w:eastAsia="Consolas" w:hAnsi="Consolas"/>
                <w:color w:val="1F3864"/>
                <w:sz w:val="13"/>
                <w:szCs w:val="13"/>
              </w:rPr>
              <w:t xml:space="preserve">   │                       │◄──────────────────────│                    │</w:t>
            </w:r>
          </w:p>
          <w:p>
            <w:pPr>
              <w:spacing w:after="0"/>
            </w:pPr>
            <w:r>
              <w:rPr>
                <w:rFonts w:ascii="Consolas" w:cs="Consolas" w:eastAsia="Consolas" w:hAnsi="Consolas"/>
                <w:color w:val="1F3864"/>
                <w:sz w:val="13"/>
                <w:szCs w:val="13"/>
              </w:rPr>
              <w:t xml:space="preserve">   │                       │ émet nouveau access+refresh (rotation)       │</w:t>
            </w:r>
          </w:p>
          <w:p>
            <w:pPr>
              <w:spacing w:after="0"/>
            </w:pPr>
            <w:r>
              <w:rPr>
                <w:rFonts w:ascii="Consolas" w:cs="Consolas" w:eastAsia="Consolas" w:hAnsi="Consolas"/>
                <w:color w:val="1F3864"/>
                <w:sz w:val="13"/>
                <w:szCs w:val="13"/>
              </w:rPr>
              <w:t xml:space="preserve">   │                       │ invalide ancien refresh ──────────────────► │</w:t>
            </w:r>
          </w:p>
          <w:p>
            <w:pPr>
              <w:spacing w:after="0"/>
            </w:pPr>
            <w:r>
              <w:rPr>
                <w:rFonts w:ascii="Consolas" w:cs="Consolas" w:eastAsia="Consolas" w:hAnsi="Consolas"/>
                <w:color w:val="1F3864"/>
                <w:sz w:val="13"/>
                <w:szCs w:val="13"/>
              </w:rPr>
              <w:t xml:space="preserve">   │◄────────────────────── │                      │                    │</w:t>
            </w:r>
          </w:p>
        </w:tc>
      </w:tr>
    </w:tbl>
    <w:p>
      <w:pPr>
        <w:spacing w:after="240" w:before="80"/>
        <w:jc w:val="center"/>
      </w:pPr>
      <w:r>
        <w:rPr>
          <w:i/>
          <w:iCs/>
          <w:color w:val="595959"/>
          <w:sz w:val="18"/>
          <w:szCs w:val="18"/>
        </w:rPr>
        <w:t xml:space="preserve">Figure 18 — Rotation du refresh token à chaque utilisation (détection de rejeu si un token déjà consommé est présenté à nouveau)</w:t>
      </w:r>
    </w:p>
    <w:p>
      <w:pPr>
        <w:pStyle w:val="Heading3"/>
        <w:spacing w:after="120" w:before="240"/>
      </w:pPr>
      <w:r>
        <w:rPr>
          <w:b/>
          <w:bCs/>
          <w:color w:val="202020"/>
          <w:sz w:val="23"/>
          <w:szCs w:val="23"/>
        </w:rPr>
        <w:t xml:space="preserve">6.3.2 Révocation immédiate (déconnexion / compromission)</w:t>
      </w:r>
    </w:p>
    <w:p>
      <w:pPr>
        <w:spacing w:after="160" w:line="276"/>
        <w:jc w:val="both"/>
      </w:pPr>
      <w:r>
        <w:rPr>
          <w:color w:val="202020"/>
          <w:sz w:val="21"/>
          <w:szCs w:val="21"/>
        </w:rPr>
        <w:t xml:space="preserve">Lors d'une déconnexion explicite ou d'une détection d'anomalie (ex. impossible travel, usage depuis un user-agent inhabituel), le hash du refresh token est immédiatement supprimé et son identifiant ajouté à une liste de révocation Redis avec un TTL égal à sa durée de vie résiduelle, garantissant qu'aucun access token dérivé ne pourra être renouvelé, tout en laissant expirer naturellement l'access token déjà émis en 15 minutes maximum.</w:t>
      </w:r>
    </w:p>
    <w:p>
      <w:r>
        <w:br w:type="page"/>
      </w:r>
    </w:p>
    <w:p>
      <w:pPr>
        <w:pStyle w:val="Heading1"/>
        <w:pBdr>
          <w:bottom w:val="single" w:color="2E5395" w:sz="8" w:space="4"/>
        </w:pBdr>
        <w:spacing w:after="240" w:before="480"/>
      </w:pPr>
      <w:r>
        <w:rPr>
          <w:b/>
          <w:bCs/>
          <w:color w:val="1F3864"/>
          <w:sz w:val="32"/>
          <w:szCs w:val="32"/>
        </w:rPr>
        <w:t xml:space="preserve">7. Sécurité</w:t>
      </w:r>
    </w:p>
    <w:p>
      <w:pPr>
        <w:pStyle w:val="Heading2"/>
        <w:spacing w:after="180" w:before="360"/>
      </w:pPr>
      <w:r>
        <w:rPr>
          <w:b/>
          <w:bCs/>
          <w:color w:val="2E5395"/>
          <w:sz w:val="26"/>
          <w:szCs w:val="26"/>
        </w:rPr>
        <w:t xml:space="preserve">7.1 Couverture OWASP Top 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600"/>
        <w:gridCol w:w="5600"/>
      </w:tblGrid>
      <w:tr>
        <w:trPr>
          <w:tblHeader/>
        </w:trPr>
        <w:tc>
          <w:tcPr>
            <w:tcW w:type="dxa" w:w="3600"/>
            <w:shd w:fill="1F3864" w:val="clear"/>
            <w:tcMar>
              <w:top w:type="dxa" w:w="100"/>
              <w:left w:type="dxa" w:w="120"/>
              <w:bottom w:type="dxa" w:w="100"/>
              <w:right w:type="dxa" w:w="120"/>
            </w:tcMar>
            <w:vAlign w:val="center"/>
          </w:tcPr>
          <w:p>
            <w:pPr>
              <w:jc w:val="left"/>
            </w:pPr>
            <w:r>
              <w:rPr>
                <w:b/>
                <w:bCs/>
                <w:color w:val="FFFFFF"/>
                <w:sz w:val="19"/>
                <w:szCs w:val="19"/>
              </w:rPr>
              <w:t xml:space="preserve">Risque OWASP</w:t>
            </w:r>
          </w:p>
        </w:tc>
        <w:tc>
          <w:tcPr>
            <w:tcW w:type="dxa" w:w="5600"/>
            <w:shd w:fill="1F3864" w:val="clear"/>
            <w:tcMar>
              <w:top w:type="dxa" w:w="100"/>
              <w:left w:type="dxa" w:w="120"/>
              <w:bottom w:type="dxa" w:w="100"/>
              <w:right w:type="dxa" w:w="120"/>
            </w:tcMar>
            <w:vAlign w:val="center"/>
          </w:tcPr>
          <w:p>
            <w:pPr>
              <w:jc w:val="left"/>
            </w:pPr>
            <w:r>
              <w:rPr>
                <w:b/>
                <w:bCs/>
                <w:color w:val="FFFFFF"/>
                <w:sz w:val="19"/>
                <w:szCs w:val="19"/>
              </w:rPr>
              <w:t xml:space="preserve">Mesure de mitigation implémentée</w:t>
            </w:r>
          </w:p>
        </w:tc>
      </w:tr>
      <w:tr>
        <w:tc>
          <w:tcPr>
            <w:tcW w:type="dxa" w:w="36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A01 — Contrôle d'accès défaillant</w:t>
            </w:r>
          </w:p>
        </w:tc>
        <w:tc>
          <w:tcPr>
            <w:tcW w:type="dxa" w:w="56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RBAC systématique, RLS PostgreSQL, tests d'autorisation automatisés en CI</w:t>
            </w:r>
          </w:p>
        </w:tc>
      </w:tr>
      <w:tr>
        <w:tc>
          <w:tcPr>
            <w:tcW w:type="dxa" w:w="36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A02 — Défaillances cryptographiques</w:t>
            </w:r>
          </w:p>
        </w:tc>
        <w:tc>
          <w:tcPr>
            <w:tcW w:type="dxa" w:w="56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TLS 1.3 partout, bcrypt pour les mots de passe, AES-256-GCM pour les secrets au repos</w:t>
            </w:r>
          </w:p>
        </w:tc>
      </w:tr>
      <w:tr>
        <w:tc>
          <w:tcPr>
            <w:tcW w:type="dxa" w:w="36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A03 — Injection</w:t>
            </w:r>
          </w:p>
        </w:tc>
        <w:tc>
          <w:tcPr>
            <w:tcW w:type="dxa" w:w="56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ORM SQLAlchemy paramétré (aucune requête SQL concaténée), validation stricte Pydantic en entrée</w:t>
            </w:r>
          </w:p>
        </w:tc>
      </w:tr>
      <w:tr>
        <w:tc>
          <w:tcPr>
            <w:tcW w:type="dxa" w:w="36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A04 — Conception non sécurisée</w:t>
            </w:r>
          </w:p>
        </w:tc>
        <w:tc>
          <w:tcPr>
            <w:tcW w:type="dxa" w:w="56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Threat modeling en phase de conception, revue d'architecture avant développement</w:t>
            </w:r>
          </w:p>
        </w:tc>
      </w:tr>
      <w:tr>
        <w:tc>
          <w:tcPr>
            <w:tcW w:type="dxa" w:w="36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A05 — Mauvaise configuration de sécurité</w:t>
            </w:r>
          </w:p>
        </w:tc>
        <w:tc>
          <w:tcPr>
            <w:tcW w:type="dxa" w:w="56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En-têtes de sécurité Nginx (CSP, HSTS, X-Frame-Options), scan automatisé des images Docker</w:t>
            </w:r>
          </w:p>
        </w:tc>
      </w:tr>
      <w:tr>
        <w:tc>
          <w:tcPr>
            <w:tcW w:type="dxa" w:w="36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A06 — Composants vulnérables et obsolètes</w:t>
            </w:r>
          </w:p>
        </w:tc>
        <w:tc>
          <w:tcPr>
            <w:tcW w:type="dxa" w:w="56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Dependabot / pip-audit en CI, politique de mise à jour trimestrielle</w:t>
            </w:r>
          </w:p>
        </w:tc>
      </w:tr>
      <w:tr>
        <w:tc>
          <w:tcPr>
            <w:tcW w:type="dxa" w:w="36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A07 — Identification et authentification défaillantes</w:t>
            </w:r>
          </w:p>
        </w:tc>
        <w:tc>
          <w:tcPr>
            <w:tcW w:type="dxa" w:w="56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JWT courte durée, rotation refresh token, verrouillage après échecs répétés (rate limiting)</w:t>
            </w:r>
          </w:p>
        </w:tc>
      </w:tr>
      <w:tr>
        <w:tc>
          <w:tcPr>
            <w:tcW w:type="dxa" w:w="36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A08 — Intégrité des données et logiciels</w:t>
            </w:r>
          </w:p>
        </w:tc>
        <w:tc>
          <w:tcPr>
            <w:tcW w:type="dxa" w:w="56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Signature des images Docker, pipeline CI/CD avec artefacts vérifiables</w:t>
            </w:r>
          </w:p>
        </w:tc>
      </w:tr>
      <w:tr>
        <w:tc>
          <w:tcPr>
            <w:tcW w:type="dxa" w:w="36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A09 — Carence de journalisation et surveillance</w:t>
            </w:r>
          </w:p>
        </w:tc>
        <w:tc>
          <w:tcPr>
            <w:tcW w:type="dxa" w:w="56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Audit logs immuables, intégration Prometheus/Grafana/Loki, alerting</w:t>
            </w:r>
          </w:p>
        </w:tc>
      </w:tr>
      <w:tr>
        <w:tc>
          <w:tcPr>
            <w:tcW w:type="dxa" w:w="36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A10 — Falsification de requête côté serveur (SSRF)</w:t>
            </w:r>
          </w:p>
        </w:tc>
        <w:tc>
          <w:tcPr>
            <w:tcW w:type="dxa" w:w="56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Liste blanche stricte des hôtes Proxmox autorisés par tenant, aucune URL arbitraire acceptée en entrée</w:t>
            </w:r>
          </w:p>
        </w:tc>
      </w:tr>
    </w:tbl>
    <w:p>
      <w:pPr>
        <w:pStyle w:val="Heading2"/>
        <w:spacing w:after="180" w:before="360"/>
      </w:pPr>
      <w:r>
        <w:rPr>
          <w:b/>
          <w:bCs/>
          <w:color w:val="2E5395"/>
          <w:sz w:val="26"/>
          <w:szCs w:val="26"/>
        </w:rPr>
        <w:t xml:space="preserve">7.2 Chiffrement en transit et gestion des secrets</w:t>
      </w:r>
    </w:p>
    <w:p>
      <w:pPr>
        <w:spacing w:after="160" w:line="276"/>
        <w:jc w:val="both"/>
      </w:pPr>
      <w:r>
        <w:rPr>
          <w:color w:val="202020"/>
          <w:sz w:val="21"/>
          <w:szCs w:val="21"/>
        </w:rPr>
        <w:t xml:space="preserve">Toutes les communications externes transitent en HTTPS (TLS 1.3 minimum), terminé au niveau du reverse proxy Nginx, avec redirection systématique HTTP vers HTTPS et en-tête HSTS. Les communications internes entre conteneurs (backend vers PostgreSQL, Redis) s'effectuent sur un réseau Docker interne non exposé, complété par TLS lorsque l'hôte Docker est mutualisé avec d'autres charges applicatives.</w:t>
      </w:r>
    </w:p>
    <w:p>
      <w:pPr>
        <w:spacing w:after="160" w:line="276"/>
        <w:jc w:val="both"/>
      </w:pPr>
      <w:r>
        <w:rPr>
          <w:color w:val="202020"/>
          <w:sz w:val="21"/>
          <w:szCs w:val="21"/>
        </w:rPr>
        <w:t xml:space="preserve">Les secrets (identifiants de base de données, clés de signature JWT, clés de chiffrement des tokens Proxmox) ne sont jamais codés en dur ni versionnés. Ils sont injectés via variables d'environnement lues depuis un fichier .env exclu du contrôle de version pour les déploiements simples, ou via HashiCorp Vault pour les déploiements exigeant une politique de rotation automatisée et un audit d'accès aux secrets — recommandé pour les clients à contrainte de conformité renforcée (secteur bancaire, santé).</w:t>
      </w:r>
    </w:p>
    <w:p>
      <w:pPr>
        <w:pStyle w:val="Heading2"/>
        <w:spacing w:after="180" w:before="360"/>
      </w:pPr>
      <w:r>
        <w:rPr>
          <w:b/>
          <w:bCs/>
          <w:color w:val="2E5395"/>
          <w:sz w:val="26"/>
          <w:szCs w:val="26"/>
        </w:rPr>
        <w:t xml:space="preserve">7.3 Protections applicatives spécifiques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rPr>
          <w:tblHeader/>
        </w:trPr>
        <w:tc>
          <w:tcPr>
            <w:tcW w:type="dxa" w:w="2600"/>
            <w:shd w:fill="1F3864" w:val="clear"/>
            <w:tcMar>
              <w:top w:type="dxa" w:w="100"/>
              <w:left w:type="dxa" w:w="120"/>
              <w:bottom w:type="dxa" w:w="100"/>
              <w:right w:type="dxa" w:w="120"/>
            </w:tcMar>
            <w:vAlign w:val="center"/>
          </w:tcPr>
          <w:p>
            <w:pPr>
              <w:jc w:val="left"/>
            </w:pPr>
            <w:r>
              <w:rPr>
                <w:b/>
                <w:bCs/>
                <w:color w:val="FFFFFF"/>
                <w:sz w:val="19"/>
                <w:szCs w:val="19"/>
              </w:rPr>
              <w:t xml:space="preserve">Protection</w:t>
            </w:r>
          </w:p>
        </w:tc>
        <w:tc>
          <w:tcPr>
            <w:tcW w:type="dxa" w:w="6600"/>
            <w:shd w:fill="1F3864" w:val="clear"/>
            <w:tcMar>
              <w:top w:type="dxa" w:w="100"/>
              <w:left w:type="dxa" w:w="120"/>
              <w:bottom w:type="dxa" w:w="100"/>
              <w:right w:type="dxa" w:w="120"/>
            </w:tcMar>
            <w:vAlign w:val="center"/>
          </w:tcPr>
          <w:p>
            <w:pPr>
              <w:jc w:val="left"/>
            </w:pPr>
            <w:r>
              <w:rPr>
                <w:b/>
                <w:bCs/>
                <w:color w:val="FFFFFF"/>
                <w:sz w:val="19"/>
                <w:szCs w:val="19"/>
              </w:rPr>
              <w:t xml:space="preserve">Mise en œuvre</w:t>
            </w:r>
          </w:p>
        </w:tc>
      </w:tr>
      <w:tr>
        <w:tc>
          <w:tcPr>
            <w:tcW w:type="dxa" w:w="26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CSRF</w:t>
            </w:r>
          </w:p>
        </w:tc>
        <w:tc>
          <w:tcPr>
            <w:tcW w:type="dxa" w:w="66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Non applicable aux appels API purs authentifiés par JWT en en-tête ; pour les cookies (refresh token), attribut SameSite=Strict et vérification d'origine</w:t>
            </w:r>
          </w:p>
        </w:tc>
      </w:tr>
      <w:tr>
        <w:tc>
          <w:tcPr>
            <w:tcW w:type="dxa" w:w="26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XSS</w:t>
            </w:r>
          </w:p>
        </w:tc>
        <w:tc>
          <w:tcPr>
            <w:tcW w:type="dxa" w:w="66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Content-Security-Policy stricte, échappement systématique côté React (JSX échappe par défaut), aucun usage de dangerouslySetInnerHTML sans sanitisation (DOMPurify)</w:t>
            </w:r>
          </w:p>
        </w:tc>
      </w:tr>
      <w:tr>
        <w:tc>
          <w:tcPr>
            <w:tcW w:type="dxa" w:w="26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Injection SQL</w:t>
            </w:r>
          </w:p>
        </w:tc>
        <w:tc>
          <w:tcPr>
            <w:tcW w:type="dxa" w:w="66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ORM SQLAlchemy exclusivement, aucune requête brute non paramétrée autorisée en revue de code</w:t>
            </w:r>
          </w:p>
        </w:tc>
      </w:tr>
      <w:tr>
        <w:tc>
          <w:tcPr>
            <w:tcW w:type="dxa" w:w="26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Rate limiting</w:t>
            </w:r>
          </w:p>
        </w:tc>
        <w:tc>
          <w:tcPr>
            <w:tcW w:type="dxa" w:w="66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Limitation par IP et par utilisateur au niveau Nginx et au niveau applicatif (slowapi/Redis), seuils renforcés sur /auth/login</w:t>
            </w:r>
          </w:p>
        </w:tc>
      </w:tr>
      <w:tr>
        <w:tc>
          <w:tcPr>
            <w:tcW w:type="dxa" w:w="26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Sécurité des en-têtes HTTP</w:t>
            </w:r>
          </w:p>
        </w:tc>
        <w:tc>
          <w:tcPr>
            <w:tcW w:type="dxa" w:w="66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X-Content-Type-Options, X-Frame-Options: DENY, Referrer-Policy, Permissions-Policy</w:t>
            </w:r>
          </w:p>
        </w:tc>
      </w:tr>
    </w:tbl>
    <w:p>
      <w:pPr>
        <w:pStyle w:val="Heading2"/>
        <w:spacing w:after="180" w:before="360"/>
      </w:pPr>
      <w:r>
        <w:rPr>
          <w:b/>
          <w:bCs/>
          <w:color w:val="2E5395"/>
          <w:sz w:val="26"/>
          <w:szCs w:val="26"/>
        </w:rPr>
        <w:t xml:space="preserve">7.4 Architecture Zero Trust</w:t>
      </w:r>
    </w:p>
    <w:p>
      <w:pPr>
        <w:spacing w:after="160" w:line="276"/>
        <w:jc w:val="both"/>
      </w:pPr>
      <w:r>
        <w:rPr>
          <w:color w:val="202020"/>
          <w:sz w:val="21"/>
          <w:szCs w:val="21"/>
        </w:rPr>
        <w:t xml:space="preserve">Bien que déployée on-premise dans un périmètre réseau maîtrisé par le client, la plateforme applique les principes du Zero Trust : aucune confiance implicite n'est accordée sur la seule base de la position réseau. Chaque requête, même interne, est authentifiée et autorisée individuellement ; les services communiquent avec des identités propres (comptes de service dédiés en base de données, jamais de compte partagé) ; le principe du moindre privilège est appliqué à chaque composant, y compris les workers Celery qui ne disposent que des permissions strictement nécessaires à la collecte et à l'inférence.</w:t>
      </w:r>
    </w:p>
    <w:p>
      <w:r>
        <w:br w:type="page"/>
      </w:r>
    </w:p>
    <w:p>
      <w:pPr>
        <w:pStyle w:val="Heading1"/>
        <w:pBdr>
          <w:bottom w:val="single" w:color="2E5395" w:sz="8" w:space="4"/>
        </w:pBdr>
        <w:spacing w:after="240" w:before="480"/>
      </w:pPr>
      <w:r>
        <w:rPr>
          <w:b/>
          <w:bCs/>
          <w:color w:val="1F3864"/>
          <w:sz w:val="32"/>
          <w:szCs w:val="32"/>
        </w:rPr>
        <w:t xml:space="preserve">8. Architecture réseau</w:t>
      </w:r>
    </w:p>
    <w:p>
      <w:pPr>
        <w:pStyle w:val="Heading2"/>
        <w:spacing w:after="180" w:before="360"/>
      </w:pPr>
      <w:r>
        <w:rPr>
          <w:b/>
          <w:bCs/>
          <w:color w:val="2E5395"/>
          <w:sz w:val="26"/>
          <w:szCs w:val="26"/>
        </w:rPr>
        <w:t xml:space="preserve">8.1 Topologie générale</w:t>
      </w:r>
    </w:p>
    <w:p>
      <w:pPr>
        <w:spacing w:after="160" w:line="276"/>
        <w:jc w:val="both"/>
      </w:pPr>
      <w:r>
        <w:rPr>
          <w:color w:val="202020"/>
          <w:sz w:val="21"/>
          <w:szCs w:val="21"/>
        </w:rPr>
        <w:t xml:space="preserve">Le déploiement type sépare trois zones réseau logiques chez le client : le LAN d'administration où résident les postes des opérateurs et l'hôte Docker de la plateforme, le réseau de virtualisation Proxmox (idéalement isolé en VLAN dédié), et une zone démilitarisée (DMZ) optionnelle lorsque l'accès distant à la plateforme est requis depuis l'extérieur du LAN client.</w:t>
      </w:r>
    </w:p>
    <w:tbl>
      <w:tblPr>
        <w:tblW w:type="pct" w:w="100%"/>
        <w:tblBorders>
          <w:top w:val="single" w:color="9DB4CE" w:sz="4"/>
          <w:left w:val="single" w:color="9DB4CE" w:sz="4"/>
          <w:bottom w:val="single" w:color="9DB4CE" w:sz="4"/>
          <w:right w:val="single" w:color="9DB4CE" w:sz="4"/>
          <w:insideH w:val="single" w:color="auto" w:sz="4"/>
          <w:insideV w:val="single" w:color="auto" w:sz="4"/>
        </w:tblBorders>
      </w:tblPr>
      <w:tblGrid>
        <w:gridCol w:w="100"/>
      </w:tblGrid>
      <w:tr>
        <w:tc>
          <w:tcPr>
            <w:shd w:fill="F7F9FC" w:val="clear"/>
            <w:tcMar>
              <w:top w:type="dxa" w:w="160"/>
              <w:left w:type="dxa" w:w="200"/>
              <w:bottom w:type="dxa" w:w="160"/>
              <w:right w:type="dxa" w:w="200"/>
            </w:tcMar>
          </w:tcPr>
          <w:p>
            <w:pPr>
              <w:spacing w:after="0"/>
            </w:pPr>
            <w:r>
              <w:rPr>
                <w:rFonts w:ascii="Consolas" w:cs="Consolas" w:eastAsia="Consolas" w:hAnsi="Consolas"/>
                <w:color w:val="1F3864"/>
                <w:sz w:val="13"/>
                <w:szCs w:val="13"/>
              </w:rPr>
              <w:t xml:space="preserve">                         Internet</w:t>
            </w:r>
          </w:p>
          <w:p>
            <w:pPr>
              <w:spacing w:after="0"/>
            </w:pPr>
            <w:r>
              <w:rPr>
                <w:rFonts w:ascii="Consolas" w:cs="Consolas" w:eastAsia="Consolas" w:hAnsi="Consolas"/>
                <w:color w:val="1F3864"/>
                <w:sz w:val="13"/>
                <w:szCs w:val="13"/>
              </w:rPr>
              <w:t xml:space="preserve">                             │</w:t>
            </w:r>
          </w:p>
          <w:p>
            <w:pPr>
              <w:spacing w:after="0"/>
            </w:pPr>
            <w:r>
              <w:rPr>
                <w:rFonts w:ascii="Consolas" w:cs="Consolas" w:eastAsia="Consolas" w:hAnsi="Consolas"/>
                <w:color w:val="1F3864"/>
                <w:sz w:val="13"/>
                <w:szCs w:val="13"/>
              </w:rPr>
              <w:t xml:space="preserve">                             ▼</w:t>
            </w:r>
          </w:p>
          <w:p>
            <w:pPr>
              <w:spacing w:after="0"/>
            </w:pPr>
            <w:r>
              <w:rPr>
                <w:rFonts w:ascii="Consolas" w:cs="Consolas" w:eastAsia="Consolas" w:hAnsi="Consolas"/>
                <w:color w:val="1F3864"/>
                <w:sz w:val="13"/>
                <w:szCs w:val="13"/>
              </w:rPr>
              <w:t xml:space="preserve">                    ┌─────────────────┐</w:t>
            </w:r>
          </w:p>
          <w:p>
            <w:pPr>
              <w:spacing w:after="0"/>
            </w:pPr>
            <w:r>
              <w:rPr>
                <w:rFonts w:ascii="Consolas" w:cs="Consolas" w:eastAsia="Consolas" w:hAnsi="Consolas"/>
                <w:color w:val="1F3864"/>
                <w:sz w:val="13"/>
                <w:szCs w:val="13"/>
              </w:rPr>
              <w:t xml:space="preserve">                    │   Firewall (WAN)   │</w:t>
            </w:r>
          </w:p>
          <w:p>
            <w:pPr>
              <w:spacing w:after="0"/>
            </w:pPr>
            <w:r>
              <w:rPr>
                <w:rFonts w:ascii="Consolas" w:cs="Consolas" w:eastAsia="Consolas" w:hAnsi="Consolas"/>
                <w:color w:val="1F3864"/>
                <w:sz w:val="13"/>
                <w:szCs w:val="13"/>
              </w:rPr>
              <w:t xml:space="preserve">                    └────────┬────────┘</w:t>
            </w:r>
          </w:p>
          <w:p>
            <w:pPr>
              <w:spacing w:after="0"/>
            </w:pPr>
            <w:r>
              <w:rPr>
                <w:rFonts w:ascii="Consolas" w:cs="Consolas" w:eastAsia="Consolas" w:hAnsi="Consolas"/>
                <w:color w:val="1F3864"/>
                <w:sz w:val="13"/>
                <w:szCs w:val="13"/>
              </w:rPr>
              <w:t xml:space="preserve">                              │  (règles NAT strictes, ports 443 uniquement)</w:t>
            </w:r>
          </w:p>
          <w:p>
            <w:pPr>
              <w:spacing w:after="0"/>
            </w:pPr>
            <w:r>
              <w:rPr>
                <w:rFonts w:ascii="Consolas" w:cs="Consolas" w:eastAsia="Consolas" w:hAnsi="Consolas"/>
                <w:color w:val="1F3864"/>
                <w:sz w:val="13"/>
                <w:szCs w:val="13"/>
              </w:rPr>
              <w:t xml:space="preserve">               ┌──────────────┼──────────────┐</w:t>
            </w:r>
          </w:p>
          <w:p>
            <w:pPr>
              <w:spacing w:after="0"/>
            </w:pPr>
            <w:r>
              <w:rPr>
                <w:rFonts w:ascii="Consolas" w:cs="Consolas" w:eastAsia="Consolas" w:hAnsi="Consolas"/>
                <w:color w:val="1F3864"/>
                <w:sz w:val="13"/>
                <w:szCs w:val="13"/>
              </w:rPr>
              <w:t xml:space="preserve">               ▼                                ▼</w:t>
            </w:r>
          </w:p>
          <w:p>
            <w:pPr>
              <w:spacing w:after="0"/>
            </w:pPr>
            <w:r>
              <w:rPr>
                <w:rFonts w:ascii="Consolas" w:cs="Consolas" w:eastAsia="Consolas" w:hAnsi="Consolas"/>
                <w:color w:val="1F3864"/>
                <w:sz w:val="13"/>
                <w:szCs w:val="13"/>
              </w:rPr>
              <w:t xml:space="preserve">     ┌───────────────────┐          ┌───────────────────────┐</w:t>
            </w:r>
          </w:p>
          <w:p>
            <w:pPr>
              <w:spacing w:after="0"/>
            </w:pPr>
            <w:r>
              <w:rPr>
                <w:rFonts w:ascii="Consolas" w:cs="Consolas" w:eastAsia="Consolas" w:hAnsi="Consolas"/>
                <w:color w:val="1F3864"/>
                <w:sz w:val="13"/>
                <w:szCs w:val="13"/>
              </w:rPr>
              <w:t xml:space="preserve">     │   DMZ (VLAN 10)      │          │   LAN Admin (VLAN 20)    │</w:t>
            </w:r>
          </w:p>
          <w:p>
            <w:pPr>
              <w:spacing w:after="0"/>
            </w:pPr>
            <w:r>
              <w:rPr>
                <w:rFonts w:ascii="Consolas" w:cs="Consolas" w:eastAsia="Consolas" w:hAnsi="Consolas"/>
                <w:color w:val="1F3864"/>
                <w:sz w:val="13"/>
                <w:szCs w:val="13"/>
              </w:rPr>
              <w:t xml:space="preserve">     │  Reverse Proxy Nginx  │◄────────►│  Hôte Docker Plateforme   │</w:t>
            </w:r>
          </w:p>
          <w:p>
            <w:pPr>
              <w:spacing w:after="0"/>
            </w:pPr>
            <w:r>
              <w:rPr>
                <w:rFonts w:ascii="Consolas" w:cs="Consolas" w:eastAsia="Consolas" w:hAnsi="Consolas"/>
                <w:color w:val="1F3864"/>
                <w:sz w:val="13"/>
                <w:szCs w:val="13"/>
              </w:rPr>
              <w:t xml:space="preserve">     │  (si accès distant)   │  interne  │  Postes opérateurs        │</w:t>
            </w:r>
          </w:p>
          <w:p>
            <w:pPr>
              <w:spacing w:after="0"/>
            </w:pPr>
            <w:r>
              <w:rPr>
                <w:rFonts w:ascii="Consolas" w:cs="Consolas" w:eastAsia="Consolas" w:hAnsi="Consolas"/>
                <w:color w:val="1F3864"/>
                <w:sz w:val="13"/>
                <w:szCs w:val="13"/>
              </w:rPr>
              <w:t xml:space="preserve">     └───────────────────┘          └───────────┬───────────┘</w:t>
            </w:r>
          </w:p>
          <w:p>
            <w:pPr>
              <w:spacing w:after="0"/>
            </w:pPr>
            <w:r>
              <w:rPr>
                <w:rFonts w:ascii="Consolas" w:cs="Consolas" w:eastAsia="Consolas" w:hAnsi="Consolas"/>
                <w:color w:val="1F3864"/>
                <w:sz w:val="13"/>
                <w:szCs w:val="13"/>
              </w:rPr>
              <w:t xml:space="preserve">                                                     │</w:t>
            </w:r>
          </w:p>
          <w:p>
            <w:pPr>
              <w:spacing w:after="0"/>
            </w:pPr>
            <w:r>
              <w:rPr>
                <w:rFonts w:ascii="Consolas" w:cs="Consolas" w:eastAsia="Consolas" w:hAnsi="Consolas"/>
                <w:color w:val="1F3864"/>
                <w:sz w:val="13"/>
                <w:szCs w:val="13"/>
              </w:rPr>
              <w:t xml:space="preserve">                                          VLAN 30 (Virtualisation)</w:t>
            </w:r>
          </w:p>
          <w:p>
            <w:pPr>
              <w:spacing w:after="0"/>
            </w:pPr>
            <w:r>
              <w:rPr>
                <w:rFonts w:ascii="Consolas" w:cs="Consolas" w:eastAsia="Consolas" w:hAnsi="Consolas"/>
                <w:color w:val="1F3864"/>
                <w:sz w:val="13"/>
                <w:szCs w:val="13"/>
              </w:rPr>
              <w:t xml:space="preserve">                                                     ▼</w:t>
            </w:r>
          </w:p>
          <w:p>
            <w:pPr>
              <w:spacing w:after="0"/>
            </w:pPr>
            <w:r>
              <w:rPr>
                <w:rFonts w:ascii="Consolas" w:cs="Consolas" w:eastAsia="Consolas" w:hAnsi="Consolas"/>
                <w:color w:val="1F3864"/>
                <w:sz w:val="13"/>
                <w:szCs w:val="13"/>
              </w:rPr>
              <w:t xml:space="preserve">                                       ┌───────────────────────┐</w:t>
            </w:r>
          </w:p>
          <w:p>
            <w:pPr>
              <w:spacing w:after="0"/>
            </w:pPr>
            <w:r>
              <w:rPr>
                <w:rFonts w:ascii="Consolas" w:cs="Consolas" w:eastAsia="Consolas" w:hAnsi="Consolas"/>
                <w:color w:val="1F3864"/>
                <w:sz w:val="13"/>
                <w:szCs w:val="13"/>
              </w:rPr>
              <w:t xml:space="preserve">                                       │  Cluster Proxmox VE       │</w:t>
            </w:r>
          </w:p>
          <w:p>
            <w:pPr>
              <w:spacing w:after="0"/>
            </w:pPr>
            <w:r>
              <w:rPr>
                <w:rFonts w:ascii="Consolas" w:cs="Consolas" w:eastAsia="Consolas" w:hAnsi="Consolas"/>
                <w:color w:val="1F3864"/>
                <w:sz w:val="13"/>
                <w:szCs w:val="13"/>
              </w:rPr>
              <w:t xml:space="preserve">                                       │  (nodes, stockage partagé) │</w:t>
            </w:r>
          </w:p>
          <w:p>
            <w:pPr>
              <w:spacing w:after="0"/>
            </w:pPr>
            <w:r>
              <w:rPr>
                <w:rFonts w:ascii="Consolas" w:cs="Consolas" w:eastAsia="Consolas" w:hAnsi="Consolas"/>
                <w:color w:val="1F3864"/>
                <w:sz w:val="13"/>
                <w:szCs w:val="13"/>
              </w:rPr>
              <w:t xml:space="preserve">                                       └───────────────────────┘</w:t>
            </w:r>
          </w:p>
        </w:tc>
      </w:tr>
    </w:tbl>
    <w:p>
      <w:pPr>
        <w:spacing w:after="240" w:before="80"/>
        <w:jc w:val="center"/>
      </w:pPr>
      <w:r>
        <w:rPr>
          <w:i/>
          <w:iCs/>
          <w:color w:val="595959"/>
          <w:sz w:val="18"/>
          <w:szCs w:val="18"/>
        </w:rPr>
        <w:t xml:space="preserve">Figure 19 — Architecture réseau avec segmentation VLAN et DMZ optionnelle</w:t>
      </w:r>
    </w:p>
    <w:p>
      <w:pPr>
        <w:pStyle w:val="Heading2"/>
        <w:spacing w:after="180" w:before="360"/>
      </w:pPr>
      <w:r>
        <w:rPr>
          <w:b/>
          <w:bCs/>
          <w:color w:val="2E5395"/>
          <w:sz w:val="26"/>
          <w:szCs w:val="26"/>
        </w:rPr>
        <w:t xml:space="preserve">8.2 Accès distant : VPN</w:t>
      </w:r>
    </w:p>
    <w:p>
      <w:pPr>
        <w:spacing w:after="160" w:line="276"/>
        <w:jc w:val="both"/>
      </w:pPr>
      <w:r>
        <w:rPr>
          <w:color w:val="202020"/>
          <w:sz w:val="21"/>
          <w:szCs w:val="21"/>
        </w:rPr>
        <w:t xml:space="preserve">Pour les équipes opérant à distance, deux solutions VPN sont recommandées selon le contexte : WireGuard pour un déploiement auto-hébergé, léger, à très faible latence et à la surface d'attaque minimale (protocole moderne, code compact auditable) ; Tailscale, bâti sur WireGuard, lorsque la simplicité de gestion des pairs et l'absence d'exposition de port entrant sur le pare-feu du client priment sur le contrôle total de l'infrastructure VPN. Dans les deux cas, l'accès à l'interface de la plateforme reste protégé par l'authentification applicative JWT, le VPN constituant une couche de défense réseau supplémentaire et non un substitut à l'authentification.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00"/>
      </w:tblGrid>
      <w:tr>
        <w:trPr>
          <w:tblHeader/>
        </w:trPr>
        <w:tc>
          <w:tcPr>
            <w:tcW w:type="dxa" w:w="2600"/>
            <w:shd w:fill="1F3864" w:val="clear"/>
            <w:tcMar>
              <w:top w:type="dxa" w:w="100"/>
              <w:left w:type="dxa" w:w="120"/>
              <w:bottom w:type="dxa" w:w="100"/>
              <w:right w:type="dxa" w:w="120"/>
            </w:tcMar>
            <w:vAlign w:val="center"/>
          </w:tcPr>
          <w:p>
            <w:pPr>
              <w:jc w:val="left"/>
            </w:pPr>
            <w:r>
              <w:rPr>
                <w:b/>
                <w:bCs/>
                <w:color w:val="FFFFFF"/>
                <w:sz w:val="19"/>
                <w:szCs w:val="19"/>
              </w:rPr>
              <w:t xml:space="preserve">Critère</w:t>
            </w:r>
          </w:p>
        </w:tc>
        <w:tc>
          <w:tcPr>
            <w:tcW w:type="dxa" w:w="3200"/>
            <w:shd w:fill="1F3864" w:val="clear"/>
            <w:tcMar>
              <w:top w:type="dxa" w:w="100"/>
              <w:left w:type="dxa" w:w="120"/>
              <w:bottom w:type="dxa" w:w="100"/>
              <w:right w:type="dxa" w:w="120"/>
            </w:tcMar>
            <w:vAlign w:val="center"/>
          </w:tcPr>
          <w:p>
            <w:pPr>
              <w:jc w:val="left"/>
            </w:pPr>
            <w:r>
              <w:rPr>
                <w:b/>
                <w:bCs/>
                <w:color w:val="FFFFFF"/>
                <w:sz w:val="19"/>
                <w:szCs w:val="19"/>
              </w:rPr>
              <w:t xml:space="preserve">WireGuard (auto-hébergé)</w:t>
            </w:r>
          </w:p>
        </w:tc>
        <w:tc>
          <w:tcPr>
            <w:tcW w:type="dxa" w:w="3200"/>
            <w:shd w:fill="1F3864" w:val="clear"/>
            <w:tcMar>
              <w:top w:type="dxa" w:w="100"/>
              <w:left w:type="dxa" w:w="120"/>
              <w:bottom w:type="dxa" w:w="100"/>
              <w:right w:type="dxa" w:w="120"/>
            </w:tcMar>
            <w:vAlign w:val="center"/>
          </w:tcPr>
          <w:p>
            <w:pPr>
              <w:jc w:val="left"/>
            </w:pPr>
            <w:r>
              <w:rPr>
                <w:b/>
                <w:bCs/>
                <w:color w:val="FFFFFF"/>
                <w:sz w:val="19"/>
                <w:szCs w:val="19"/>
              </w:rPr>
              <w:t xml:space="preserve">Tailscale (managé)</w:t>
            </w:r>
          </w:p>
        </w:tc>
      </w:tr>
      <w:tr>
        <w:tc>
          <w:tcPr>
            <w:tcW w:type="dxa" w:w="26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Complexité de déploiement</w:t>
            </w:r>
          </w:p>
        </w:tc>
        <w:tc>
          <w:tcPr>
            <w:tcW w:type="dxa" w:w="32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Configuration manuelle des pairs et des clés</w:t>
            </w:r>
          </w:p>
        </w:tc>
        <w:tc>
          <w:tcPr>
            <w:tcW w:type="dxa" w:w="32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Provisioning automatique via compte d'organisation</w:t>
            </w:r>
          </w:p>
        </w:tc>
      </w:tr>
      <w:tr>
        <w:tc>
          <w:tcPr>
            <w:tcW w:type="dxa" w:w="26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Exposition réseau</w:t>
            </w:r>
          </w:p>
        </w:tc>
        <w:tc>
          <w:tcPr>
            <w:tcW w:type="dxa" w:w="32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Nécessite un port UDP ouvert sur le pare-feu</w:t>
            </w:r>
          </w:p>
        </w:tc>
        <w:tc>
          <w:tcPr>
            <w:tcW w:type="dxa" w:w="32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Traversée NAT automatique, aucun port entrant requis</w:t>
            </w:r>
          </w:p>
        </w:tc>
      </w:tr>
      <w:tr>
        <w:tc>
          <w:tcPr>
            <w:tcW w:type="dxa" w:w="26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Contrôle des données</w:t>
            </w:r>
          </w:p>
        </w:tc>
        <w:tc>
          <w:tcPr>
            <w:tcW w:type="dxa" w:w="32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Total, aucune dépendance à un tiers</w:t>
            </w:r>
          </w:p>
        </w:tc>
        <w:tc>
          <w:tcPr>
            <w:tcW w:type="dxa" w:w="32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Plan de contrôle géré par Tailscale (métadonnées uniquement)</w:t>
            </w:r>
          </w:p>
        </w:tc>
      </w:tr>
      <w:tr>
        <w:tc>
          <w:tcPr>
            <w:tcW w:type="dxa" w:w="26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Cas d'usage recommandé</w:t>
            </w:r>
          </w:p>
        </w:tc>
        <w:tc>
          <w:tcPr>
            <w:tcW w:type="dxa" w:w="32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Client à politique de souveraineté stricte</w:t>
            </w:r>
          </w:p>
        </w:tc>
        <w:tc>
          <w:tcPr>
            <w:tcW w:type="dxa" w:w="32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PME sans équipe réseau dédiée, mise en service rapide</w:t>
            </w:r>
          </w:p>
        </w:tc>
      </w:tr>
    </w:tbl>
    <w:p>
      <w:pPr>
        <w:pStyle w:val="Heading2"/>
        <w:spacing w:after="180" w:before="360"/>
      </w:pPr>
      <w:r>
        <w:rPr>
          <w:b/>
          <w:bCs/>
          <w:color w:val="2E5395"/>
          <w:sz w:val="26"/>
          <w:szCs w:val="26"/>
        </w:rPr>
        <w:t xml:space="preserve">8.3 Reverse proxy, NAT et pare-feu</w:t>
      </w:r>
    </w:p>
    <w:p>
      <w:pPr>
        <w:spacing w:after="160" w:line="276"/>
        <w:jc w:val="both"/>
      </w:pPr>
      <w:r>
        <w:rPr>
          <w:color w:val="202020"/>
          <w:sz w:val="21"/>
          <w:szCs w:val="21"/>
        </w:rPr>
        <w:t xml:space="preserve">Nginx assume trois rôles : terminaison TLS, répartition des requêtes entre le frontend Next.js et l'API FastAPI selon le chemin d'URL, et première ligne de défense (limitation de débit, filtrage des méthodes HTTP, taille maximale de requête). Le pare-feu périmétrique du client n'autorise en entrée que le port 443 vers l'hôte Docker ; tout accès direct à PostgreSQL (5432), Redis (6379) ou à l'API interne FastAPI (8000) est bloqué depuis l'extérieur du réseau Docker interne, ces ports n'étant même pas publiés sur l'hôte en configuration de production.</w:t>
      </w:r>
    </w:p>
    <w:p>
      <w:pPr>
        <w:pStyle w:val="Heading2"/>
        <w:spacing w:after="180" w:before="360"/>
      </w:pPr>
      <w:r>
        <w:rPr>
          <w:b/>
          <w:bCs/>
          <w:color w:val="2E5395"/>
          <w:sz w:val="26"/>
          <w:szCs w:val="26"/>
        </w:rPr>
        <w:t xml:space="preserve">8.4 Matrice des flux et ports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200"/>
        <w:gridCol w:w="2400"/>
      </w:tblGrid>
      <w:tr>
        <w:trPr>
          <w:tblHeader/>
        </w:trPr>
        <w:tc>
          <w:tcPr>
            <w:tcW w:type="dxa" w:w="2200"/>
            <w:shd w:fill="1F3864" w:val="clear"/>
            <w:tcMar>
              <w:top w:type="dxa" w:w="100"/>
              <w:left w:type="dxa" w:w="120"/>
              <w:bottom w:type="dxa" w:w="100"/>
              <w:right w:type="dxa" w:w="120"/>
            </w:tcMar>
            <w:vAlign w:val="center"/>
          </w:tcPr>
          <w:p>
            <w:pPr>
              <w:jc w:val="left"/>
            </w:pPr>
            <w:r>
              <w:rPr>
                <w:b/>
                <w:bCs/>
                <w:color w:val="FFFFFF"/>
                <w:sz w:val="19"/>
                <w:szCs w:val="19"/>
              </w:rPr>
              <w:t xml:space="preserve">Source</w:t>
            </w:r>
          </w:p>
        </w:tc>
        <w:tc>
          <w:tcPr>
            <w:tcW w:type="dxa" w:w="2400"/>
            <w:shd w:fill="1F3864" w:val="clear"/>
            <w:tcMar>
              <w:top w:type="dxa" w:w="100"/>
              <w:left w:type="dxa" w:w="120"/>
              <w:bottom w:type="dxa" w:w="100"/>
              <w:right w:type="dxa" w:w="120"/>
            </w:tcMar>
            <w:vAlign w:val="center"/>
          </w:tcPr>
          <w:p>
            <w:pPr>
              <w:jc w:val="left"/>
            </w:pPr>
            <w:r>
              <w:rPr>
                <w:b/>
                <w:bCs/>
                <w:color w:val="FFFFFF"/>
                <w:sz w:val="19"/>
                <w:szCs w:val="19"/>
              </w:rPr>
              <w:t xml:space="preserve">Destination</w:t>
            </w:r>
          </w:p>
        </w:tc>
        <w:tc>
          <w:tcPr>
            <w:tcW w:type="dxa" w:w="2200"/>
            <w:shd w:fill="1F3864" w:val="clear"/>
            <w:tcMar>
              <w:top w:type="dxa" w:w="100"/>
              <w:left w:type="dxa" w:w="120"/>
              <w:bottom w:type="dxa" w:w="100"/>
              <w:right w:type="dxa" w:w="120"/>
            </w:tcMar>
            <w:vAlign w:val="center"/>
          </w:tcPr>
          <w:p>
            <w:pPr>
              <w:jc w:val="left"/>
            </w:pPr>
            <w:r>
              <w:rPr>
                <w:b/>
                <w:bCs/>
                <w:color w:val="FFFFFF"/>
                <w:sz w:val="19"/>
                <w:szCs w:val="19"/>
              </w:rPr>
              <w:t xml:space="preserve">Port / Protocole</w:t>
            </w:r>
          </w:p>
        </w:tc>
        <w:tc>
          <w:tcPr>
            <w:tcW w:type="dxa" w:w="2400"/>
            <w:shd w:fill="1F3864" w:val="clear"/>
            <w:tcMar>
              <w:top w:type="dxa" w:w="100"/>
              <w:left w:type="dxa" w:w="120"/>
              <w:bottom w:type="dxa" w:w="100"/>
              <w:right w:type="dxa" w:w="120"/>
            </w:tcMar>
            <w:vAlign w:val="center"/>
          </w:tcPr>
          <w:p>
            <w:pPr>
              <w:jc w:val="left"/>
            </w:pPr>
            <w:r>
              <w:rPr>
                <w:b/>
                <w:bCs/>
                <w:color w:val="FFFFFF"/>
                <w:sz w:val="19"/>
                <w:szCs w:val="19"/>
              </w:rPr>
              <w:t xml:space="preserve">Justification</w:t>
            </w:r>
          </w:p>
        </w:tc>
      </w:tr>
      <w:tr>
        <w:tc>
          <w:tcPr>
            <w:tcW w:type="dxa" w:w="22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Navigateur client</w:t>
            </w:r>
          </w:p>
        </w:tc>
        <w:tc>
          <w:tcPr>
            <w:tcW w:type="dxa" w:w="24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Nginx (DMZ ou LAN)</w:t>
            </w:r>
          </w:p>
        </w:tc>
        <w:tc>
          <w:tcPr>
            <w:tcW w:type="dxa" w:w="22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443/TCP (HTTPS)</w:t>
            </w:r>
          </w:p>
        </w:tc>
        <w:tc>
          <w:tcPr>
            <w:tcW w:type="dxa" w:w="24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Accès à l'interface web</w:t>
            </w:r>
          </w:p>
        </w:tc>
      </w:tr>
      <w:tr>
        <w:tc>
          <w:tcPr>
            <w:tcW w:type="dxa" w:w="22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Nginx</w:t>
            </w:r>
          </w:p>
        </w:tc>
        <w:tc>
          <w:tcPr>
            <w:tcW w:type="dxa" w:w="24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Frontend Next.js</w:t>
            </w:r>
          </w:p>
        </w:tc>
        <w:tc>
          <w:tcPr>
            <w:tcW w:type="dxa" w:w="22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3000/TCP (interne Docker)</w:t>
            </w:r>
          </w:p>
        </w:tc>
        <w:tc>
          <w:tcPr>
            <w:tcW w:type="dxa" w:w="24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Rendu SSR de l'application</w:t>
            </w:r>
          </w:p>
        </w:tc>
      </w:tr>
      <w:tr>
        <w:tc>
          <w:tcPr>
            <w:tcW w:type="dxa" w:w="22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Nginx</w:t>
            </w:r>
          </w:p>
        </w:tc>
        <w:tc>
          <w:tcPr>
            <w:tcW w:type="dxa" w:w="24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Backend FastAPI</w:t>
            </w:r>
          </w:p>
        </w:tc>
        <w:tc>
          <w:tcPr>
            <w:tcW w:type="dxa" w:w="22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8000/TCP (interne Docker)</w:t>
            </w:r>
          </w:p>
        </w:tc>
        <w:tc>
          <w:tcPr>
            <w:tcW w:type="dxa" w:w="24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Appels API REST</w:t>
            </w:r>
          </w:p>
        </w:tc>
      </w:tr>
      <w:tr>
        <w:tc>
          <w:tcPr>
            <w:tcW w:type="dxa" w:w="22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Backend FastAPI / Celery</w:t>
            </w:r>
          </w:p>
        </w:tc>
        <w:tc>
          <w:tcPr>
            <w:tcW w:type="dxa" w:w="24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PostgreSQL+TimescaleDB</w:t>
            </w:r>
          </w:p>
        </w:tc>
        <w:tc>
          <w:tcPr>
            <w:tcW w:type="dxa" w:w="22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5432/TCP (interne Docker)</w:t>
            </w:r>
          </w:p>
        </w:tc>
        <w:tc>
          <w:tcPr>
            <w:tcW w:type="dxa" w:w="24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Persistance transactionnelle et métriques</w:t>
            </w:r>
          </w:p>
        </w:tc>
      </w:tr>
      <w:tr>
        <w:tc>
          <w:tcPr>
            <w:tcW w:type="dxa" w:w="22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Backend FastAPI / Celery</w:t>
            </w:r>
          </w:p>
        </w:tc>
        <w:tc>
          <w:tcPr>
            <w:tcW w:type="dxa" w:w="24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Redis</w:t>
            </w:r>
          </w:p>
        </w:tc>
        <w:tc>
          <w:tcPr>
            <w:tcW w:type="dxa" w:w="22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6379/TCP (interne Docker)</w:t>
            </w:r>
          </w:p>
        </w:tc>
        <w:tc>
          <w:tcPr>
            <w:tcW w:type="dxa" w:w="24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Cache, sessions, broker, résultats</w:t>
            </w:r>
          </w:p>
        </w:tc>
      </w:tr>
      <w:tr>
        <w:tc>
          <w:tcPr>
            <w:tcW w:type="dxa" w:w="22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Celery Worker</w:t>
            </w:r>
          </w:p>
        </w:tc>
        <w:tc>
          <w:tcPr>
            <w:tcW w:type="dxa" w:w="24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Serveurs Proxmox VE</w:t>
            </w:r>
          </w:p>
        </w:tc>
        <w:tc>
          <w:tcPr>
            <w:tcW w:type="dxa" w:w="22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8006/TCP (HTTPS)</w:t>
            </w:r>
          </w:p>
        </w:tc>
        <w:tc>
          <w:tcPr>
            <w:tcW w:type="dxa" w:w="24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Appels API Proxmoxer (lecture métriques)</w:t>
            </w:r>
          </w:p>
        </w:tc>
      </w:tr>
      <w:tr>
        <w:tc>
          <w:tcPr>
            <w:tcW w:type="dxa" w:w="22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Opérateur distant</w:t>
            </w:r>
          </w:p>
        </w:tc>
        <w:tc>
          <w:tcPr>
            <w:tcW w:type="dxa" w:w="24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VPN Gateway (WireGuard/Tailscale)</w:t>
            </w:r>
          </w:p>
        </w:tc>
        <w:tc>
          <w:tcPr>
            <w:tcW w:type="dxa" w:w="22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51820/UDP</w:t>
            </w:r>
          </w:p>
        </w:tc>
        <w:tc>
          <w:tcPr>
            <w:tcW w:type="dxa" w:w="24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Tunnel chiffré vers le LAN Admin</w:t>
            </w:r>
          </w:p>
        </w:tc>
      </w:tr>
    </w:tbl>
    <w:p>
      <w:r>
        <w:br w:type="page"/>
      </w:r>
    </w:p>
    <w:p>
      <w:pPr>
        <w:pStyle w:val="Heading1"/>
        <w:pBdr>
          <w:bottom w:val="single" w:color="2E5395" w:sz="8" w:space="4"/>
        </w:pBdr>
        <w:spacing w:after="240" w:before="480"/>
      </w:pPr>
      <w:r>
        <w:rPr>
          <w:b/>
          <w:bCs/>
          <w:color w:val="1F3864"/>
          <w:sz w:val="32"/>
          <w:szCs w:val="32"/>
        </w:rPr>
        <w:t xml:space="preserve">9. Base de données relationnelle (PostgreSQL)</w:t>
      </w:r>
    </w:p>
    <w:p>
      <w:pPr>
        <w:pStyle w:val="Heading2"/>
        <w:spacing w:after="180" w:before="360"/>
      </w:pPr>
      <w:r>
        <w:rPr>
          <w:b/>
          <w:bCs/>
          <w:color w:val="2E5395"/>
          <w:sz w:val="26"/>
          <w:szCs w:val="26"/>
        </w:rPr>
        <w:t xml:space="preserve">9.1 Justification du choix de PostgreSQL</w:t>
      </w:r>
    </w:p>
    <w:p>
      <w:pPr>
        <w:spacing w:after="160" w:line="276"/>
        <w:jc w:val="both"/>
      </w:pPr>
      <w:r>
        <w:rPr>
          <w:color w:val="202020"/>
          <w:sz w:val="21"/>
          <w:szCs w:val="21"/>
        </w:rPr>
        <w:t xml:space="preserve">PostgreSQL est retenu comme système de gestion de base de données transactionnel principal pour sa conformité ACID stricte, sa richesse fonctionnelle (contraintes CHECK, clés étrangères, types JSONB pour les données semi-structurées telles que la configuration Proxmox brute, Row-Level Security native pour le cloisonnement multi-tenant), sa maturité en environnement on-premise, et surtout sa capacité à héberger l'extension TimescaleDB sans introduire un second système de gestion de base de données à opérer, sauvegarder et superviser séparément.</w:t>
      </w:r>
    </w:p>
    <w:p>
      <w:pPr>
        <w:pStyle w:val="Heading2"/>
        <w:spacing w:after="180" w:before="360"/>
      </w:pPr>
      <w:r>
        <w:rPr>
          <w:b/>
          <w:bCs/>
          <w:color w:val="2E5395"/>
          <w:sz w:val="26"/>
          <w:szCs w:val="26"/>
        </w:rPr>
        <w:t xml:space="preserve">9.2 Modèle entité-association complet</w:t>
      </w:r>
    </w:p>
    <w:tbl>
      <w:tblPr>
        <w:tblW w:type="pct" w:w="100%"/>
        <w:tblBorders>
          <w:top w:val="single" w:color="9DB4CE" w:sz="4"/>
          <w:left w:val="single" w:color="9DB4CE" w:sz="4"/>
          <w:bottom w:val="single" w:color="9DB4CE" w:sz="4"/>
          <w:right w:val="single" w:color="9DB4CE" w:sz="4"/>
          <w:insideH w:val="single" w:color="auto" w:sz="4"/>
          <w:insideV w:val="single" w:color="auto" w:sz="4"/>
        </w:tblBorders>
      </w:tblPr>
      <w:tblGrid>
        <w:gridCol w:w="100"/>
      </w:tblGrid>
      <w:tr>
        <w:tc>
          <w:tcPr>
            <w:shd w:fill="F7F9FC" w:val="clear"/>
            <w:tcMar>
              <w:top w:type="dxa" w:w="160"/>
              <w:left w:type="dxa" w:w="200"/>
              <w:bottom w:type="dxa" w:w="160"/>
              <w:right w:type="dxa" w:w="200"/>
            </w:tcMar>
          </w:tcPr>
          <w:p>
            <w:pPr>
              <w:spacing w:after="0"/>
            </w:pPr>
            <w:r>
              <w:rPr>
                <w:rFonts w:ascii="Consolas" w:cs="Consolas" w:eastAsia="Consolas" w:hAnsi="Consolas"/>
                <w:color w:val="1F3864"/>
                <w:sz w:val="13"/>
                <w:szCs w:val="13"/>
              </w:rPr>
              <w:t xml:space="preserve">companies                users                     servers</w:t>
            </w:r>
          </w:p>
          <w:p>
            <w:pPr>
              <w:spacing w:after="0"/>
            </w:pPr>
            <w:r>
              <w:rPr>
                <w:rFonts w:ascii="Consolas" w:cs="Consolas" w:eastAsia="Consolas" w:hAnsi="Consolas"/>
                <w:color w:val="1F3864"/>
                <w:sz w:val="13"/>
                <w:szCs w:val="13"/>
              </w:rPr>
              <w:t xml:space="preserve">├─ id (PK, UUID)          ├─ id (PK, UUID)           ├─ id (PK, UUID)</w:t>
            </w:r>
          </w:p>
          <w:p>
            <w:pPr>
              <w:spacing w:after="0"/>
            </w:pPr>
            <w:r>
              <w:rPr>
                <w:rFonts w:ascii="Consolas" w:cs="Consolas" w:eastAsia="Consolas" w:hAnsi="Consolas"/>
                <w:color w:val="1F3864"/>
                <w:sz w:val="13"/>
                <w:szCs w:val="13"/>
              </w:rPr>
              <w:t xml:space="preserve">├─ name                   ├─ company_id (FK)         ├─ company_id (FK)</w:t>
            </w:r>
          </w:p>
          <w:p>
            <w:pPr>
              <w:spacing w:after="0"/>
            </w:pPr>
            <w:r>
              <w:rPr>
                <w:rFonts w:ascii="Consolas" w:cs="Consolas" w:eastAsia="Consolas" w:hAnsi="Consolas"/>
                <w:color w:val="1F3864"/>
                <w:sz w:val="13"/>
                <w:szCs w:val="13"/>
              </w:rPr>
              <w:t xml:space="preserve">├─ created_at              ├─ email (UNIQUE)          ├─ name</w:t>
            </w:r>
          </w:p>
          <w:p>
            <w:pPr>
              <w:spacing w:after="0"/>
            </w:pPr>
            <w:r>
              <w:rPr>
                <w:rFonts w:ascii="Consolas" w:cs="Consolas" w:eastAsia="Consolas" w:hAnsi="Consolas"/>
                <w:color w:val="1F3864"/>
                <w:sz w:val="13"/>
                <w:szCs w:val="13"/>
              </w:rPr>
              <w:t xml:space="preserve">└─ 1───────────────────►  ├─ password_hash            ├─ host</w:t>
            </w:r>
          </w:p>
          <w:p>
            <w:pPr>
              <w:spacing w:after="0"/>
            </w:pPr>
            <w:r>
              <w:rPr>
                <w:rFonts w:ascii="Consolas" w:cs="Consolas" w:eastAsia="Consolas" w:hAnsi="Consolas"/>
                <w:color w:val="1F3864"/>
                <w:sz w:val="13"/>
                <w:szCs w:val="13"/>
              </w:rPr>
              <w:t xml:space="preserve">                           ├─ role_id (FK)             ├─ api_token_id</w:t>
            </w:r>
          </w:p>
          <w:p>
            <w:pPr>
              <w:spacing w:after="0"/>
            </w:pPr>
            <w:r>
              <w:rPr>
                <w:rFonts w:ascii="Consolas" w:cs="Consolas" w:eastAsia="Consolas" w:hAnsi="Consolas"/>
                <w:color w:val="1F3864"/>
                <w:sz w:val="13"/>
                <w:szCs w:val="13"/>
              </w:rPr>
              <w:t xml:space="preserve">                           ├─ is_active                ├─ api_token_secret (chiffré)</w:t>
            </w:r>
          </w:p>
          <w:p>
            <w:pPr>
              <w:spacing w:after="0"/>
            </w:pPr>
            <w:r>
              <w:rPr>
                <w:rFonts w:ascii="Consolas" w:cs="Consolas" w:eastAsia="Consolas" w:hAnsi="Consolas"/>
                <w:color w:val="1F3864"/>
                <w:sz w:val="13"/>
                <w:szCs w:val="13"/>
              </w:rPr>
              <w:t xml:space="preserve">                           └─ 1─────────────────────►  └─ 1───────────┐</w:t>
            </w:r>
          </w:p>
          <w:p>
            <w:pPr>
              <w:spacing w:after="0"/>
            </w:pPr>
            <w:r>
              <w:rPr>
                <w:rFonts w:ascii="Consolas" w:cs="Consolas" w:eastAsia="Consolas" w:hAnsi="Consolas"/>
                <w:color w:val="1F3864"/>
                <w:sz w:val="13"/>
                <w:szCs w:val="13"/>
              </w:rPr>
              <w:t xml:space="preserve">                                                                        │</w:t>
            </w:r>
          </w:p>
          <w:p>
            <w:pPr>
              <w:spacing w:after="0"/>
            </w:pPr>
            <w:r>
              <w:rPr>
                <w:rFonts w:ascii="Consolas" w:cs="Consolas" w:eastAsia="Consolas" w:hAnsi="Consolas"/>
                <w:color w:val="1F3864"/>
                <w:sz w:val="13"/>
                <w:szCs w:val="13"/>
              </w:rPr>
              <w:t xml:space="preserve">roles                      permissions               nodes             ▼</w:t>
            </w:r>
          </w:p>
          <w:p>
            <w:pPr>
              <w:spacing w:after="0"/>
            </w:pPr>
            <w:r>
              <w:rPr>
                <w:rFonts w:ascii="Consolas" w:cs="Consolas" w:eastAsia="Consolas" w:hAnsi="Consolas"/>
                <w:color w:val="1F3864"/>
                <w:sz w:val="13"/>
                <w:szCs w:val="13"/>
              </w:rPr>
              <w:t xml:space="preserve">├─ id (PK)                  ├─ id (PK)                 ├─ id (PK, UUID)</w:t>
            </w:r>
          </w:p>
          <w:p>
            <w:pPr>
              <w:spacing w:after="0"/>
            </w:pPr>
            <w:r>
              <w:rPr>
                <w:rFonts w:ascii="Consolas" w:cs="Consolas" w:eastAsia="Consolas" w:hAnsi="Consolas"/>
                <w:color w:val="1F3864"/>
                <w:sz w:val="13"/>
                <w:szCs w:val="13"/>
              </w:rPr>
              <w:t xml:space="preserve">├─ name                     ├─ code (UNIQUE)            ├─ server_id (FK)</w:t>
            </w:r>
          </w:p>
          <w:p>
            <w:pPr>
              <w:spacing w:after="0"/>
            </w:pPr>
            <w:r>
              <w:rPr>
                <w:rFonts w:ascii="Consolas" w:cs="Consolas" w:eastAsia="Consolas" w:hAnsi="Consolas"/>
                <w:color w:val="1F3864"/>
                <w:sz w:val="13"/>
                <w:szCs w:val="13"/>
              </w:rPr>
              <w:t xml:space="preserve">└─ 1──►role_permissions◄──1 ├─ description               ├─ name</w:t>
            </w:r>
          </w:p>
          <w:p>
            <w:pPr>
              <w:spacing w:after="0"/>
            </w:pPr>
            <w:r>
              <w:rPr>
                <w:rFonts w:ascii="Consolas" w:cs="Consolas" w:eastAsia="Consolas" w:hAnsi="Consolas"/>
                <w:color w:val="1F3864"/>
                <w:sz w:val="13"/>
                <w:szCs w:val="13"/>
              </w:rPr>
              <w:t xml:space="preserve">         ├─ role_id (FK)                                 ├─ status</w:t>
            </w:r>
          </w:p>
          <w:p>
            <w:pPr>
              <w:spacing w:after="0"/>
            </w:pPr>
            <w:r>
              <w:rPr>
                <w:rFonts w:ascii="Consolas" w:cs="Consolas" w:eastAsia="Consolas" w:hAnsi="Consolas"/>
                <w:color w:val="1F3864"/>
                <w:sz w:val="13"/>
                <w:szCs w:val="13"/>
              </w:rPr>
              <w:t xml:space="preserve">         └─ permission_id(FK)                             └─ 1──────────┐</w:t>
            </w:r>
          </w:p>
          <w:p>
            <w:pPr>
              <w:spacing w:after="0"/>
            </w:pPr>
            <w:r>
              <w:rPr>
                <w:rFonts w:ascii="Consolas" w:cs="Consolas" w:eastAsia="Consolas" w:hAnsi="Consolas"/>
                <w:color w:val="1F3864"/>
                <w:sz w:val="13"/>
                <w:szCs w:val="13"/>
              </w:rPr>
              <w:t xml:space="preserve">                                                                          │</w:t>
            </w:r>
          </w:p>
          <w:p>
            <w:pPr>
              <w:spacing w:after="0"/>
            </w:pPr>
            <w:r>
              <w:rPr>
                <w:rFonts w:ascii="Consolas" w:cs="Consolas" w:eastAsia="Consolas" w:hAnsi="Consolas"/>
                <w:color w:val="1F3864"/>
                <w:sz w:val="13"/>
                <w:szCs w:val="13"/>
              </w:rPr>
              <w:t xml:space="preserve">vms                         metrics (hypertable)       alerts            ▼</w:t>
            </w:r>
          </w:p>
          <w:p>
            <w:pPr>
              <w:spacing w:after="0"/>
            </w:pPr>
            <w:r>
              <w:rPr>
                <w:rFonts w:ascii="Consolas" w:cs="Consolas" w:eastAsia="Consolas" w:hAnsi="Consolas"/>
                <w:color w:val="1F3864"/>
                <w:sz w:val="13"/>
                <w:szCs w:val="13"/>
              </w:rPr>
              <w:t xml:space="preserve">├─ id (PK, UUID)              ├─ timestamp (PK part.)    ├─ id (PK, UUID)</w:t>
            </w:r>
          </w:p>
          <w:p>
            <w:pPr>
              <w:spacing w:after="0"/>
            </w:pPr>
            <w:r>
              <w:rPr>
                <w:rFonts w:ascii="Consolas" w:cs="Consolas" w:eastAsia="Consolas" w:hAnsi="Consolas"/>
                <w:color w:val="1F3864"/>
                <w:sz w:val="13"/>
                <w:szCs w:val="13"/>
              </w:rPr>
              <w:t xml:space="preserve">├─ node_id (FK)                ├─ vm_id (PK part., FK)    ├─ vm_id (FK)</w:t>
            </w:r>
          </w:p>
          <w:p>
            <w:pPr>
              <w:spacing w:after="0"/>
            </w:pPr>
            <w:r>
              <w:rPr>
                <w:rFonts w:ascii="Consolas" w:cs="Consolas" w:eastAsia="Consolas" w:hAnsi="Consolas"/>
                <w:color w:val="1F3864"/>
                <w:sz w:val="13"/>
                <w:szCs w:val="13"/>
              </w:rPr>
              <w:t xml:space="preserve">├─ vmid (int Proxmox)          ├─ cpu_pct                 ├─ level (enum)</w:t>
            </w:r>
          </w:p>
          <w:p>
            <w:pPr>
              <w:spacing w:after="0"/>
            </w:pPr>
            <w:r>
              <w:rPr>
                <w:rFonts w:ascii="Consolas" w:cs="Consolas" w:eastAsia="Consolas" w:hAnsi="Consolas"/>
                <w:color w:val="1F3864"/>
                <w:sz w:val="13"/>
                <w:szCs w:val="13"/>
              </w:rPr>
              <w:t xml:space="preserve">├─ name                        ├─ ram_used_mb              ├─ status (enum)</w:t>
            </w:r>
          </w:p>
          <w:p>
            <w:pPr>
              <w:spacing w:after="0"/>
            </w:pPr>
            <w:r>
              <w:rPr>
                <w:rFonts w:ascii="Consolas" w:cs="Consolas" w:eastAsia="Consolas" w:hAnsi="Consolas"/>
                <w:color w:val="1F3864"/>
                <w:sz w:val="13"/>
                <w:szCs w:val="13"/>
              </w:rPr>
              <w:t xml:space="preserve">├─ disk_size_gb                ├─ disk_used_gb              ├─ message</w:t>
            </w:r>
          </w:p>
          <w:p>
            <w:pPr>
              <w:spacing w:after="0"/>
            </w:pPr>
            <w:r>
              <w:rPr>
                <w:rFonts w:ascii="Consolas" w:cs="Consolas" w:eastAsia="Consolas" w:hAnsi="Consolas"/>
                <w:color w:val="1F3864"/>
                <w:sz w:val="13"/>
                <w:szCs w:val="13"/>
              </w:rPr>
              <w:t xml:space="preserve">└─ 1──►metrics / alerts /      ├─ disk_growth_rate          ├─ created_at</w:t>
            </w:r>
          </w:p>
          <w:p>
            <w:pPr>
              <w:spacing w:after="0"/>
            </w:pPr>
            <w:r>
              <w:rPr>
                <w:rFonts w:ascii="Consolas" w:cs="Consolas" w:eastAsia="Consolas" w:hAnsi="Consolas"/>
                <w:color w:val="1F3864"/>
                <w:sz w:val="13"/>
                <w:szCs w:val="13"/>
              </w:rPr>
              <w:t xml:space="preserve">        recommendations       ├─ network_in_mb             └─ acknowledged_by (FK users)</w:t>
            </w:r>
          </w:p>
          <w:p>
            <w:pPr>
              <w:spacing w:after="0"/>
            </w:pPr>
            <w:r>
              <w:rPr>
                <w:rFonts w:ascii="Consolas" w:cs="Consolas" w:eastAsia="Consolas" w:hAnsi="Consolas"/>
                <w:color w:val="1F3864"/>
                <w:sz w:val="13"/>
                <w:szCs w:val="13"/>
              </w:rPr>
              <w:t xml:space="preserve">                               ├─ network_out_mb</w:t>
            </w:r>
          </w:p>
          <w:p>
            <w:pPr>
              <w:spacing w:after="0"/>
            </w:pPr>
            <w:r>
              <w:rPr>
                <w:rFonts w:ascii="Consolas" w:cs="Consolas" w:eastAsia="Consolas" w:hAnsi="Consolas"/>
                <w:color w:val="1F3864"/>
                <w:sz w:val="13"/>
                <w:szCs w:val="13"/>
              </w:rPr>
              <w:t xml:space="preserve">recommendations               ├─ io_wait_pct              audit_logs</w:t>
            </w:r>
          </w:p>
          <w:p>
            <w:pPr>
              <w:spacing w:after="0"/>
            </w:pPr>
            <w:r>
              <w:rPr>
                <w:rFonts w:ascii="Consolas" w:cs="Consolas" w:eastAsia="Consolas" w:hAnsi="Consolas"/>
                <w:color w:val="1F3864"/>
                <w:sz w:val="13"/>
                <w:szCs w:val="13"/>
              </w:rPr>
              <w:t xml:space="preserve">├─ id (PK, UUID)               └─ latency_ms               ├─ id (PK, UUID)</w:t>
            </w:r>
          </w:p>
          <w:p>
            <w:pPr>
              <w:spacing w:after="0"/>
            </w:pPr>
            <w:r>
              <w:rPr>
                <w:rFonts w:ascii="Consolas" w:cs="Consolas" w:eastAsia="Consolas" w:hAnsi="Consolas"/>
                <w:color w:val="1F3864"/>
                <w:sz w:val="13"/>
                <w:szCs w:val="13"/>
              </w:rPr>
              <w:t xml:space="preserve">├─ vm_id (FK)                                              ├─ user_id (FK, nullable)</w:t>
            </w:r>
          </w:p>
          <w:p>
            <w:pPr>
              <w:spacing w:after="0"/>
            </w:pPr>
            <w:r>
              <w:rPr>
                <w:rFonts w:ascii="Consolas" w:cs="Consolas" w:eastAsia="Consolas" w:hAnsi="Consolas"/>
                <w:color w:val="1F3864"/>
                <w:sz w:val="13"/>
                <w:szCs w:val="13"/>
              </w:rPr>
              <w:t xml:space="preserve">├─ alert_id (FK, nullable)     settings                    ├─ company_id (FK)</w:t>
            </w:r>
          </w:p>
          <w:p>
            <w:pPr>
              <w:spacing w:after="0"/>
            </w:pPr>
            <w:r>
              <w:rPr>
                <w:rFonts w:ascii="Consolas" w:cs="Consolas" w:eastAsia="Consolas" w:hAnsi="Consolas"/>
                <w:color w:val="1F3864"/>
                <w:sz w:val="13"/>
                <w:szCs w:val="13"/>
              </w:rPr>
              <w:t xml:space="preserve">├─ action_type (enum)          ├─ id (PK)                  ├─ action</w:t>
            </w:r>
          </w:p>
          <w:p>
            <w:pPr>
              <w:spacing w:after="0"/>
            </w:pPr>
            <w:r>
              <w:rPr>
                <w:rFonts w:ascii="Consolas" w:cs="Consolas" w:eastAsia="Consolas" w:hAnsi="Consolas"/>
                <w:color w:val="1F3864"/>
                <w:sz w:val="13"/>
                <w:szCs w:val="13"/>
              </w:rPr>
              <w:t xml:space="preserve">├─ priority (int)               ├─ company_id (FK)          ├─ resource_type</w:t>
            </w:r>
          </w:p>
          <w:p>
            <w:pPr>
              <w:spacing w:after="0"/>
            </w:pPr>
            <w:r>
              <w:rPr>
                <w:rFonts w:ascii="Consolas" w:cs="Consolas" w:eastAsia="Consolas" w:hAnsi="Consolas"/>
                <w:color w:val="1F3864"/>
                <w:sz w:val="13"/>
                <w:szCs w:val="13"/>
              </w:rPr>
              <w:t xml:space="preserve">├─ description                  ├─ key                       ├─ resource_id</w:t>
            </w:r>
          </w:p>
          <w:p>
            <w:pPr>
              <w:spacing w:after="0"/>
            </w:pPr>
            <w:r>
              <w:rPr>
                <w:rFonts w:ascii="Consolas" w:cs="Consolas" w:eastAsia="Consolas" w:hAnsi="Consolas"/>
                <w:color w:val="1F3864"/>
                <w:sz w:val="13"/>
                <w:szCs w:val="13"/>
              </w:rPr>
              <w:t xml:space="preserve">└─ status (enum)                └─ value (JSONB)             ├─ ip_address</w:t>
            </w:r>
          </w:p>
          <w:p>
            <w:pPr>
              <w:spacing w:after="0"/>
            </w:pPr>
            <w:r>
              <w:rPr>
                <w:rFonts w:ascii="Consolas" w:cs="Consolas" w:eastAsia="Consolas" w:hAnsi="Consolas"/>
                <w:color w:val="1F3864"/>
                <w:sz w:val="13"/>
                <w:szCs w:val="13"/>
              </w:rPr>
              <w:t xml:space="preserve">                                                              └─ created_at</w:t>
            </w:r>
          </w:p>
        </w:tc>
      </w:tr>
    </w:tbl>
    <w:p>
      <w:pPr>
        <w:spacing w:after="240" w:before="80"/>
        <w:jc w:val="center"/>
      </w:pPr>
      <w:r>
        <w:rPr>
          <w:i/>
          <w:iCs/>
          <w:color w:val="595959"/>
          <w:sz w:val="18"/>
          <w:szCs w:val="18"/>
        </w:rPr>
        <w:t xml:space="preserve">Figure 20 — Modèle entité-association complet du schéma PostgreSQL</w:t>
      </w:r>
    </w:p>
    <w:p>
      <w:pPr>
        <w:pStyle w:val="Heading2"/>
        <w:spacing w:after="180" w:before="360"/>
      </w:pPr>
      <w:r>
        <w:rPr>
          <w:b/>
          <w:bCs/>
          <w:color w:val="2E5395"/>
          <w:sz w:val="26"/>
          <w:szCs w:val="26"/>
        </w:rPr>
        <w:t xml:space="preserve">9.3 Détail des tables principales</w:t>
      </w:r>
    </w:p>
    <w:p>
      <w:pPr>
        <w:spacing w:after="160" w:line="276"/>
        <w:jc w:val="both"/>
      </w:pPr>
      <w:r>
        <w:rPr>
          <w:color w:val="202020"/>
          <w:sz w:val="21"/>
          <w:szCs w:val="21"/>
        </w:rPr>
        <w:t xml:space="preserve">Le tableau suivant détaille les colonnes, types SQL, contraintes et index des tables centrales du schéma. L'ensemble des tables porte systématiquement les colonnes created_at et updated_at (audit technique) ainsi qu'une contrainte de clé étrangère company_id (directement ou transitivement) renforcée par une politique Row-Level Security.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200"/>
      </w:tblGrid>
      <w:tr>
        <w:trPr>
          <w:tblHeader/>
        </w:trPr>
        <w:tc>
          <w:tcPr>
            <w:tcW w:type="dxa" w:w="1600"/>
            <w:shd w:fill="1F3864" w:val="clear"/>
            <w:tcMar>
              <w:top w:type="dxa" w:w="100"/>
              <w:left w:type="dxa" w:w="120"/>
              <w:bottom w:type="dxa" w:w="100"/>
              <w:right w:type="dxa" w:w="120"/>
            </w:tcMar>
            <w:vAlign w:val="center"/>
          </w:tcPr>
          <w:p>
            <w:pPr>
              <w:jc w:val="left"/>
            </w:pPr>
            <w:r>
              <w:rPr>
                <w:b/>
                <w:bCs/>
                <w:color w:val="FFFFFF"/>
                <w:sz w:val="19"/>
                <w:szCs w:val="19"/>
              </w:rPr>
              <w:t xml:space="preserve">Table</w:t>
            </w:r>
          </w:p>
        </w:tc>
        <w:tc>
          <w:tcPr>
            <w:tcW w:type="dxa" w:w="4200"/>
            <w:shd w:fill="1F3864" w:val="clear"/>
            <w:tcMar>
              <w:top w:type="dxa" w:w="100"/>
              <w:left w:type="dxa" w:w="120"/>
              <w:bottom w:type="dxa" w:w="100"/>
              <w:right w:type="dxa" w:w="120"/>
            </w:tcMar>
            <w:vAlign w:val="center"/>
          </w:tcPr>
          <w:p>
            <w:pPr>
              <w:jc w:val="left"/>
            </w:pPr>
            <w:r>
              <w:rPr>
                <w:b/>
                <w:bCs/>
                <w:color w:val="FFFFFF"/>
                <w:sz w:val="19"/>
                <w:szCs w:val="19"/>
              </w:rPr>
              <w:t xml:space="preserve">Colonnes clés / types</w:t>
            </w:r>
          </w:p>
        </w:tc>
        <w:tc>
          <w:tcPr>
            <w:tcW w:type="dxa" w:w="3200"/>
            <w:shd w:fill="1F3864" w:val="clear"/>
            <w:tcMar>
              <w:top w:type="dxa" w:w="100"/>
              <w:left w:type="dxa" w:w="120"/>
              <w:bottom w:type="dxa" w:w="100"/>
              <w:right w:type="dxa" w:w="120"/>
            </w:tcMar>
            <w:vAlign w:val="center"/>
          </w:tcPr>
          <w:p>
            <w:pPr>
              <w:jc w:val="left"/>
            </w:pPr>
            <w:r>
              <w:rPr>
                <w:b/>
                <w:bCs/>
                <w:color w:val="FFFFFF"/>
                <w:sz w:val="19"/>
                <w:szCs w:val="19"/>
              </w:rPr>
              <w:t xml:space="preserve">Contraintes &amp; index</w:t>
            </w:r>
          </w:p>
        </w:tc>
      </w:tr>
      <w:tr>
        <w:tc>
          <w:tcPr>
            <w:tcW w:type="dxa" w:w="16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companies</w:t>
            </w:r>
          </w:p>
        </w:tc>
        <w:tc>
          <w:tcPr>
            <w:tcW w:type="dxa" w:w="42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id UUID PK, name VARCHAR(255) NOT NULL, created_at TIMESTAMPTZ</w:t>
            </w:r>
          </w:p>
        </w:tc>
        <w:tc>
          <w:tcPr>
            <w:tcW w:type="dxa" w:w="32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UNIQUE(name) ; index B-Tree sur id</w:t>
            </w:r>
          </w:p>
        </w:tc>
      </w:tr>
      <w:tr>
        <w:tc>
          <w:tcPr>
            <w:tcW w:type="dxa" w:w="16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users</w:t>
            </w:r>
          </w:p>
        </w:tc>
        <w:tc>
          <w:tcPr>
            <w:tcW w:type="dxa" w:w="42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id UUID PK, company_id UUID FK, email VARCHAR(320), password_hash VARCHAR(255), role_id INT FK</w:t>
            </w:r>
          </w:p>
        </w:tc>
        <w:tc>
          <w:tcPr>
            <w:tcW w:type="dxa" w:w="32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UNIQUE(email) ; FK ON DELETE CASCADE vers companies ; index sur (company_id, is_active)</w:t>
            </w:r>
          </w:p>
        </w:tc>
      </w:tr>
      <w:tr>
        <w:tc>
          <w:tcPr>
            <w:tcW w:type="dxa" w:w="16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servers</w:t>
            </w:r>
          </w:p>
        </w:tc>
        <w:tc>
          <w:tcPr>
            <w:tcW w:type="dxa" w:w="42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id UUID PK, company_id UUID FK, host VARCHAR(255), api_token_id VARCHAR(255), api_token_secret BYTEA (chiffré AES-256-GCM)</w:t>
            </w:r>
          </w:p>
        </w:tc>
        <w:tc>
          <w:tcPr>
            <w:tcW w:type="dxa" w:w="32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CHECK (host ~ format hostname/IP) ; index sur company_id</w:t>
            </w:r>
          </w:p>
        </w:tc>
      </w:tr>
      <w:tr>
        <w:tc>
          <w:tcPr>
            <w:tcW w:type="dxa" w:w="16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nodes</w:t>
            </w:r>
          </w:p>
        </w:tc>
        <w:tc>
          <w:tcPr>
            <w:tcW w:type="dxa" w:w="42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id UUID PK, server_id UUID FK, name VARCHAR(100), status VARCHAR(20)</w:t>
            </w:r>
          </w:p>
        </w:tc>
        <w:tc>
          <w:tcPr>
            <w:tcW w:type="dxa" w:w="32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CHECK status IN ('online','offline','unknown') ; index sur server_id</w:t>
            </w:r>
          </w:p>
        </w:tc>
      </w:tr>
      <w:tr>
        <w:tc>
          <w:tcPr>
            <w:tcW w:type="dxa" w:w="16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vms</w:t>
            </w:r>
          </w:p>
        </w:tc>
        <w:tc>
          <w:tcPr>
            <w:tcW w:type="dxa" w:w="42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id UUID PK, node_id UUID FK, vmid INTEGER, name VARCHAR(255), disk_size_gb NUMERIC(10,2)</w:t>
            </w:r>
          </w:p>
        </w:tc>
        <w:tc>
          <w:tcPr>
            <w:tcW w:type="dxa" w:w="32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UNIQUE(node_id, vmid) ; index sur node_id</w:t>
            </w:r>
          </w:p>
        </w:tc>
      </w:tr>
      <w:tr>
        <w:tc>
          <w:tcPr>
            <w:tcW w:type="dxa" w:w="16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metrics</w:t>
            </w:r>
          </w:p>
        </w:tc>
        <w:tc>
          <w:tcPr>
            <w:tcW w:type="dxa" w:w="42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timestamp TIMESTAMPTZ, vm_id UUID FK, cpu_pct REAL, disk_used_gb NUMERIC(10,2), network_in_mb REAL, io_wait_pct REAL</w:t>
            </w:r>
          </w:p>
        </w:tc>
        <w:tc>
          <w:tcPr>
            <w:tcW w:type="dxa" w:w="32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Clé primaire composite (timestamp, vm_id) ; hypertable TimescaleDB partitionnée sur timestamp</w:t>
            </w:r>
          </w:p>
        </w:tc>
      </w:tr>
      <w:tr>
        <w:tc>
          <w:tcPr>
            <w:tcW w:type="dxa" w:w="16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alerts</w:t>
            </w:r>
          </w:p>
        </w:tc>
        <w:tc>
          <w:tcPr>
            <w:tcW w:type="dxa" w:w="42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id UUID PK, vm_id UUID FK, level VARCHAR(20), status VARCHAR(20), message TEXT, acknowledged_by UUID FK NULL</w:t>
            </w:r>
          </w:p>
        </w:tc>
        <w:tc>
          <w:tcPr>
            <w:tcW w:type="dxa" w:w="32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CHECK level IN ('info','warning','critical','emergency') ; index sur (vm_id, status)</w:t>
            </w:r>
          </w:p>
        </w:tc>
      </w:tr>
      <w:tr>
        <w:tc>
          <w:tcPr>
            <w:tcW w:type="dxa" w:w="16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recommendations</w:t>
            </w:r>
          </w:p>
        </w:tc>
        <w:tc>
          <w:tcPr>
            <w:tcW w:type="dxa" w:w="42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id UUID PK, vm_id UUID FK, alert_id UUID FK NULL, action_type VARCHAR(50), priority SMALLINT</w:t>
            </w:r>
          </w:p>
        </w:tc>
        <w:tc>
          <w:tcPr>
            <w:tcW w:type="dxa" w:w="32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CHECK priority BETWEEN 1 AND 5 ; index sur (vm_id, status)</w:t>
            </w:r>
          </w:p>
        </w:tc>
      </w:tr>
      <w:tr>
        <w:tc>
          <w:tcPr>
            <w:tcW w:type="dxa" w:w="16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audit_logs</w:t>
            </w:r>
          </w:p>
        </w:tc>
        <w:tc>
          <w:tcPr>
            <w:tcW w:type="dxa" w:w="42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id UUID PK, user_id UUID FK NULL, company_id UUID FK, action VARCHAR(100), resource_type VARCHAR(50), ip_address INET</w:t>
            </w:r>
          </w:p>
        </w:tc>
        <w:tc>
          <w:tcPr>
            <w:tcW w:type="dxa" w:w="32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Table en append-only (aucun UPDATE/DELETE applicatif) ; index sur (company_id, created_at DESC)</w:t>
            </w:r>
          </w:p>
        </w:tc>
      </w:tr>
    </w:tbl>
    <w:p>
      <w:pPr>
        <w:spacing w:after="160" w:line="276"/>
        <w:jc w:val="both"/>
      </w:pPr>
      <w:r>
        <w:rPr>
          <w:color w:val="202020"/>
          <w:sz w:val="21"/>
          <w:szCs w:val="21"/>
        </w:rPr>
        <w:t xml:space="preserve">Un déclencheur (trigger) PostgreSQL BEFORE UPDATE est associé à chaque table métier pour maintenir automatiquement la colonne updated_at, évitant toute divergence liée à un oubli applicatif. Un second trigger AFTER INSERT OR UPDATE OR DELETE sur les tables sensibles (servers, users, alerts) alimente automatiquement audit_logs lorsque l'action n'a pas déjà été journalisée explicitement par la couche applicative, en filet de sécurité.</w:t>
      </w:r>
    </w:p>
    <w:p>
      <w:r>
        <w:br w:type="page"/>
      </w:r>
    </w:p>
    <w:p>
      <w:pPr>
        <w:pStyle w:val="Heading1"/>
        <w:pBdr>
          <w:bottom w:val="single" w:color="2E5395" w:sz="8" w:space="4"/>
        </w:pBdr>
        <w:spacing w:after="240" w:before="480"/>
      </w:pPr>
      <w:r>
        <w:rPr>
          <w:b/>
          <w:bCs/>
          <w:color w:val="1F3864"/>
          <w:sz w:val="32"/>
          <w:szCs w:val="32"/>
        </w:rPr>
        <w:t xml:space="preserve">10. TimescaleDB</w:t>
      </w:r>
    </w:p>
    <w:p>
      <w:pPr>
        <w:pStyle w:val="Heading2"/>
        <w:spacing w:after="180" w:before="360"/>
      </w:pPr>
      <w:r>
        <w:rPr>
          <w:b/>
          <w:bCs/>
          <w:color w:val="2E5395"/>
          <w:sz w:val="26"/>
          <w:szCs w:val="26"/>
        </w:rPr>
        <w:t xml:space="preserve">10.1 Justification</w:t>
      </w:r>
    </w:p>
    <w:p>
      <w:pPr>
        <w:spacing w:after="160" w:line="276"/>
        <w:jc w:val="both"/>
      </w:pPr>
      <w:r>
        <w:rPr>
          <w:color w:val="202020"/>
          <w:sz w:val="21"/>
          <w:szCs w:val="21"/>
        </w:rPr>
        <w:t xml:space="preserve">TimescaleDB est une extension native de PostgreSQL transformant une table standard en hypertable partitionnée automatiquement par intervalles de temps (chunks). Ce choix évite l'introduction d'un second système de gestion de base de données (tel qu'InfluxDB) tout en offrant des performances d'insertion et d'agrégation adaptées au volume attendu : avec une collecte toutes les 30 secondes sur plusieurs centaines de VM, la table metrics ingère plusieurs millions de lignes par jour et par client.</w:t>
      </w:r>
    </w:p>
    <w:p>
      <w:pPr>
        <w:pStyle w:val="Heading2"/>
        <w:spacing w:after="180" w:before="360"/>
      </w:pPr>
      <w:r>
        <w:rPr>
          <w:b/>
          <w:bCs/>
          <w:color w:val="2E5395"/>
          <w:sz w:val="26"/>
          <w:szCs w:val="26"/>
        </w:rPr>
        <w:t xml:space="preserve">10.2 Hypertable et partitionnement</w:t>
      </w:r>
    </w:p>
    <w:tbl>
      <w:tblPr>
        <w:tblW w:type="pct" w:w="100%"/>
        <w:tblBorders>
          <w:top w:val="single" w:color="9DB4CE" w:sz="4"/>
          <w:left w:val="single" w:color="9DB4CE" w:sz="4"/>
          <w:bottom w:val="single" w:color="9DB4CE" w:sz="4"/>
          <w:right w:val="single" w:color="9DB4CE" w:sz="4"/>
          <w:insideH w:val="single" w:color="auto" w:sz="4"/>
          <w:insideV w:val="single" w:color="auto" w:sz="4"/>
        </w:tblBorders>
      </w:tblPr>
      <w:tblGrid>
        <w:gridCol w:w="100"/>
      </w:tblGrid>
      <w:tr>
        <w:tc>
          <w:tcPr>
            <w:shd w:fill="F7F9FC" w:val="clear"/>
            <w:tcMar>
              <w:top w:type="dxa" w:w="160"/>
              <w:left w:type="dxa" w:w="200"/>
              <w:bottom w:type="dxa" w:w="160"/>
              <w:right w:type="dxa" w:w="200"/>
            </w:tcMar>
          </w:tcPr>
          <w:p>
            <w:pPr>
              <w:spacing w:after="0"/>
            </w:pPr>
            <w:r>
              <w:rPr>
                <w:rFonts w:ascii="Consolas" w:cs="Consolas" w:eastAsia="Consolas" w:hAnsi="Consolas"/>
                <w:color w:val="1F3864"/>
                <w:sz w:val="13"/>
                <w:szCs w:val="13"/>
              </w:rPr>
              <w:t xml:space="preserve">SELECT create_hypertable('metrics', 'timestamp', chunk_time_interval =&gt; INTERVAL '1 day');</w:t>
            </w:r>
          </w:p>
          <w:p>
            <w:pPr>
              <w:spacing w:after="0"/>
            </w:pPr>
            <w:r>
              <w:rPr>
                <w:rFonts w:ascii="Consolas" w:cs="Consolas" w:eastAsia="Consolas" w:hAnsi="Consolas"/>
                <w:color w:val="1F3864"/>
                <w:sz w:val="13"/>
                <w:szCs w:val="13"/>
              </w:rPr>
              <w:t xml:space="preserve"> </w:t>
            </w:r>
          </w:p>
          <w:p>
            <w:pPr>
              <w:spacing w:after="0"/>
            </w:pPr>
            <w:r>
              <w:rPr>
                <w:rFonts w:ascii="Consolas" w:cs="Consolas" w:eastAsia="Consolas" w:hAnsi="Consolas"/>
                <w:color w:val="1F3864"/>
                <w:sz w:val="13"/>
                <w:szCs w:val="13"/>
              </w:rPr>
              <w:t xml:space="preserve">metrics</w:t>
            </w:r>
          </w:p>
          <w:p>
            <w:pPr>
              <w:spacing w:after="0"/>
            </w:pPr>
            <w:r>
              <w:rPr>
                <w:rFonts w:ascii="Consolas" w:cs="Consolas" w:eastAsia="Consolas" w:hAnsi="Consolas"/>
                <w:color w:val="1F3864"/>
                <w:sz w:val="13"/>
                <w:szCs w:val="13"/>
              </w:rPr>
              <w:t xml:space="preserve"> ├─ chunk 2026-07-11  (partition physique, 1 jour de données)</w:t>
            </w:r>
          </w:p>
          <w:p>
            <w:pPr>
              <w:spacing w:after="0"/>
            </w:pPr>
            <w:r>
              <w:rPr>
                <w:rFonts w:ascii="Consolas" w:cs="Consolas" w:eastAsia="Consolas" w:hAnsi="Consolas"/>
                <w:color w:val="1F3864"/>
                <w:sz w:val="13"/>
                <w:szCs w:val="13"/>
              </w:rPr>
              <w:t xml:space="preserve"> ├─ chunk 2026-07-12</w:t>
            </w:r>
          </w:p>
          <w:p>
            <w:pPr>
              <w:spacing w:after="0"/>
            </w:pPr>
            <w:r>
              <w:rPr>
                <w:rFonts w:ascii="Consolas" w:cs="Consolas" w:eastAsia="Consolas" w:hAnsi="Consolas"/>
                <w:color w:val="1F3864"/>
                <w:sz w:val="13"/>
                <w:szCs w:val="13"/>
              </w:rPr>
              <w:t xml:space="preserve"> ├─ chunk 2026-07-13  (chunk actif, écriture en cours)</w:t>
            </w:r>
          </w:p>
          <w:p>
            <w:pPr>
              <w:spacing w:after="0"/>
            </w:pPr>
            <w:r>
              <w:rPr>
                <w:rFonts w:ascii="Consolas" w:cs="Consolas" w:eastAsia="Consolas" w:hAnsi="Consolas"/>
                <w:color w:val="1F3864"/>
                <w:sz w:val="13"/>
                <w:szCs w:val="13"/>
              </w:rPr>
              <w:t xml:space="preserve"> └─ ...</w:t>
            </w:r>
          </w:p>
        </w:tc>
      </w:tr>
    </w:tbl>
    <w:p>
      <w:pPr>
        <w:spacing w:after="240" w:before="80"/>
        <w:jc w:val="center"/>
      </w:pPr>
      <w:r>
        <w:rPr>
          <w:i/>
          <w:iCs/>
          <w:color w:val="595959"/>
          <w:sz w:val="18"/>
          <w:szCs w:val="18"/>
        </w:rPr>
        <w:t xml:space="preserve">Figure 21 — Partitionnement automatique en chunks journaliers de l'hypertable metrics</w:t>
      </w:r>
    </w:p>
    <w:p>
      <w:pPr>
        <w:pStyle w:val="Heading2"/>
        <w:spacing w:after="180" w:before="360"/>
      </w:pPr>
      <w:r>
        <w:rPr>
          <w:b/>
          <w:bCs/>
          <w:color w:val="2E5395"/>
          <w:sz w:val="26"/>
          <w:szCs w:val="26"/>
        </w:rPr>
        <w:t xml:space="preserve">10.3 Politique de rétention et compression</w:t>
      </w:r>
    </w:p>
    <w:p>
      <w:pPr>
        <w:spacing w:after="160" w:line="276"/>
        <w:jc w:val="both"/>
      </w:pPr>
      <w:r>
        <w:rPr>
          <w:color w:val="202020"/>
          <w:sz w:val="21"/>
          <w:szCs w:val="21"/>
        </w:rPr>
        <w:t xml:space="preserve">Les données brutes à granularité 30 secondes sont conservées 30 jours (politique de rétention automatique add_retention_policy), au-delà desquels seules les agrégations continues (moyennes horaires, puis journalières) sont conservées jusqu'à 2 ans, un compromis entre finesse d'analyse pour le diagnostic récent et maîtrise du volume de stockage à long terme. La compression native TimescaleDB (add_compression_policy), activée sur les chunks de plus de 7 jours, réduit le volume stocké de 90 % en moyenne pour ce type de données répétitives, sans dégrader les temps de requête sur l'historique.</w:t>
      </w:r>
    </w:p>
    <w:p>
      <w:pPr>
        <w:pStyle w:val="Heading2"/>
        <w:spacing w:after="180" w:before="360"/>
      </w:pPr>
      <w:r>
        <w:rPr>
          <w:b/>
          <w:bCs/>
          <w:color w:val="2E5395"/>
          <w:sz w:val="26"/>
          <w:szCs w:val="26"/>
        </w:rPr>
        <w:t xml:space="preserve">10.4 Continuous Aggregates</w:t>
      </w:r>
    </w:p>
    <w:p>
      <w:pPr>
        <w:spacing w:after="160" w:line="276"/>
        <w:jc w:val="both"/>
      </w:pPr>
      <w:r>
        <w:rPr>
          <w:color w:val="202020"/>
          <w:sz w:val="21"/>
          <w:szCs w:val="21"/>
        </w:rPr>
        <w:t xml:space="preserve">Des vues matérialisées continues (Continuous Aggregates) précalculent en arrière-plan les moyennes, minima et maxima horaires et journaliers par VM, rafraîchies automatiquement à intervalle régulier. Le tableau de bord interroge systématiquement ces agrégats plutôt que la table brute pour les vues de tendance à moyen terme, ramenant un temps de requête de plusieurs secondes à quelques millisecondes sur un historique de plusieurs mois.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2800"/>
      </w:tblGrid>
      <w:tr>
        <w:trPr>
          <w:tblHeader/>
        </w:trPr>
        <w:tc>
          <w:tcPr>
            <w:tcW w:type="dxa" w:w="2800"/>
            <w:shd w:fill="1F3864" w:val="clear"/>
            <w:tcMar>
              <w:top w:type="dxa" w:w="100"/>
              <w:left w:type="dxa" w:w="120"/>
              <w:bottom w:type="dxa" w:w="100"/>
              <w:right w:type="dxa" w:w="120"/>
            </w:tcMar>
            <w:vAlign w:val="center"/>
          </w:tcPr>
          <w:p>
            <w:pPr>
              <w:jc w:val="left"/>
            </w:pPr>
            <w:r>
              <w:rPr>
                <w:b/>
                <w:bCs/>
                <w:color w:val="FFFFFF"/>
                <w:sz w:val="19"/>
                <w:szCs w:val="19"/>
              </w:rPr>
              <w:t xml:space="preserve">Politique</w:t>
            </w:r>
          </w:p>
        </w:tc>
        <w:tc>
          <w:tcPr>
            <w:tcW w:type="dxa" w:w="3400"/>
            <w:shd w:fill="1F3864" w:val="clear"/>
            <w:tcMar>
              <w:top w:type="dxa" w:w="100"/>
              <w:left w:type="dxa" w:w="120"/>
              <w:bottom w:type="dxa" w:w="100"/>
              <w:right w:type="dxa" w:w="120"/>
            </w:tcMar>
            <w:vAlign w:val="center"/>
          </w:tcPr>
          <w:p>
            <w:pPr>
              <w:jc w:val="left"/>
            </w:pPr>
            <w:r>
              <w:rPr>
                <w:b/>
                <w:bCs/>
                <w:color w:val="FFFFFF"/>
                <w:sz w:val="19"/>
                <w:szCs w:val="19"/>
              </w:rPr>
              <w:t xml:space="preserve">Paramètre</w:t>
            </w:r>
          </w:p>
        </w:tc>
        <w:tc>
          <w:tcPr>
            <w:tcW w:type="dxa" w:w="2800"/>
            <w:shd w:fill="1F3864" w:val="clear"/>
            <w:tcMar>
              <w:top w:type="dxa" w:w="100"/>
              <w:left w:type="dxa" w:w="120"/>
              <w:bottom w:type="dxa" w:w="100"/>
              <w:right w:type="dxa" w:w="120"/>
            </w:tcMar>
            <w:vAlign w:val="center"/>
          </w:tcPr>
          <w:p>
            <w:pPr>
              <w:jc w:val="left"/>
            </w:pPr>
            <w:r>
              <w:rPr>
                <w:b/>
                <w:bCs/>
                <w:color w:val="FFFFFF"/>
                <w:sz w:val="19"/>
                <w:szCs w:val="19"/>
              </w:rPr>
              <w:t xml:space="preserve">Objectif</w:t>
            </w:r>
          </w:p>
        </w:tc>
      </w:tr>
      <w:tr>
        <w:tc>
          <w:tcPr>
            <w:tcW w:type="dxa" w:w="28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Rétention données brutes</w:t>
            </w:r>
          </w:p>
        </w:tc>
        <w:tc>
          <w:tcPr>
            <w:tcW w:type="dxa" w:w="34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30 jours</w:t>
            </w:r>
          </w:p>
        </w:tc>
        <w:tc>
          <w:tcPr>
            <w:tcW w:type="dxa" w:w="28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Diagnostic fin des incidents récents</w:t>
            </w:r>
          </w:p>
        </w:tc>
      </w:tr>
      <w:tr>
        <w:tc>
          <w:tcPr>
            <w:tcW w:type="dxa" w:w="28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Compression</w:t>
            </w:r>
          </w:p>
        </w:tc>
        <w:tc>
          <w:tcPr>
            <w:tcW w:type="dxa" w:w="34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Chunks &gt; 7 jours, colonnes segmentées par vm_id</w:t>
            </w:r>
          </w:p>
        </w:tc>
        <w:tc>
          <w:tcPr>
            <w:tcW w:type="dxa" w:w="28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Réduction ~90 % du volume disque</w:t>
            </w:r>
          </w:p>
        </w:tc>
      </w:tr>
      <w:tr>
        <w:tc>
          <w:tcPr>
            <w:tcW w:type="dxa" w:w="28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Continuous Aggregate horaire</w:t>
            </w:r>
          </w:p>
        </w:tc>
        <w:tc>
          <w:tcPr>
            <w:tcW w:type="dxa" w:w="34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Rafraîchissement toutes les 30 min</w:t>
            </w:r>
          </w:p>
        </w:tc>
        <w:tc>
          <w:tcPr>
            <w:tcW w:type="dxa" w:w="28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Tableaux de bord temps quasi-réel</w:t>
            </w:r>
          </w:p>
        </w:tc>
      </w:tr>
      <w:tr>
        <w:tc>
          <w:tcPr>
            <w:tcW w:type="dxa" w:w="28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Continuous Aggregate journalier</w:t>
            </w:r>
          </w:p>
        </w:tc>
        <w:tc>
          <w:tcPr>
            <w:tcW w:type="dxa" w:w="34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Rafraîchissement toutes les 6h, rétention 2 ans</w:t>
            </w:r>
          </w:p>
        </w:tc>
        <w:tc>
          <w:tcPr>
            <w:tcW w:type="dxa" w:w="28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Tendances long terme et modèle IA</w:t>
            </w:r>
          </w:p>
        </w:tc>
      </w:tr>
      <w:tr>
        <w:tc>
          <w:tcPr>
            <w:tcW w:type="dxa" w:w="28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Index</w:t>
            </w:r>
          </w:p>
        </w:tc>
        <w:tc>
          <w:tcPr>
            <w:tcW w:type="dxa" w:w="34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B-Tree composite (vm_id, timestamp DESC)</w:t>
            </w:r>
          </w:p>
        </w:tc>
        <w:tc>
          <w:tcPr>
            <w:tcW w:type="dxa" w:w="28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Accélération des requêtes par VM sur une plage de temps</w:t>
            </w:r>
          </w:p>
        </w:tc>
      </w:tr>
    </w:tbl>
    <w:p>
      <w:r>
        <w:br w:type="page"/>
      </w:r>
    </w:p>
    <w:p>
      <w:pPr>
        <w:pStyle w:val="Heading1"/>
        <w:pBdr>
          <w:bottom w:val="single" w:color="2E5395" w:sz="8" w:space="4"/>
        </w:pBdr>
        <w:spacing w:after="240" w:before="480"/>
      </w:pPr>
      <w:r>
        <w:rPr>
          <w:b/>
          <w:bCs/>
          <w:color w:val="1F3864"/>
          <w:sz w:val="32"/>
          <w:szCs w:val="32"/>
        </w:rPr>
        <w:t xml:space="preserve">11. Redis</w:t>
      </w:r>
    </w:p>
    <w:p>
      <w:pPr>
        <w:spacing w:after="160" w:line="276"/>
        <w:jc w:val="both"/>
      </w:pPr>
      <w:r>
        <w:rPr>
          <w:color w:val="202020"/>
          <w:sz w:val="21"/>
          <w:szCs w:val="21"/>
        </w:rPr>
        <w:t xml:space="preserve">Redis assume quatre rôles distincts au sein de l'architecture, mutualisés sur une même instance en développement et séparés en bases logiques (SELECT 0-15) ou en instances dédiées en production selon le volume : cache applicatif, magasin de sessions, broker et backend de résultats pour Celery, et canal de publication/abonnement pour les notifications temps réel.</w:t>
      </w:r>
    </w:p>
    <w:p>
      <w:pPr>
        <w:pStyle w:val="Heading2"/>
        <w:spacing w:after="180" w:before="360"/>
      </w:pPr>
      <w:r>
        <w:rPr>
          <w:b/>
          <w:bCs/>
          <w:color w:val="2E5395"/>
          <w:sz w:val="26"/>
          <w:szCs w:val="26"/>
        </w:rPr>
        <w:t xml:space="preserve">11.1 Cache applicatif (pattern Cache-Aside)</w:t>
      </w:r>
    </w:p>
    <w:p>
      <w:pPr>
        <w:spacing w:after="160" w:line="276"/>
        <w:jc w:val="both"/>
      </w:pPr>
      <w:r>
        <w:rPr>
          <w:color w:val="202020"/>
          <w:sz w:val="21"/>
          <w:szCs w:val="21"/>
        </w:rPr>
        <w:t xml:space="preserve">Les lectures fréquentes et coûteuses (dernier état connu d'une VM, agrégats de tableau de bord) suivent le pattern Cache-Aside : le service applicatif interroge d'abord Redis ; en cas d'absence (cache miss), il interroge PostgreSQL/TimescaleDB, écrit le résultat en cache avec un TTL adapté à la volatilité de la donnée, puis le retourne. Les TTL sont différenciés : 30 secondes pour l'état instantané d'une VM (aligné sur la fréquence de collecte), 5 minutes pour les agrégats de tableau de bord, 1 heure pour les métadonnées peu volatiles (liste des serveurs connectés).</w:t>
      </w:r>
    </w:p>
    <w:p>
      <w:pPr>
        <w:pStyle w:val="Heading2"/>
        <w:spacing w:after="180" w:before="360"/>
      </w:pPr>
      <w:r>
        <w:rPr>
          <w:b/>
          <w:bCs/>
          <w:color w:val="2E5395"/>
          <w:sz w:val="26"/>
          <w:szCs w:val="26"/>
        </w:rPr>
        <w:t xml:space="preserve">11.2 Sessions et Celery</w:t>
      </w:r>
    </w:p>
    <w:p>
      <w:pPr>
        <w:pStyle w:val="ListParagraph"/>
        <w:numPr>
          <w:ilvl w:val="0"/>
          <w:numId w:val="1"/>
        </w:numPr>
        <w:spacing w:after="80"/>
      </w:pPr>
      <w:r>
        <w:rPr>
          <w:color w:val="202020"/>
          <w:sz w:val="21"/>
          <w:szCs w:val="21"/>
        </w:rPr>
        <w:t xml:space="preserve">Sessions : stockage des refresh tokens révoqués (liste de révocation) avec TTL égal à leur durée de vie résiduelle.</w:t>
      </w:r>
    </w:p>
    <w:p>
      <w:pPr>
        <w:pStyle w:val="ListParagraph"/>
        <w:numPr>
          <w:ilvl w:val="0"/>
          <w:numId w:val="1"/>
        </w:numPr>
        <w:spacing w:after="80"/>
      </w:pPr>
      <w:r>
        <w:rPr>
          <w:color w:val="202020"/>
          <w:sz w:val="21"/>
          <w:szCs w:val="21"/>
        </w:rPr>
        <w:t xml:space="preserve">Broker Celery : file de tâches (collecte de métriques, entraînement de modèles, envoi de notifications) consommée par les workers.</w:t>
      </w:r>
    </w:p>
    <w:p>
      <w:pPr>
        <w:pStyle w:val="ListParagraph"/>
        <w:numPr>
          <w:ilvl w:val="0"/>
          <w:numId w:val="1"/>
        </w:numPr>
        <w:spacing w:after="80"/>
      </w:pPr>
      <w:r>
        <w:rPr>
          <w:color w:val="202020"/>
          <w:sz w:val="21"/>
          <w:szCs w:val="21"/>
        </w:rPr>
        <w:t xml:space="preserve">Result Backend Celery : stockage temporaire du résultat des tâches asynchrones (ex. score d'inférence IA) interrogé par le frontend via polling ou WebSocket.</w:t>
      </w:r>
    </w:p>
    <w:p>
      <w:pPr>
        <w:pStyle w:val="ListParagraph"/>
        <w:numPr>
          <w:ilvl w:val="0"/>
          <w:numId w:val="1"/>
        </w:numPr>
        <w:spacing w:after="80"/>
      </w:pPr>
      <w:r>
        <w:rPr>
          <w:color w:val="202020"/>
          <w:sz w:val="21"/>
          <w:szCs w:val="21"/>
        </w:rPr>
        <w:t xml:space="preserve">Pub/Sub : diffusion en temps réel des nouvelles alertes aux sessions frontend connectées via WebSocket, sans recharger l'ensemble du tableau de bord.</w:t>
      </w:r>
    </w:p>
    <w:p>
      <w:pPr>
        <w:pStyle w:val="Heading2"/>
        <w:spacing w:after="180" w:before="360"/>
      </w:pPr>
      <w:r>
        <w:rPr>
          <w:b/>
          <w:bCs/>
          <w:color w:val="2E5395"/>
          <w:sz w:val="26"/>
          <w:szCs w:val="26"/>
        </w:rPr>
        <w:t xml:space="preserve">11.3 Invalidation du cache</w:t>
      </w:r>
    </w:p>
    <w:p>
      <w:pPr>
        <w:spacing w:after="160" w:line="276"/>
        <w:jc w:val="both"/>
      </w:pPr>
      <w:r>
        <w:rPr>
          <w:color w:val="202020"/>
          <w:sz w:val="21"/>
          <w:szCs w:val="21"/>
        </w:rPr>
        <w:t xml:space="preserve">L'invalidation est principalement passive (expiration par TTL), complétée par une invalidation active ciblée lors d'événements métier structurants : toute nouvelle métrique insérée invalide la clé de cache de l'état instantané de la VM concernée ; tout changement de configuration d'un serveur Proxmox invalide le cache de la liste des nodes associée.</w:t>
      </w:r>
    </w:p>
    <w:p>
      <w:r>
        <w:br w:type="page"/>
      </w:r>
    </w:p>
    <w:p>
      <w:pPr>
        <w:pStyle w:val="Heading1"/>
        <w:pBdr>
          <w:bottom w:val="single" w:color="2E5395" w:sz="8" w:space="4"/>
        </w:pBdr>
        <w:spacing w:after="240" w:before="480"/>
      </w:pPr>
      <w:r>
        <w:rPr>
          <w:b/>
          <w:bCs/>
          <w:color w:val="1F3864"/>
          <w:sz w:val="32"/>
          <w:szCs w:val="32"/>
        </w:rPr>
        <w:t xml:space="preserve">12. Message Broker : comparaison et choix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000"/>
        <w:gridCol w:w="2400"/>
      </w:tblGrid>
      <w:tr>
        <w:trPr>
          <w:tblHeader/>
        </w:trPr>
        <w:tc>
          <w:tcPr>
            <w:tcW w:type="dxa" w:w="2600"/>
            <w:shd w:fill="1F3864" w:val="clear"/>
            <w:tcMar>
              <w:top w:type="dxa" w:w="100"/>
              <w:left w:type="dxa" w:w="120"/>
              <w:bottom w:type="dxa" w:w="100"/>
              <w:right w:type="dxa" w:w="120"/>
            </w:tcMar>
            <w:vAlign w:val="center"/>
          </w:tcPr>
          <w:p>
            <w:pPr>
              <w:jc w:val="left"/>
            </w:pPr>
            <w:r>
              <w:rPr>
                <w:b/>
                <w:bCs/>
                <w:color w:val="FFFFFF"/>
                <w:sz w:val="19"/>
                <w:szCs w:val="19"/>
              </w:rPr>
              <w:t xml:space="preserve">Critère</w:t>
            </w:r>
          </w:p>
        </w:tc>
        <w:tc>
          <w:tcPr>
            <w:tcW w:type="dxa" w:w="2000"/>
            <w:shd w:fill="1F3864" w:val="clear"/>
            <w:tcMar>
              <w:top w:type="dxa" w:w="100"/>
              <w:left w:type="dxa" w:w="120"/>
              <w:bottom w:type="dxa" w:w="100"/>
              <w:right w:type="dxa" w:w="120"/>
            </w:tcMar>
            <w:vAlign w:val="center"/>
          </w:tcPr>
          <w:p>
            <w:pPr>
              <w:jc w:val="left"/>
            </w:pPr>
            <w:r>
              <w:rPr>
                <w:b/>
                <w:bCs/>
                <w:color w:val="FFFFFF"/>
                <w:sz w:val="19"/>
                <w:szCs w:val="19"/>
              </w:rPr>
              <w:t xml:space="preserve">Redis (retenu)</w:t>
            </w:r>
          </w:p>
        </w:tc>
        <w:tc>
          <w:tcPr>
            <w:tcW w:type="dxa" w:w="2000"/>
            <w:shd w:fill="1F3864" w:val="clear"/>
            <w:tcMar>
              <w:top w:type="dxa" w:w="100"/>
              <w:left w:type="dxa" w:w="120"/>
              <w:bottom w:type="dxa" w:w="100"/>
              <w:right w:type="dxa" w:w="120"/>
            </w:tcMar>
            <w:vAlign w:val="center"/>
          </w:tcPr>
          <w:p>
            <w:pPr>
              <w:jc w:val="left"/>
            </w:pPr>
            <w:r>
              <w:rPr>
                <w:b/>
                <w:bCs/>
                <w:color w:val="FFFFFF"/>
                <w:sz w:val="19"/>
                <w:szCs w:val="19"/>
              </w:rPr>
              <w:t xml:space="preserve">RabbitMQ</w:t>
            </w:r>
          </w:p>
        </w:tc>
        <w:tc>
          <w:tcPr>
            <w:tcW w:type="dxa" w:w="2400"/>
            <w:shd w:fill="1F3864" w:val="clear"/>
            <w:tcMar>
              <w:top w:type="dxa" w:w="100"/>
              <w:left w:type="dxa" w:w="120"/>
              <w:bottom w:type="dxa" w:w="100"/>
              <w:right w:type="dxa" w:w="120"/>
            </w:tcMar>
            <w:vAlign w:val="center"/>
          </w:tcPr>
          <w:p>
            <w:pPr>
              <w:jc w:val="left"/>
            </w:pPr>
            <w:r>
              <w:rPr>
                <w:b/>
                <w:bCs/>
                <w:color w:val="FFFFFF"/>
                <w:sz w:val="19"/>
                <w:szCs w:val="19"/>
              </w:rPr>
              <w:t xml:space="preserve">Kafka</w:t>
            </w:r>
          </w:p>
        </w:tc>
      </w:tr>
      <w:tr>
        <w:tc>
          <w:tcPr>
            <w:tcW w:type="dxa" w:w="26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Complexité opérationnelle on-premise</w:t>
            </w:r>
          </w:p>
        </w:tc>
        <w:tc>
          <w:tcPr>
            <w:tcW w:type="dxa" w:w="20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Très faible, déjà présent pour le cache</w:t>
            </w:r>
          </w:p>
        </w:tc>
        <w:tc>
          <w:tcPr>
            <w:tcW w:type="dxa" w:w="20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Modérée, service dédié supplémentaire</w:t>
            </w:r>
          </w:p>
        </w:tc>
        <w:tc>
          <w:tcPr>
            <w:tcW w:type="dxa" w:w="24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Élevée, cluster ZooKeeper/KRaft, dimensionnement disque important</w:t>
            </w:r>
          </w:p>
        </w:tc>
      </w:tr>
      <w:tr>
        <w:tc>
          <w:tcPr>
            <w:tcW w:type="dxa" w:w="26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Garanties de livraison</w:t>
            </w:r>
          </w:p>
        </w:tc>
        <w:tc>
          <w:tcPr>
            <w:tcW w:type="dxa" w:w="20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Au moins une fois (best-effort avec Celery)</w:t>
            </w:r>
          </w:p>
        </w:tc>
        <w:tc>
          <w:tcPr>
            <w:tcW w:type="dxa" w:w="20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Accusés de réception fins, DLQ natives</w:t>
            </w:r>
          </w:p>
        </w:tc>
        <w:tc>
          <w:tcPr>
            <w:tcW w:type="dxa" w:w="24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Au moins une fois avec partitionnement, rejeu illimité</w:t>
            </w:r>
          </w:p>
        </w:tc>
      </w:tr>
      <w:tr>
        <w:tc>
          <w:tcPr>
            <w:tcW w:type="dxa" w:w="26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Débit et cas d'usage cible</w:t>
            </w:r>
          </w:p>
        </w:tc>
        <w:tc>
          <w:tcPr>
            <w:tcW w:type="dxa" w:w="20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Adapté à un volume modéré de tâches (collecte, inférence)</w:t>
            </w:r>
          </w:p>
        </w:tc>
        <w:tc>
          <w:tcPr>
            <w:tcW w:type="dxa" w:w="20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Adapté aux workflows métier complexes avec routage avancé</w:t>
            </w:r>
          </w:p>
        </w:tc>
        <w:tc>
          <w:tcPr>
            <w:tcW w:type="dxa" w:w="24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Adapté au streaming massif d'événements (non requis ici)</w:t>
            </w:r>
          </w:p>
        </w:tc>
      </w:tr>
      <w:tr>
        <w:tc>
          <w:tcPr>
            <w:tcW w:type="dxa" w:w="26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Intégration avec Celery</w:t>
            </w:r>
          </w:p>
        </w:tc>
        <w:tc>
          <w:tcPr>
            <w:tcW w:type="dxa" w:w="20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Native et de premier plan</w:t>
            </w:r>
          </w:p>
        </w:tc>
        <w:tc>
          <w:tcPr>
            <w:tcW w:type="dxa" w:w="20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Native, historiquement le choix par défaut</w:t>
            </w:r>
          </w:p>
        </w:tc>
        <w:tc>
          <w:tcPr>
            <w:tcW w:type="dxa" w:w="24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Nécessite un connecteur tiers</w:t>
            </w:r>
          </w:p>
        </w:tc>
      </w:tr>
      <w:tr>
        <w:tc>
          <w:tcPr>
            <w:tcW w:type="dxa" w:w="26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Adéquation au projet</w:t>
            </w:r>
          </w:p>
        </w:tc>
        <w:tc>
          <w:tcPr>
            <w:tcW w:type="dxa" w:w="20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Optimale : un seul composant pour cache + broker + pub/sub</w:t>
            </w:r>
          </w:p>
        </w:tc>
        <w:tc>
          <w:tcPr>
            <w:tcW w:type="dxa" w:w="20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Sur-dimensionné pour le volume de tâches actuel</w:t>
            </w:r>
          </w:p>
        </w:tc>
        <w:tc>
          <w:tcPr>
            <w:tcW w:type="dxa" w:w="24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Largement sur-dimensionné, complexité non justifiée on-premise</w:t>
            </w:r>
          </w:p>
        </w:tc>
      </w:tr>
    </w:tbl>
    <w:p>
      <w:pPr>
        <w:spacing w:after="160" w:line="276"/>
        <w:jc w:val="both"/>
      </w:pPr>
      <w:r>
        <w:rPr>
          <w:color w:val="202020"/>
          <w:sz w:val="21"/>
          <w:szCs w:val="21"/>
        </w:rPr>
        <w:t xml:space="preserve">Redis est retenu comme broker de messages pour Celery. Ce choix mutualise l'infrastructure (un seul composant à opérer et sauvegarder au lieu de deux) et couvre largement les besoins actuels : la volumétrie de tâches (collecte périodique par VM, inférence IA différée, envoi de notifications) reste de l'ordre de quelques dizaines de milliers de tâches par jour pour un client de taille moyenne, très en-deçà des limites de Redis en tant que broker. RabbitMQ constituerait un choix pertinent si des besoins de routage avancé (exchanges topic, accusés de réception fins par tâche critique) émergeaient ; Kafka ne se justifierait qu'en cas de besoin de streaming d'événements à très haut débit avec rejeu historique, hors du périmètre actuel du produit.</w:t>
      </w:r>
    </w:p>
    <w:p>
      <w:r>
        <w:br w:type="page"/>
      </w:r>
    </w:p>
    <w:p>
      <w:pPr>
        <w:pStyle w:val="Heading1"/>
        <w:pBdr>
          <w:bottom w:val="single" w:color="2E5395" w:sz="8" w:space="4"/>
        </w:pBdr>
        <w:spacing w:after="240" w:before="480"/>
      </w:pPr>
      <w:r>
        <w:rPr>
          <w:b/>
          <w:bCs/>
          <w:color w:val="1F3864"/>
          <w:sz w:val="32"/>
          <w:szCs w:val="32"/>
        </w:rPr>
        <w:t xml:space="preserve">13. Architecture Intelligence Artificielle</w:t>
      </w:r>
    </w:p>
    <w:p>
      <w:pPr>
        <w:pStyle w:val="Heading2"/>
        <w:spacing w:after="180" w:before="360"/>
      </w:pPr>
      <w:r>
        <w:rPr>
          <w:b/>
          <w:bCs/>
          <w:color w:val="2E5395"/>
          <w:sz w:val="26"/>
          <w:szCs w:val="26"/>
        </w:rPr>
        <w:t xml:space="preserve">13.1 Pipeline complet</w:t>
      </w:r>
    </w:p>
    <w:tbl>
      <w:tblPr>
        <w:tblW w:type="pct" w:w="100%"/>
        <w:tblBorders>
          <w:top w:val="single" w:color="9DB4CE" w:sz="4"/>
          <w:left w:val="single" w:color="9DB4CE" w:sz="4"/>
          <w:bottom w:val="single" w:color="9DB4CE" w:sz="4"/>
          <w:right w:val="single" w:color="9DB4CE" w:sz="4"/>
          <w:insideH w:val="single" w:color="auto" w:sz="4"/>
          <w:insideV w:val="single" w:color="auto" w:sz="4"/>
        </w:tblBorders>
      </w:tblPr>
      <w:tblGrid>
        <w:gridCol w:w="100"/>
      </w:tblGrid>
      <w:tr>
        <w:tc>
          <w:tcPr>
            <w:shd w:fill="F7F9FC" w:val="clear"/>
            <w:tcMar>
              <w:top w:type="dxa" w:w="160"/>
              <w:left w:type="dxa" w:w="200"/>
              <w:bottom w:type="dxa" w:w="160"/>
              <w:right w:type="dxa" w:w="200"/>
            </w:tcMar>
          </w:tcPr>
          <w:p>
            <w:pPr>
              <w:spacing w:after="0"/>
            </w:pPr>
            <w:r>
              <w:rPr>
                <w:rFonts w:ascii="Consolas" w:cs="Consolas" w:eastAsia="Consolas" w:hAnsi="Consolas"/>
                <w:color w:val="1F3864"/>
                <w:sz w:val="13"/>
                <w:szCs w:val="13"/>
              </w:rPr>
              <w:t xml:space="preserve">  Collecte  ──►  Prétraitement  ──►  Feature Engineering  ──►  Entraînement</w:t>
            </w:r>
          </w:p>
          <w:p>
            <w:pPr>
              <w:spacing w:after="0"/>
            </w:pPr>
            <w:r>
              <w:rPr>
                <w:rFonts w:ascii="Consolas" w:cs="Consolas" w:eastAsia="Consolas" w:hAnsi="Consolas"/>
                <w:color w:val="1F3864"/>
                <w:sz w:val="13"/>
                <w:szCs w:val="13"/>
              </w:rPr>
              <w:t xml:space="preserve">     │                                                              │</w:t>
            </w:r>
          </w:p>
          <w:p>
            <w:pPr>
              <w:spacing w:after="0"/>
            </w:pPr>
            <w:r>
              <w:rPr>
                <w:rFonts w:ascii="Consolas" w:cs="Consolas" w:eastAsia="Consolas" w:hAnsi="Consolas"/>
                <w:color w:val="1F3864"/>
                <w:sz w:val="13"/>
                <w:szCs w:val="13"/>
              </w:rPr>
              <w:t xml:space="preserve">     │  (30s, Celery Beat)                                          ▼</w:t>
            </w:r>
          </w:p>
          <w:p>
            <w:pPr>
              <w:spacing w:after="0"/>
            </w:pPr>
            <w:r>
              <w:rPr>
                <w:rFonts w:ascii="Consolas" w:cs="Consolas" w:eastAsia="Consolas" w:hAnsi="Consolas"/>
                <w:color w:val="1F3864"/>
                <w:sz w:val="13"/>
                <w:szCs w:val="13"/>
              </w:rPr>
              <w:t xml:space="preserve">     │                                                          Validation</w:t>
            </w:r>
          </w:p>
          <w:p>
            <w:pPr>
              <w:spacing w:after="0"/>
            </w:pPr>
            <w:r>
              <w:rPr>
                <w:rFonts w:ascii="Consolas" w:cs="Consolas" w:eastAsia="Consolas" w:hAnsi="Consolas"/>
                <w:color w:val="1F3864"/>
                <w:sz w:val="13"/>
                <w:szCs w:val="13"/>
              </w:rPr>
              <w:t xml:space="preserve">     │                                                              │</w:t>
            </w:r>
          </w:p>
          <w:p>
            <w:pPr>
              <w:spacing w:after="0"/>
            </w:pPr>
            <w:r>
              <w:rPr>
                <w:rFonts w:ascii="Consolas" w:cs="Consolas" w:eastAsia="Consolas" w:hAnsi="Consolas"/>
                <w:color w:val="1F3864"/>
                <w:sz w:val="13"/>
                <w:szCs w:val="13"/>
              </w:rPr>
              <w:t xml:space="preserve">     ▼                                                              ▼</w:t>
            </w:r>
          </w:p>
          <w:p>
            <w:pPr>
              <w:spacing w:after="0"/>
            </w:pPr>
            <w:r>
              <w:rPr>
                <w:rFonts w:ascii="Consolas" w:cs="Consolas" w:eastAsia="Consolas" w:hAnsi="Consolas"/>
                <w:color w:val="1F3864"/>
                <w:sz w:val="13"/>
                <w:szCs w:val="13"/>
              </w:rPr>
              <w:t xml:space="preserve">  TimescaleDB ◄──────────────────────────────────────────────  Déploiement</w:t>
            </w:r>
          </w:p>
          <w:p>
            <w:pPr>
              <w:spacing w:after="0"/>
            </w:pPr>
            <w:r>
              <w:rPr>
                <w:rFonts w:ascii="Consolas" w:cs="Consolas" w:eastAsia="Consolas" w:hAnsi="Consolas"/>
                <w:color w:val="1F3864"/>
                <w:sz w:val="13"/>
                <w:szCs w:val="13"/>
              </w:rPr>
              <w:t xml:space="preserve">                                                                    │  (registre de modèles)</w:t>
            </w:r>
          </w:p>
          <w:p>
            <w:pPr>
              <w:spacing w:after="0"/>
            </w:pPr>
            <w:r>
              <w:rPr>
                <w:rFonts w:ascii="Consolas" w:cs="Consolas" w:eastAsia="Consolas" w:hAnsi="Consolas"/>
                <w:color w:val="1F3864"/>
                <w:sz w:val="13"/>
                <w:szCs w:val="13"/>
              </w:rPr>
              <w:t xml:space="preserve">                                                                    ▼</w:t>
            </w:r>
          </w:p>
          <w:p>
            <w:pPr>
              <w:spacing w:after="0"/>
            </w:pPr>
            <w:r>
              <w:rPr>
                <w:rFonts w:ascii="Consolas" w:cs="Consolas" w:eastAsia="Consolas" w:hAnsi="Consolas"/>
                <w:color w:val="1F3864"/>
                <w:sz w:val="13"/>
                <w:szCs w:val="13"/>
              </w:rPr>
              <w:t xml:space="preserve">                                                                Inférence</w:t>
            </w:r>
          </w:p>
          <w:p>
            <w:pPr>
              <w:spacing w:after="0"/>
            </w:pPr>
            <w:r>
              <w:rPr>
                <w:rFonts w:ascii="Consolas" w:cs="Consolas" w:eastAsia="Consolas" w:hAnsi="Consolas"/>
                <w:color w:val="1F3864"/>
                <w:sz w:val="13"/>
                <w:szCs w:val="13"/>
              </w:rPr>
              <w:t xml:space="preserve">                                                              (batch, toutes les 15 min)</w:t>
            </w:r>
          </w:p>
          <w:p>
            <w:pPr>
              <w:spacing w:after="0"/>
            </w:pPr>
            <w:r>
              <w:rPr>
                <w:rFonts w:ascii="Consolas" w:cs="Consolas" w:eastAsia="Consolas" w:hAnsi="Consolas"/>
                <w:color w:val="1F3864"/>
                <w:sz w:val="13"/>
                <w:szCs w:val="13"/>
              </w:rPr>
              <w:t xml:space="preserve">                                                                    │</w:t>
            </w:r>
          </w:p>
          <w:p>
            <w:pPr>
              <w:spacing w:after="0"/>
            </w:pPr>
            <w:r>
              <w:rPr>
                <w:rFonts w:ascii="Consolas" w:cs="Consolas" w:eastAsia="Consolas" w:hAnsi="Consolas"/>
                <w:color w:val="1F3864"/>
                <w:sz w:val="13"/>
                <w:szCs w:val="13"/>
              </w:rPr>
              <w:t xml:space="preserve">                                      ┌─────────────────────────────┤</w:t>
            </w:r>
          </w:p>
          <w:p>
            <w:pPr>
              <w:spacing w:after="0"/>
            </w:pPr>
            <w:r>
              <w:rPr>
                <w:rFonts w:ascii="Consolas" w:cs="Consolas" w:eastAsia="Consolas" w:hAnsi="Consolas"/>
                <w:color w:val="1F3864"/>
                <w:sz w:val="13"/>
                <w:szCs w:val="13"/>
              </w:rPr>
              <w:t xml:space="preserve">                                      ▼                              ▼</w:t>
            </w:r>
          </w:p>
          <w:p>
            <w:pPr>
              <w:spacing w:after="0"/>
            </w:pPr>
            <w:r>
              <w:rPr>
                <w:rFonts w:ascii="Consolas" w:cs="Consolas" w:eastAsia="Consolas" w:hAnsi="Consolas"/>
                <w:color w:val="1F3864"/>
                <w:sz w:val="13"/>
                <w:szCs w:val="13"/>
              </w:rPr>
              <w:t xml:space="preserve">                                  Alertes                    Recommandations</w:t>
            </w:r>
          </w:p>
        </w:tc>
      </w:tr>
    </w:tbl>
    <w:p>
      <w:pPr>
        <w:spacing w:after="240" w:before="80"/>
        <w:jc w:val="center"/>
      </w:pPr>
      <w:r>
        <w:rPr>
          <w:i/>
          <w:iCs/>
          <w:color w:val="595959"/>
          <w:sz w:val="18"/>
          <w:szCs w:val="18"/>
        </w:rPr>
        <w:t xml:space="preserve">Figure 22 — Pipeline complet de bout en bout, de la collecte à la recommandation</w:t>
      </w:r>
    </w:p>
    <w:p>
      <w:pPr>
        <w:spacing w:after="160" w:line="276"/>
        <w:jc w:val="both"/>
      </w:pPr>
      <w:r>
        <w:rPr>
          <w:color w:val="202020"/>
          <w:sz w:val="21"/>
          <w:szCs w:val="21"/>
        </w:rPr>
        <w:t xml:space="preserve">La collecte s'exécute toutes les 30 secondes via un worker Celery Beat qui interroge chaque serveur Proxmox connecté. Le prétraitement nettoie les valeurs aberrantes de capteur (ex. valeurs négatives impossibles, doublons de timestamp) et normalise les unités. La phase de feature engineering (détaillée en 13.5) dérive des variables de tendance à partir des séries brutes. L'entraînement des modèles s'exécute hors ligne, de façon planifiée (hebdomadaire) ou déclenchée manuellement, sur un jeu de données consolidé ; le modèle validé est versionné dans un registre de modèles simple (répertoire versionné + métadonnées en base) avant déploiement en inférence. L'inférence s'exécute en mode batch toutes les 15 minutes sur l'ensemble des VM actives, un compromis entre fraîcheur de la prédiction et coût de calcul, plutôt qu'une inférence synchrone à chaque requête utilisateur.</w:t>
      </w:r>
    </w:p>
    <w:p>
      <w:pPr>
        <w:pStyle w:val="Heading2"/>
        <w:spacing w:after="180" w:before="360"/>
      </w:pPr>
      <w:r>
        <w:rPr>
          <w:b/>
          <w:bCs/>
          <w:color w:val="2E5395"/>
          <w:sz w:val="26"/>
          <w:szCs w:val="26"/>
        </w:rPr>
        <w:t xml:space="preserve">13.2 Données d'entrée et de sortie du modèle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rPr>
          <w:tblHeader/>
        </w:trPr>
        <w:tc>
          <w:tcPr>
            <w:tcW w:type="dxa" w:w="2600"/>
            <w:shd w:fill="1F3864" w:val="clear"/>
            <w:tcMar>
              <w:top w:type="dxa" w:w="100"/>
              <w:left w:type="dxa" w:w="120"/>
              <w:bottom w:type="dxa" w:w="100"/>
              <w:right w:type="dxa" w:w="120"/>
            </w:tcMar>
            <w:vAlign w:val="center"/>
          </w:tcPr>
          <w:p>
            <w:pPr>
              <w:jc w:val="left"/>
            </w:pPr>
            <w:r>
              <w:rPr>
                <w:b/>
                <w:bCs/>
                <w:color w:val="FFFFFF"/>
                <w:sz w:val="19"/>
                <w:szCs w:val="19"/>
              </w:rPr>
              <w:t xml:space="preserve">Catégorie</w:t>
            </w:r>
          </w:p>
        </w:tc>
        <w:tc>
          <w:tcPr>
            <w:tcW w:type="dxa" w:w="6600"/>
            <w:shd w:fill="1F3864" w:val="clear"/>
            <w:tcMar>
              <w:top w:type="dxa" w:w="100"/>
              <w:left w:type="dxa" w:w="120"/>
              <w:bottom w:type="dxa" w:w="100"/>
              <w:right w:type="dxa" w:w="120"/>
            </w:tcMar>
            <w:vAlign w:val="center"/>
          </w:tcPr>
          <w:p>
            <w:pPr>
              <w:jc w:val="left"/>
            </w:pPr>
            <w:r>
              <w:rPr>
                <w:b/>
                <w:bCs/>
                <w:color w:val="FFFFFF"/>
                <w:sz w:val="19"/>
                <w:szCs w:val="19"/>
              </w:rPr>
              <w:t xml:space="preserve">Variables</w:t>
            </w:r>
          </w:p>
        </w:tc>
      </w:tr>
      <w:tr>
        <w:tc>
          <w:tcPr>
            <w:tcW w:type="dxa" w:w="26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Entrées — ressources</w:t>
            </w:r>
          </w:p>
        </w:tc>
        <w:tc>
          <w:tcPr>
            <w:tcW w:type="dxa" w:w="66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CPU (%), RAM utilisée (Mo), réseau entrant/sortant (Mo), latence (ms)</w:t>
            </w:r>
          </w:p>
        </w:tc>
      </w:tr>
      <w:tr>
        <w:tc>
          <w:tcPr>
            <w:tcW w:type="dxa" w:w="26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Entrées — stockage</w:t>
            </w:r>
          </w:p>
        </w:tc>
        <w:tc>
          <w:tcPr>
            <w:tcW w:type="dxa" w:w="66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Disk Usage (Go), taux de croissance du disque (Go/jour), lecture/écriture disque (IOPS), IO Wait (%)</w:t>
            </w:r>
          </w:p>
        </w:tc>
      </w:tr>
      <w:tr>
        <w:tc>
          <w:tcPr>
            <w:tcW w:type="dxa" w:w="26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Entrées — contexte</w:t>
            </w:r>
          </w:p>
        </w:tc>
        <w:tc>
          <w:tcPr>
            <w:tcW w:type="dxa" w:w="66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Nombre de snapshots, nombre de sauvegardes, nombre de VM actives sur le node, historique 30 jours, logs applicatifs et Proxmox parsés</w:t>
            </w:r>
          </w:p>
        </w:tc>
      </w:tr>
      <w:tr>
        <w:tc>
          <w:tcPr>
            <w:tcW w:type="dxa" w:w="26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Sorties</w:t>
            </w:r>
          </w:p>
        </w:tc>
        <w:tc>
          <w:tcPr>
            <w:tcW w:type="dxa" w:w="66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Risk Score (0–100), Anomaly Score (0–1), Days Remaining (jours estimés avant saturation), Storage Forecast (courbe projetée), Alert Level, liste de Recommendations priorisées</w:t>
            </w:r>
          </w:p>
        </w:tc>
      </w:tr>
    </w:tbl>
    <w:p>
      <w:pPr>
        <w:pStyle w:val="Heading2"/>
        <w:spacing w:after="180" w:before="360"/>
      </w:pPr>
      <w:r>
        <w:rPr>
          <w:b/>
          <w:bCs/>
          <w:color w:val="2E5395"/>
          <w:sz w:val="26"/>
          <w:szCs w:val="26"/>
        </w:rPr>
        <w:t xml:space="preserve">13.3 Comparaison des modèles candidats</w:t>
      </w:r>
    </w:p>
    <w:p>
      <w:pPr>
        <w:spacing w:after="160" w:line="276"/>
        <w:jc w:val="both"/>
      </w:pPr>
      <w:r>
        <w:rPr>
          <w:color w:val="202020"/>
          <w:sz w:val="21"/>
          <w:szCs w:val="21"/>
        </w:rPr>
        <w:t xml:space="preserve">Le tableau suivant synthétise l'évaluation de dix familles de modèles au regard de trois besoins distincts : la détection d'anomalies non supervisée, la prédiction de saturation (régression sur série temporelle), et la contrainte d'explicabilité indispensable pour qu'un opérateur fasse confiance à une recommandation automatisée.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200"/>
        <w:gridCol w:w="3200"/>
      </w:tblGrid>
      <w:tr>
        <w:trPr>
          <w:tblHeader/>
        </w:trPr>
        <w:tc>
          <w:tcPr>
            <w:tcW w:type="dxa" w:w="1800"/>
            <w:shd w:fill="1F3864" w:val="clear"/>
            <w:tcMar>
              <w:top w:type="dxa" w:w="100"/>
              <w:left w:type="dxa" w:w="120"/>
              <w:bottom w:type="dxa" w:w="100"/>
              <w:right w:type="dxa" w:w="120"/>
            </w:tcMar>
            <w:vAlign w:val="center"/>
          </w:tcPr>
          <w:p>
            <w:pPr>
              <w:jc w:val="left"/>
            </w:pPr>
            <w:r>
              <w:rPr>
                <w:b/>
                <w:bCs/>
                <w:color w:val="FFFFFF"/>
                <w:sz w:val="19"/>
                <w:szCs w:val="19"/>
              </w:rPr>
              <w:t xml:space="preserve">Modèle</w:t>
            </w:r>
          </w:p>
        </w:tc>
        <w:tc>
          <w:tcPr>
            <w:tcW w:type="dxa" w:w="2200"/>
            <w:shd w:fill="1F3864" w:val="clear"/>
            <w:tcMar>
              <w:top w:type="dxa" w:w="100"/>
              <w:left w:type="dxa" w:w="120"/>
              <w:bottom w:type="dxa" w:w="100"/>
              <w:right w:type="dxa" w:w="120"/>
            </w:tcMar>
            <w:vAlign w:val="center"/>
          </w:tcPr>
          <w:p>
            <w:pPr>
              <w:jc w:val="left"/>
            </w:pPr>
            <w:r>
              <w:rPr>
                <w:b/>
                <w:bCs/>
                <w:color w:val="FFFFFF"/>
                <w:sz w:val="19"/>
                <w:szCs w:val="19"/>
              </w:rPr>
              <w:t xml:space="preserve">Usage cible</w:t>
            </w:r>
          </w:p>
        </w:tc>
        <w:tc>
          <w:tcPr>
            <w:tcW w:type="dxa" w:w="1200"/>
            <w:shd w:fill="1F3864" w:val="clear"/>
            <w:tcMar>
              <w:top w:type="dxa" w:w="100"/>
              <w:left w:type="dxa" w:w="120"/>
              <w:bottom w:type="dxa" w:w="100"/>
              <w:right w:type="dxa" w:w="120"/>
            </w:tcMar>
            <w:vAlign w:val="center"/>
          </w:tcPr>
          <w:p>
            <w:pPr>
              <w:jc w:val="left"/>
            </w:pPr>
            <w:r>
              <w:rPr>
                <w:b/>
                <w:bCs/>
                <w:color w:val="FFFFFF"/>
                <w:sz w:val="19"/>
                <w:szCs w:val="19"/>
              </w:rPr>
              <w:t xml:space="preserve">Retenu ?</w:t>
            </w:r>
          </w:p>
        </w:tc>
        <w:tc>
          <w:tcPr>
            <w:tcW w:type="dxa" w:w="3200"/>
            <w:shd w:fill="1F3864" w:val="clear"/>
            <w:tcMar>
              <w:top w:type="dxa" w:w="100"/>
              <w:left w:type="dxa" w:w="120"/>
              <w:bottom w:type="dxa" w:w="100"/>
              <w:right w:type="dxa" w:w="120"/>
            </w:tcMar>
            <w:vAlign w:val="center"/>
          </w:tcPr>
          <w:p>
            <w:pPr>
              <w:jc w:val="left"/>
            </w:pPr>
            <w:r>
              <w:rPr>
                <w:b/>
                <w:bCs/>
                <w:color w:val="FFFFFF"/>
                <w:sz w:val="19"/>
                <w:szCs w:val="19"/>
              </w:rPr>
              <w:t xml:space="preserve">Justification</w:t>
            </w:r>
          </w:p>
        </w:tc>
      </w:tr>
      <w:tr>
        <w:tc>
          <w:tcPr>
            <w:tcW w:type="dxa" w:w="18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Isolation Forest</w:t>
            </w:r>
          </w:p>
        </w:tc>
        <w:tc>
          <w:tcPr>
            <w:tcW w:type="dxa" w:w="22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Détection d'anomalies</w:t>
            </w:r>
          </w:p>
        </w:tc>
        <w:tc>
          <w:tcPr>
            <w:tcW w:type="dxa" w:w="12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Oui</w:t>
            </w:r>
          </w:p>
        </w:tc>
        <w:tc>
          <w:tcPr>
            <w:tcW w:type="dxa" w:w="32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Non supervisé, robuste au déséquilibre des classes (peu d'incidents réels), faible coût de calcul, adapté aux données tabulaires multivariées</w:t>
            </w:r>
          </w:p>
        </w:tc>
      </w:tr>
      <w:tr>
        <w:tc>
          <w:tcPr>
            <w:tcW w:type="dxa" w:w="18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One-Class SVM</w:t>
            </w:r>
          </w:p>
        </w:tc>
        <w:tc>
          <w:tcPr>
            <w:tcW w:type="dxa" w:w="22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Détection d'anomalies</w:t>
            </w:r>
          </w:p>
        </w:tc>
        <w:tc>
          <w:tcPr>
            <w:tcW w:type="dxa" w:w="12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Non</w:t>
            </w:r>
          </w:p>
        </w:tc>
        <w:tc>
          <w:tcPr>
            <w:tcW w:type="dxa" w:w="32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Sensible au choix du noyau et à la mise à l'échelle, passe mal à l'échelle sur de gros volumes</w:t>
            </w:r>
          </w:p>
        </w:tc>
      </w:tr>
      <w:tr>
        <w:tc>
          <w:tcPr>
            <w:tcW w:type="dxa" w:w="18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Local Outlier Factor</w:t>
            </w:r>
          </w:p>
        </w:tc>
        <w:tc>
          <w:tcPr>
            <w:tcW w:type="dxa" w:w="22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Détection d'anomalies locale</w:t>
            </w:r>
          </w:p>
        </w:tc>
        <w:tc>
          <w:tcPr>
            <w:tcW w:type="dxa" w:w="12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Complémentaire</w:t>
            </w:r>
          </w:p>
        </w:tc>
        <w:tc>
          <w:tcPr>
            <w:tcW w:type="dxa" w:w="32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Utile en complément pour détecter des anomalies contextuelles (comparaison entre VM similaires), coût de calcul plus élevé, non retenu en pipeline temps réel</w:t>
            </w:r>
          </w:p>
        </w:tc>
      </w:tr>
      <w:tr>
        <w:tc>
          <w:tcPr>
            <w:tcW w:type="dxa" w:w="18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XGBoost</w:t>
            </w:r>
          </w:p>
        </w:tc>
        <w:tc>
          <w:tcPr>
            <w:tcW w:type="dxa" w:w="22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Prédiction de saturation (régression)</w:t>
            </w:r>
          </w:p>
        </w:tc>
        <w:tc>
          <w:tcPr>
            <w:tcW w:type="dxa" w:w="12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Oui</w:t>
            </w:r>
          </w:p>
        </w:tc>
        <w:tc>
          <w:tcPr>
            <w:tcW w:type="dxa" w:w="32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Excellente performance sur données tabulaires structurées, gère nativement les valeurs manquantes, interprétable via SHAP values</w:t>
            </w:r>
          </w:p>
        </w:tc>
      </w:tr>
      <w:tr>
        <w:tc>
          <w:tcPr>
            <w:tcW w:type="dxa" w:w="18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Random Forest</w:t>
            </w:r>
          </w:p>
        </w:tc>
        <w:tc>
          <w:tcPr>
            <w:tcW w:type="dxa" w:w="22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Prédiction de saturation</w:t>
            </w:r>
          </w:p>
        </w:tc>
        <w:tc>
          <w:tcPr>
            <w:tcW w:type="dxa" w:w="12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Alternative</w:t>
            </w:r>
          </w:p>
        </w:tc>
        <w:tc>
          <w:tcPr>
            <w:tcW w:type="dxa" w:w="32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Performance proche de XGBoost mais généralement inférieure sur ce type de données, retenu comme modèle de repli</w:t>
            </w:r>
          </w:p>
        </w:tc>
      </w:tr>
      <w:tr>
        <w:tc>
          <w:tcPr>
            <w:tcW w:type="dxa" w:w="18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LightGBM</w:t>
            </w:r>
          </w:p>
        </w:tc>
        <w:tc>
          <w:tcPr>
            <w:tcW w:type="dxa" w:w="22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Prédiction de saturation</w:t>
            </w:r>
          </w:p>
        </w:tc>
        <w:tc>
          <w:tcPr>
            <w:tcW w:type="dxa" w:w="12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Alternative</w:t>
            </w:r>
          </w:p>
        </w:tc>
        <w:tc>
          <w:tcPr>
            <w:tcW w:type="dxa" w:w="32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Plus rapide à l'entraînement sur gros volumes, envisageable en v2 si le volume de données dépasse la capacité confortable de XGBoost</w:t>
            </w:r>
          </w:p>
        </w:tc>
      </w:tr>
      <w:tr>
        <w:tc>
          <w:tcPr>
            <w:tcW w:type="dxa" w:w="18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LSTM</w:t>
            </w:r>
          </w:p>
        </w:tc>
        <w:tc>
          <w:tcPr>
            <w:tcW w:type="dxa" w:w="22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Prédiction de série temporelle</w:t>
            </w:r>
          </w:p>
        </w:tc>
        <w:tc>
          <w:tcPr>
            <w:tcW w:type="dxa" w:w="12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Non (à ce stade)</w:t>
            </w:r>
          </w:p>
        </w:tc>
        <w:tc>
          <w:tcPr>
            <w:tcW w:type="dxa" w:w="32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Nécessite un volume d'historique important et une infrastructure GPU non justifiée on-premise pour un gain marginal sur ce cas d'usage tabulaire</w:t>
            </w:r>
          </w:p>
        </w:tc>
      </w:tr>
      <w:tr>
        <w:tc>
          <w:tcPr>
            <w:tcW w:type="dxa" w:w="18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Transformer Time Series</w:t>
            </w:r>
          </w:p>
        </w:tc>
        <w:tc>
          <w:tcPr>
            <w:tcW w:type="dxa" w:w="22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Prédiction de série temporelle</w:t>
            </w:r>
          </w:p>
        </w:tc>
        <w:tc>
          <w:tcPr>
            <w:tcW w:type="dxa" w:w="12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Non (à ce stade)</w:t>
            </w:r>
          </w:p>
        </w:tc>
        <w:tc>
          <w:tcPr>
            <w:tcW w:type="dxa" w:w="32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Complexité d'entraînement et d'infrastructure disproportionnée par rapport au bénéfice attendu, à réévaluer si le produit évolue vers du multi-horizon complexe</w:t>
            </w:r>
          </w:p>
        </w:tc>
      </w:tr>
      <w:tr>
        <w:tc>
          <w:tcPr>
            <w:tcW w:type="dxa" w:w="18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Prophet</w:t>
            </w:r>
          </w:p>
        </w:tc>
        <w:tc>
          <w:tcPr>
            <w:tcW w:type="dxa" w:w="22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Prévision de tendance simple</w:t>
            </w:r>
          </w:p>
        </w:tc>
        <w:tc>
          <w:tcPr>
            <w:tcW w:type="dxa" w:w="12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Complémentaire</w:t>
            </w:r>
          </w:p>
        </w:tc>
        <w:tc>
          <w:tcPr>
            <w:tcW w:type="dxa" w:w="32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Utile pour une première estimation rapide et interprétable de la courbe de croissance du disque, sert de comparaison de référence (baseline)</w:t>
            </w:r>
          </w:p>
        </w:tc>
      </w:tr>
      <w:tr>
        <w:tc>
          <w:tcPr>
            <w:tcW w:type="dxa" w:w="18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ARIMA</w:t>
            </w:r>
          </w:p>
        </w:tc>
        <w:tc>
          <w:tcPr>
            <w:tcW w:type="dxa" w:w="22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Prévision de série temporelle univariée</w:t>
            </w:r>
          </w:p>
        </w:tc>
        <w:tc>
          <w:tcPr>
            <w:tcW w:type="dxa" w:w="12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Non</w:t>
            </w:r>
          </w:p>
        </w:tc>
        <w:tc>
          <w:tcPr>
            <w:tcW w:type="dxa" w:w="32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Suppose une stationnarité difficile à garantir sur des séries d'usage disque très irrégulières ; moins performant que XGBoost sur données multivariées</w:t>
            </w:r>
          </w:p>
        </w:tc>
      </w:tr>
    </w:tbl>
    <w:p>
      <w:pPr>
        <w:pStyle w:val="Heading2"/>
        <w:spacing w:after="180" w:before="360"/>
      </w:pPr>
      <w:r>
        <w:rPr>
          <w:b/>
          <w:bCs/>
          <w:color w:val="2E5395"/>
          <w:sz w:val="26"/>
          <w:szCs w:val="26"/>
        </w:rPr>
        <w:t xml:space="preserve">13.4 Architecture finale retenue</w:t>
      </w:r>
    </w:p>
    <w:p>
      <w:pPr>
        <w:spacing w:after="160" w:line="276"/>
        <w:jc w:val="both"/>
      </w:pPr>
      <w:r>
        <w:rPr>
          <w:color w:val="202020"/>
          <w:sz w:val="21"/>
          <w:szCs w:val="21"/>
        </w:rPr>
        <w:t xml:space="preserve">L'architecture finale combine trois couches complémentaires plutôt qu'un modèle unique : un moteur de règles métier (seuils configurables, ex. disque &gt; 90 %) garantissant une couverture immédiate et explicable dès la mise en production, sans attendre l'accumulation d'historique nécessaire à l'entraînement ; un modèle Isolation Forest détectant les comportements anormaux non couverts par des règles statiques (pics inhabituels combinés sur plusieurs métriques) ; et un modèle XGBoost entraîné sur l'historique pour produire l'estimation du nombre de jours restants avant saturation (Days Remaining) et le Risk Score consolidé. Cette architecture hybride règles + IA supervisée + IA non supervisée assure une valeur immédiate à l'installation tout en s'améliorant progressivement avec l'accumulation de données propres au client.</w:t>
      </w:r>
    </w:p>
    <w:p>
      <w:pPr>
        <w:pStyle w:val="Heading2"/>
        <w:spacing w:after="180" w:before="360"/>
      </w:pPr>
      <w:r>
        <w:rPr>
          <w:b/>
          <w:bCs/>
          <w:color w:val="2E5395"/>
          <w:sz w:val="26"/>
          <w:szCs w:val="26"/>
        </w:rPr>
        <w:t xml:space="preserve">13.5 Feature Engineering</w:t>
      </w:r>
    </w:p>
    <w:p>
      <w:pPr>
        <w:spacing w:after="160" w:line="276"/>
        <w:jc w:val="both"/>
      </w:pPr>
      <w:r>
        <w:rPr>
          <w:color w:val="202020"/>
          <w:sz w:val="21"/>
          <w:szCs w:val="21"/>
        </w:rPr>
        <w:t xml:space="preserve">Le pipeline de préparation des variables applique successivement : le nettoyage (suppression des valeurs aberrantes par méthode IQR, imputation des valeurs manquantes par interpolation linéaire courte), la normalisation Min-Max pour les variables bornées (pourcentages CPU, IO Wait) et la standardisation Z-score pour les variables non bornées (débit réseau), le découpage en fenêtres temporelles glissantes (24h, 7 jours, 30 jours), et le calcul de variables dérivées : moyenne mobile (Moving Average) sur 6 heures, moyenne mobile pondérée (Rolling Average) sur 24 heures, taux de croissance linéaire du disque par régression sur les 7 derniers jours, et écart-type glissant comme proxy de volatilité.</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200"/>
      </w:tblGrid>
      <w:tr>
        <w:trPr>
          <w:tblHeader/>
        </w:trPr>
        <w:tc>
          <w:tcPr>
            <w:tcW w:type="dxa" w:w="2200"/>
            <w:shd w:fill="1F3864" w:val="clear"/>
            <w:tcMar>
              <w:top w:type="dxa" w:w="100"/>
              <w:left w:type="dxa" w:w="120"/>
              <w:bottom w:type="dxa" w:w="100"/>
              <w:right w:type="dxa" w:w="120"/>
            </w:tcMar>
            <w:vAlign w:val="center"/>
          </w:tcPr>
          <w:p>
            <w:pPr>
              <w:jc w:val="left"/>
            </w:pPr>
            <w:r>
              <w:rPr>
                <w:b/>
                <w:bCs/>
                <w:color w:val="FFFFFF"/>
                <w:sz w:val="19"/>
                <w:szCs w:val="19"/>
              </w:rPr>
              <w:t xml:space="preserve">Étape</w:t>
            </w:r>
          </w:p>
        </w:tc>
        <w:tc>
          <w:tcPr>
            <w:tcW w:type="dxa" w:w="3000"/>
            <w:shd w:fill="1F3864" w:val="clear"/>
            <w:tcMar>
              <w:top w:type="dxa" w:w="100"/>
              <w:left w:type="dxa" w:w="120"/>
              <w:bottom w:type="dxa" w:w="100"/>
              <w:right w:type="dxa" w:w="120"/>
            </w:tcMar>
            <w:vAlign w:val="center"/>
          </w:tcPr>
          <w:p>
            <w:pPr>
              <w:jc w:val="left"/>
            </w:pPr>
            <w:r>
              <w:rPr>
                <w:b/>
                <w:bCs/>
                <w:color w:val="FFFFFF"/>
                <w:sz w:val="19"/>
                <w:szCs w:val="19"/>
              </w:rPr>
              <w:t xml:space="preserve">Technique</w:t>
            </w:r>
          </w:p>
        </w:tc>
        <w:tc>
          <w:tcPr>
            <w:tcW w:type="dxa" w:w="3200"/>
            <w:shd w:fill="1F3864" w:val="clear"/>
            <w:tcMar>
              <w:top w:type="dxa" w:w="100"/>
              <w:left w:type="dxa" w:w="120"/>
              <w:bottom w:type="dxa" w:w="100"/>
              <w:right w:type="dxa" w:w="120"/>
            </w:tcMar>
            <w:vAlign w:val="center"/>
          </w:tcPr>
          <w:p>
            <w:pPr>
              <w:jc w:val="left"/>
            </w:pPr>
            <w:r>
              <w:rPr>
                <w:b/>
                <w:bCs/>
                <w:color w:val="FFFFFF"/>
                <w:sz w:val="19"/>
                <w:szCs w:val="19"/>
              </w:rPr>
              <w:t xml:space="preserve">Objectif</w:t>
            </w:r>
          </w:p>
        </w:tc>
      </w:tr>
      <w:tr>
        <w:tc>
          <w:tcPr>
            <w:tcW w:type="dxa" w:w="22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Nettoyage</w:t>
            </w:r>
          </w:p>
        </w:tc>
        <w:tc>
          <w:tcPr>
            <w:tcW w:type="dxa" w:w="30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Méthode IQR, interpolation linéaire</w:t>
            </w:r>
          </w:p>
        </w:tc>
        <w:tc>
          <w:tcPr>
            <w:tcW w:type="dxa" w:w="32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Éliminer les artefacts de capteur sans introduire de biais</w:t>
            </w:r>
          </w:p>
        </w:tc>
      </w:tr>
      <w:tr>
        <w:tc>
          <w:tcPr>
            <w:tcW w:type="dxa" w:w="22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Normalisation</w:t>
            </w:r>
          </w:p>
        </w:tc>
        <w:tc>
          <w:tcPr>
            <w:tcW w:type="dxa" w:w="30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Min-Max scaling</w:t>
            </w:r>
          </w:p>
        </w:tc>
        <w:tc>
          <w:tcPr>
            <w:tcW w:type="dxa" w:w="32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Variables bornées (CPU %, IO Wait %)</w:t>
            </w:r>
          </w:p>
        </w:tc>
      </w:tr>
      <w:tr>
        <w:tc>
          <w:tcPr>
            <w:tcW w:type="dxa" w:w="22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Standardisation</w:t>
            </w:r>
          </w:p>
        </w:tc>
        <w:tc>
          <w:tcPr>
            <w:tcW w:type="dxa" w:w="30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Z-score</w:t>
            </w:r>
          </w:p>
        </w:tc>
        <w:tc>
          <w:tcPr>
            <w:tcW w:type="dxa" w:w="32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Variables non bornées (débit réseau, latence)</w:t>
            </w:r>
          </w:p>
        </w:tc>
      </w:tr>
      <w:tr>
        <w:tc>
          <w:tcPr>
            <w:tcW w:type="dxa" w:w="22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Fenêtres temporelles</w:t>
            </w:r>
          </w:p>
        </w:tc>
        <w:tc>
          <w:tcPr>
            <w:tcW w:type="dxa" w:w="30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24h / 7j / 30j glissantes</w:t>
            </w:r>
          </w:p>
        </w:tc>
        <w:tc>
          <w:tcPr>
            <w:tcW w:type="dxa" w:w="32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Capturer les tendances court, moyen et long terme</w:t>
            </w:r>
          </w:p>
        </w:tc>
      </w:tr>
      <w:tr>
        <w:tc>
          <w:tcPr>
            <w:tcW w:type="dxa" w:w="22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Variables dérivées</w:t>
            </w:r>
          </w:p>
        </w:tc>
        <w:tc>
          <w:tcPr>
            <w:tcW w:type="dxa" w:w="30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Rolling Average, Moving Average, pente de régression</w:t>
            </w:r>
          </w:p>
        </w:tc>
        <w:tc>
          <w:tcPr>
            <w:tcW w:type="dxa" w:w="32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Transformer une série brute en signal exploitable par XGBoost</w:t>
            </w:r>
          </w:p>
        </w:tc>
      </w:tr>
    </w:tbl>
    <w:p>
      <w:r>
        <w:br w:type="page"/>
      </w:r>
    </w:p>
    <w:p>
      <w:pPr>
        <w:pStyle w:val="Heading1"/>
        <w:pBdr>
          <w:bottom w:val="single" w:color="2E5395" w:sz="8" w:space="4"/>
        </w:pBdr>
        <w:spacing w:after="240" w:before="480"/>
      </w:pPr>
      <w:r>
        <w:rPr>
          <w:b/>
          <w:bCs/>
          <w:color w:val="1F3864"/>
          <w:sz w:val="32"/>
          <w:szCs w:val="32"/>
        </w:rPr>
        <w:t xml:space="preserve">14. Moteur d'alertes</w:t>
      </w:r>
    </w:p>
    <w:p>
      <w:pPr>
        <w:pStyle w:val="Heading2"/>
        <w:spacing w:after="180" w:before="360"/>
      </w:pPr>
      <w:r>
        <w:rPr>
          <w:b/>
          <w:bCs/>
          <w:color w:val="2E5395"/>
          <w:sz w:val="26"/>
          <w:szCs w:val="26"/>
        </w:rPr>
        <w:t xml:space="preserve">14.1 Rule Engine</w:t>
      </w:r>
    </w:p>
    <w:p>
      <w:pPr>
        <w:spacing w:after="160" w:line="276"/>
        <w:jc w:val="both"/>
      </w:pPr>
      <w:r>
        <w:rPr>
          <w:color w:val="202020"/>
          <w:sz w:val="21"/>
          <w:szCs w:val="21"/>
        </w:rPr>
        <w:t xml:space="preserve">Le moteur d'alertes évalue, à chaque cycle d'inférence, un ensemble de règles configurables combinant seuils statiques et sorties des modèles IA. Chaque règle définit une condition, un niveau de sévérité et une fenêtre de confirmation (pour éviter les alertes intempestives sur un pic isolé de courte durée).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2000"/>
        <w:gridCol w:w="2800"/>
      </w:tblGrid>
      <w:tr>
        <w:trPr>
          <w:tblHeader/>
        </w:trPr>
        <w:tc>
          <w:tcPr>
            <w:tcW w:type="dxa" w:w="1600"/>
            <w:shd w:fill="1F3864" w:val="clear"/>
            <w:tcMar>
              <w:top w:type="dxa" w:w="100"/>
              <w:left w:type="dxa" w:w="120"/>
              <w:bottom w:type="dxa" w:w="100"/>
              <w:right w:type="dxa" w:w="120"/>
            </w:tcMar>
            <w:vAlign w:val="center"/>
          </w:tcPr>
          <w:p>
            <w:pPr>
              <w:jc w:val="left"/>
            </w:pPr>
            <w:r>
              <w:rPr>
                <w:b/>
                <w:bCs/>
                <w:color w:val="FFFFFF"/>
                <w:sz w:val="19"/>
                <w:szCs w:val="19"/>
              </w:rPr>
              <w:t xml:space="preserve">Niveau</w:t>
            </w:r>
          </w:p>
        </w:tc>
        <w:tc>
          <w:tcPr>
            <w:tcW w:type="dxa" w:w="3000"/>
            <w:shd w:fill="1F3864" w:val="clear"/>
            <w:tcMar>
              <w:top w:type="dxa" w:w="100"/>
              <w:left w:type="dxa" w:w="120"/>
              <w:bottom w:type="dxa" w:w="100"/>
              <w:right w:type="dxa" w:w="120"/>
            </w:tcMar>
            <w:vAlign w:val="center"/>
          </w:tcPr>
          <w:p>
            <w:pPr>
              <w:jc w:val="left"/>
            </w:pPr>
            <w:r>
              <w:rPr>
                <w:b/>
                <w:bCs/>
                <w:color w:val="FFFFFF"/>
                <w:sz w:val="19"/>
                <w:szCs w:val="19"/>
              </w:rPr>
              <w:t xml:space="preserve">Déclencheur type</w:t>
            </w:r>
          </w:p>
        </w:tc>
        <w:tc>
          <w:tcPr>
            <w:tcW w:type="dxa" w:w="2000"/>
            <w:shd w:fill="1F3864" w:val="clear"/>
            <w:tcMar>
              <w:top w:type="dxa" w:w="100"/>
              <w:left w:type="dxa" w:w="120"/>
              <w:bottom w:type="dxa" w:w="100"/>
              <w:right w:type="dxa" w:w="120"/>
            </w:tcMar>
            <w:vAlign w:val="center"/>
          </w:tcPr>
          <w:p>
            <w:pPr>
              <w:jc w:val="left"/>
            </w:pPr>
            <w:r>
              <w:rPr>
                <w:b/>
                <w:bCs/>
                <w:color w:val="FFFFFF"/>
                <w:sz w:val="19"/>
                <w:szCs w:val="19"/>
              </w:rPr>
              <w:t xml:space="preserve">Fenêtre de confirmation</w:t>
            </w:r>
          </w:p>
        </w:tc>
        <w:tc>
          <w:tcPr>
            <w:tcW w:type="dxa" w:w="2800"/>
            <w:shd w:fill="1F3864" w:val="clear"/>
            <w:tcMar>
              <w:top w:type="dxa" w:w="100"/>
              <w:left w:type="dxa" w:w="120"/>
              <w:bottom w:type="dxa" w:w="100"/>
              <w:right w:type="dxa" w:w="120"/>
            </w:tcMar>
            <w:vAlign w:val="center"/>
          </w:tcPr>
          <w:p>
            <w:pPr>
              <w:jc w:val="left"/>
            </w:pPr>
            <w:r>
              <w:rPr>
                <w:b/>
                <w:bCs/>
                <w:color w:val="FFFFFF"/>
                <w:sz w:val="19"/>
                <w:szCs w:val="19"/>
              </w:rPr>
              <w:t xml:space="preserve">Action attendue</w:t>
            </w:r>
          </w:p>
        </w:tc>
      </w:tr>
      <w:tr>
        <w:tc>
          <w:tcPr>
            <w:tcW w:type="dxa" w:w="16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Info</w:t>
            </w:r>
          </w:p>
        </w:tc>
        <w:tc>
          <w:tcPr>
            <w:tcW w:type="dxa" w:w="30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Disk usage &gt; 70 % ou tendance de croissance détectée</w:t>
            </w:r>
          </w:p>
        </w:tc>
        <w:tc>
          <w:tcPr>
            <w:tcW w:type="dxa" w:w="20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Immédiat</w:t>
            </w:r>
          </w:p>
        </w:tc>
        <w:tc>
          <w:tcPr>
            <w:tcW w:type="dxa" w:w="28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Information affichée au tableau de bord, aucune notification push</w:t>
            </w:r>
          </w:p>
        </w:tc>
      </w:tr>
      <w:tr>
        <w:tc>
          <w:tcPr>
            <w:tcW w:type="dxa" w:w="16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Warning</w:t>
            </w:r>
          </w:p>
        </w:tc>
        <w:tc>
          <w:tcPr>
            <w:tcW w:type="dxa" w:w="30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Disk usage &gt; 85 % ou Anomaly Score &gt; 0,6</w:t>
            </w:r>
          </w:p>
        </w:tc>
        <w:tc>
          <w:tcPr>
            <w:tcW w:type="dxa" w:w="20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5 minutes consécutives</w:t>
            </w:r>
          </w:p>
        </w:tc>
        <w:tc>
          <w:tcPr>
            <w:tcW w:type="dxa" w:w="28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Notification aux opérateurs, recommandation générée</w:t>
            </w:r>
          </w:p>
        </w:tc>
      </w:tr>
      <w:tr>
        <w:tc>
          <w:tcPr>
            <w:tcW w:type="dxa" w:w="16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Critical</w:t>
            </w:r>
          </w:p>
        </w:tc>
        <w:tc>
          <w:tcPr>
            <w:tcW w:type="dxa" w:w="30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Disk usage &gt; 95 % ou Days Remaining &lt; 3</w:t>
            </w:r>
          </w:p>
        </w:tc>
        <w:tc>
          <w:tcPr>
            <w:tcW w:type="dxa" w:w="20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Immédiat (pas de délai de confirmation)</w:t>
            </w:r>
          </w:p>
        </w:tc>
        <w:tc>
          <w:tcPr>
            <w:tcW w:type="dxa" w:w="28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Notification prioritaire, escalade si non acquittée sous 1h</w:t>
            </w:r>
          </w:p>
        </w:tc>
      </w:tr>
      <w:tr>
        <w:tc>
          <w:tcPr>
            <w:tcW w:type="dxa" w:w="16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Emergency</w:t>
            </w:r>
          </w:p>
        </w:tc>
        <w:tc>
          <w:tcPr>
            <w:tcW w:type="dxa" w:w="30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Disk usage &gt; 99 % ou échec de démarrage VM détecté</w:t>
            </w:r>
          </w:p>
        </w:tc>
        <w:tc>
          <w:tcPr>
            <w:tcW w:type="dxa" w:w="20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Immédiat</w:t>
            </w:r>
          </w:p>
        </w:tc>
        <w:tc>
          <w:tcPr>
            <w:tcW w:type="dxa" w:w="28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Notification multicanal (email + push), escalade sous 15 minutes</w:t>
            </w:r>
          </w:p>
        </w:tc>
      </w:tr>
    </w:tbl>
    <w:p>
      <w:pPr>
        <w:pStyle w:val="Heading2"/>
        <w:spacing w:after="180" w:before="360"/>
      </w:pPr>
      <w:r>
        <w:rPr>
          <w:b/>
          <w:bCs/>
          <w:color w:val="2E5395"/>
          <w:sz w:val="26"/>
          <w:szCs w:val="26"/>
        </w:rPr>
        <w:t xml:space="preserve">14.2 Workflow des alertes</w:t>
      </w:r>
    </w:p>
    <w:p>
      <w:pPr>
        <w:spacing w:after="160" w:line="276"/>
        <w:jc w:val="both"/>
      </w:pPr>
      <w:r>
        <w:rPr>
          <w:color w:val="202020"/>
          <w:sz w:val="21"/>
          <w:szCs w:val="21"/>
        </w:rPr>
        <w:t xml:space="preserve">Le cycle de vie d'une alerte suit la machine à états détaillée en Figure 13 : Ouverte lors de la première évaluation positive d'une règle, Acquittée lorsqu'un opérateur prend en charge l'incident, Résolue lorsque la condition déclenchante n'est plus vérifiée sur un cycle de confirmation, ou Escaladée automatiquement si aucune prise en charge n'intervient dans le délai SLA associé à sa sévérité, déclenchant une notification élargie à l'administrateur entreprise.</w:t>
      </w:r>
    </w:p>
    <w:p>
      <w:r>
        <w:br w:type="page"/>
      </w:r>
    </w:p>
    <w:p>
      <w:pPr>
        <w:pStyle w:val="Heading1"/>
        <w:pBdr>
          <w:bottom w:val="single" w:color="2E5395" w:sz="8" w:space="4"/>
        </w:pBdr>
        <w:spacing w:after="240" w:before="480"/>
      </w:pPr>
      <w:r>
        <w:rPr>
          <w:b/>
          <w:bCs/>
          <w:color w:val="1F3864"/>
          <w:sz w:val="32"/>
          <w:szCs w:val="32"/>
        </w:rPr>
        <w:t xml:space="preserve">15. Moteur de recommandations</w:t>
      </w:r>
    </w:p>
    <w:p>
      <w:pPr>
        <w:spacing w:after="160" w:line="276"/>
        <w:jc w:val="both"/>
      </w:pPr>
      <w:r>
        <w:rPr>
          <w:color w:val="202020"/>
          <w:sz w:val="21"/>
          <w:szCs w:val="21"/>
        </w:rPr>
        <w:t xml:space="preserve">Le moteur de recommandations transforme chaque alerte de niveau Warning ou supérieur en une ou plusieurs actions correctives hiérarchisées par priorité, construites à partir d'un arbre de décision métier combiné aux facteurs explicatifs (SHAP values) du modèle XGBoost, afin de proposer l'action la plus pertinente au contexte précis de la VM concernée plutôt qu'une recommandation générique.</w:t>
      </w:r>
    </w:p>
    <w:tbl>
      <w:tblPr>
        <w:tblW w:type="pct" w:w="100%"/>
        <w:tblBorders>
          <w:top w:val="single" w:color="9DB4CE" w:sz="4"/>
          <w:left w:val="single" w:color="9DB4CE" w:sz="4"/>
          <w:bottom w:val="single" w:color="9DB4CE" w:sz="4"/>
          <w:right w:val="single" w:color="9DB4CE" w:sz="4"/>
          <w:insideH w:val="single" w:color="auto" w:sz="4"/>
          <w:insideV w:val="single" w:color="auto" w:sz="4"/>
        </w:tblBorders>
      </w:tblPr>
      <w:tblGrid>
        <w:gridCol w:w="100"/>
      </w:tblGrid>
      <w:tr>
        <w:tc>
          <w:tcPr>
            <w:shd w:fill="F7F9FC" w:val="clear"/>
            <w:tcMar>
              <w:top w:type="dxa" w:w="160"/>
              <w:left w:type="dxa" w:w="200"/>
              <w:bottom w:type="dxa" w:w="160"/>
              <w:right w:type="dxa" w:w="200"/>
            </w:tcMar>
          </w:tcPr>
          <w:p>
            <w:pPr>
              <w:spacing w:after="0"/>
            </w:pPr>
            <w:r>
              <w:rPr>
                <w:rFonts w:ascii="Consolas" w:cs="Consolas" w:eastAsia="Consolas" w:hAnsi="Consolas"/>
                <w:color w:val="1F3864"/>
                <w:sz w:val="13"/>
                <w:szCs w:val="13"/>
              </w:rPr>
              <w:t xml:space="preserve">  Stockage presque saturé (Warning/Critical)</w:t>
            </w:r>
          </w:p>
          <w:p>
            <w:pPr>
              <w:spacing w:after="0"/>
            </w:pPr>
            <w:r>
              <w:rPr>
                <w:rFonts w:ascii="Consolas" w:cs="Consolas" w:eastAsia="Consolas" w:hAnsi="Consolas"/>
                <w:color w:val="1F3864"/>
                <w:sz w:val="13"/>
                <w:szCs w:val="13"/>
              </w:rPr>
              <w:t xml:space="preserve">            │</w:t>
            </w:r>
          </w:p>
          <w:p>
            <w:pPr>
              <w:spacing w:after="0"/>
            </w:pPr>
            <w:r>
              <w:rPr>
                <w:rFonts w:ascii="Consolas" w:cs="Consolas" w:eastAsia="Consolas" w:hAnsi="Consolas"/>
                <w:color w:val="1F3864"/>
                <w:sz w:val="13"/>
                <w:szCs w:val="13"/>
              </w:rPr>
              <w:t xml:space="preserve">            ▼</w:t>
            </w:r>
          </w:p>
          <w:p>
            <w:pPr>
              <w:spacing w:after="0"/>
            </w:pPr>
            <w:r>
              <w:rPr>
                <w:rFonts w:ascii="Consolas" w:cs="Consolas" w:eastAsia="Consolas" w:hAnsi="Consolas"/>
                <w:color w:val="1F3864"/>
                <w:sz w:val="13"/>
                <w:szCs w:val="13"/>
              </w:rPr>
              <w:t xml:space="preserve">  &lt;Snapshots anciens détectés (&gt; 30 jours) ?&gt;── oui ──► [Recommandation P1 : Supprimer snapshots obsolètes]</w:t>
            </w:r>
          </w:p>
          <w:p>
            <w:pPr>
              <w:spacing w:after="0"/>
            </w:pPr>
            <w:r>
              <w:rPr>
                <w:rFonts w:ascii="Consolas" w:cs="Consolas" w:eastAsia="Consolas" w:hAnsi="Consolas"/>
                <w:color w:val="1F3864"/>
                <w:sz w:val="13"/>
                <w:szCs w:val="13"/>
              </w:rPr>
              <w:t xml:space="preserve">            │ non</w:t>
            </w:r>
          </w:p>
          <w:p>
            <w:pPr>
              <w:spacing w:after="0"/>
            </w:pPr>
            <w:r>
              <w:rPr>
                <w:rFonts w:ascii="Consolas" w:cs="Consolas" w:eastAsia="Consolas" w:hAnsi="Consolas"/>
                <w:color w:val="1F3864"/>
                <w:sz w:val="13"/>
                <w:szCs w:val="13"/>
              </w:rPr>
              <w:t xml:space="preserve">            ▼</w:t>
            </w:r>
          </w:p>
          <w:p>
            <w:pPr>
              <w:spacing w:after="0"/>
            </w:pPr>
            <w:r>
              <w:rPr>
                <w:rFonts w:ascii="Consolas" w:cs="Consolas" w:eastAsia="Consolas" w:hAnsi="Consolas"/>
                <w:color w:val="1F3864"/>
                <w:sz w:val="13"/>
                <w:szCs w:val="13"/>
              </w:rPr>
              <w:t xml:space="preserve">  &lt;Node dispose d'un autre stockage avec marge ?&gt;── oui ──► [Recommandation P2 : Déplacer la VM]</w:t>
            </w:r>
          </w:p>
          <w:p>
            <w:pPr>
              <w:spacing w:after="0"/>
            </w:pPr>
            <w:r>
              <w:rPr>
                <w:rFonts w:ascii="Consolas" w:cs="Consolas" w:eastAsia="Consolas" w:hAnsi="Consolas"/>
                <w:color w:val="1F3864"/>
                <w:sz w:val="13"/>
                <w:szCs w:val="13"/>
              </w:rPr>
              <w:t xml:space="preserve">            │ non</w:t>
            </w:r>
          </w:p>
          <w:p>
            <w:pPr>
              <w:spacing w:after="0"/>
            </w:pPr>
            <w:r>
              <w:rPr>
                <w:rFonts w:ascii="Consolas" w:cs="Consolas" w:eastAsia="Consolas" w:hAnsi="Consolas"/>
                <w:color w:val="1F3864"/>
                <w:sz w:val="13"/>
                <w:szCs w:val="13"/>
              </w:rPr>
              <w:t xml:space="preserve">            ▼</w:t>
            </w:r>
          </w:p>
          <w:p>
            <w:pPr>
              <w:spacing w:after="0"/>
            </w:pPr>
            <w:r>
              <w:rPr>
                <w:rFonts w:ascii="Consolas" w:cs="Consolas" w:eastAsia="Consolas" w:hAnsi="Consolas"/>
                <w:color w:val="1F3864"/>
                <w:sz w:val="13"/>
                <w:szCs w:val="13"/>
              </w:rPr>
              <w:t xml:space="preserve">  &lt;Tendance de croissance stable et prévisible ?&gt;── oui ──► [Recommandation P3 : Planifier extension de stockage]</w:t>
            </w:r>
          </w:p>
          <w:p>
            <w:pPr>
              <w:spacing w:after="0"/>
            </w:pPr>
            <w:r>
              <w:rPr>
                <w:rFonts w:ascii="Consolas" w:cs="Consolas" w:eastAsia="Consolas" w:hAnsi="Consolas"/>
                <w:color w:val="1F3864"/>
                <w:sz w:val="13"/>
                <w:szCs w:val="13"/>
              </w:rPr>
              <w:t xml:space="preserve">            │ non</w:t>
            </w:r>
          </w:p>
          <w:p>
            <w:pPr>
              <w:spacing w:after="0"/>
            </w:pPr>
            <w:r>
              <w:rPr>
                <w:rFonts w:ascii="Consolas" w:cs="Consolas" w:eastAsia="Consolas" w:hAnsi="Consolas"/>
                <w:color w:val="1F3864"/>
                <w:sz w:val="13"/>
                <w:szCs w:val="13"/>
              </w:rPr>
              <w:t xml:space="preserve">            ▼</w:t>
            </w:r>
          </w:p>
          <w:p>
            <w:pPr>
              <w:spacing w:after="0"/>
            </w:pPr>
            <w:r>
              <w:rPr>
                <w:rFonts w:ascii="Consolas" w:cs="Consolas" w:eastAsia="Consolas" w:hAnsi="Consolas"/>
                <w:color w:val="1F3864"/>
                <w:sz w:val="13"/>
                <w:szCs w:val="13"/>
              </w:rPr>
              <w:t xml:space="preserve">  [Recommandation P1 (urgence) : Créer une sauvegarde immédiate avant intervention manuelle]</w:t>
            </w:r>
          </w:p>
        </w:tc>
      </w:tr>
    </w:tbl>
    <w:p>
      <w:pPr>
        <w:spacing w:after="240" w:before="80"/>
        <w:jc w:val="center"/>
      </w:pPr>
      <w:r>
        <w:rPr>
          <w:i/>
          <w:iCs/>
          <w:color w:val="595959"/>
          <w:sz w:val="18"/>
          <w:szCs w:val="18"/>
        </w:rPr>
        <w:t xml:space="preserve">Figure 23 — Arbre de décision du moteur de recommandations pour un scénario de saturation de stockage</w:t>
      </w:r>
    </w:p>
    <w:p>
      <w:pPr>
        <w:spacing w:after="160" w:line="276"/>
        <w:jc w:val="both"/>
      </w:pPr>
      <w:r>
        <w:rPr>
          <w:color w:val="202020"/>
          <w:sz w:val="21"/>
          <w:szCs w:val="21"/>
        </w:rPr>
        <w:t xml:space="preserve">Chaque recommandation porte une priorité (1 à 5), un type d'action structuré (suppression de snapshot, déplacement de VM, extension de stockage, création de sauvegarde), une description contextualisée générée à partir des facteurs explicatifs du modèle, et un statut de suivi (proposée, en cours, appliquée, ignorée) permettant de mesurer a posteriori le taux d'adoption des recommandations, indicateur clé de la valeur perçue de la plateforme.</w:t>
      </w:r>
    </w:p>
    <w:p>
      <w:r>
        <w:br w:type="page"/>
      </w:r>
    </w:p>
    <w:p>
      <w:pPr>
        <w:pStyle w:val="Heading1"/>
        <w:pBdr>
          <w:bottom w:val="single" w:color="2E5395" w:sz="8" w:space="4"/>
        </w:pBdr>
        <w:spacing w:after="240" w:before="480"/>
      </w:pPr>
      <w:r>
        <w:rPr>
          <w:b/>
          <w:bCs/>
          <w:color w:val="1F3864"/>
          <w:sz w:val="32"/>
          <w:szCs w:val="32"/>
        </w:rPr>
        <w:t xml:space="preserve">16. Gestion des logs</w:t>
      </w:r>
    </w:p>
    <w:p>
      <w:pPr>
        <w:pStyle w:val="Heading2"/>
        <w:spacing w:after="180" w:before="360"/>
      </w:pPr>
      <w:r>
        <w:rPr>
          <w:b/>
          <w:bCs/>
          <w:color w:val="2E5395"/>
          <w:sz w:val="26"/>
          <w:szCs w:val="26"/>
        </w:rPr>
        <w:t xml:space="preserve">16.1 Sources de logs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2800"/>
      </w:tblGrid>
      <w:tr>
        <w:trPr>
          <w:tblHeader/>
        </w:trPr>
        <w:tc>
          <w:tcPr>
            <w:tcW w:type="dxa" w:w="2600"/>
            <w:shd w:fill="1F3864" w:val="clear"/>
            <w:tcMar>
              <w:top w:type="dxa" w:w="100"/>
              <w:left w:type="dxa" w:w="120"/>
              <w:bottom w:type="dxa" w:w="100"/>
              <w:right w:type="dxa" w:w="120"/>
            </w:tcMar>
            <w:vAlign w:val="center"/>
          </w:tcPr>
          <w:p>
            <w:pPr>
              <w:jc w:val="left"/>
            </w:pPr>
            <w:r>
              <w:rPr>
                <w:b/>
                <w:bCs/>
                <w:color w:val="FFFFFF"/>
                <w:sz w:val="19"/>
                <w:szCs w:val="19"/>
              </w:rPr>
              <w:t xml:space="preserve">Source</w:t>
            </w:r>
          </w:p>
        </w:tc>
        <w:tc>
          <w:tcPr>
            <w:tcW w:type="dxa" w:w="3600"/>
            <w:shd w:fill="1F3864" w:val="clear"/>
            <w:tcMar>
              <w:top w:type="dxa" w:w="100"/>
              <w:left w:type="dxa" w:w="120"/>
              <w:bottom w:type="dxa" w:w="100"/>
              <w:right w:type="dxa" w:w="120"/>
            </w:tcMar>
            <w:vAlign w:val="center"/>
          </w:tcPr>
          <w:p>
            <w:pPr>
              <w:jc w:val="left"/>
            </w:pPr>
            <w:r>
              <w:rPr>
                <w:b/>
                <w:bCs/>
                <w:color w:val="FFFFFF"/>
                <w:sz w:val="19"/>
                <w:szCs w:val="19"/>
              </w:rPr>
              <w:t xml:space="preserve">Contenu</w:t>
            </w:r>
          </w:p>
        </w:tc>
        <w:tc>
          <w:tcPr>
            <w:tcW w:type="dxa" w:w="2800"/>
            <w:shd w:fill="1F3864" w:val="clear"/>
            <w:tcMar>
              <w:top w:type="dxa" w:w="100"/>
              <w:left w:type="dxa" w:w="120"/>
              <w:bottom w:type="dxa" w:w="100"/>
              <w:right w:type="dxa" w:w="120"/>
            </w:tcMar>
            <w:vAlign w:val="center"/>
          </w:tcPr>
          <w:p>
            <w:pPr>
              <w:jc w:val="left"/>
            </w:pPr>
            <w:r>
              <w:rPr>
                <w:b/>
                <w:bCs/>
                <w:color w:val="FFFFFF"/>
                <w:sz w:val="19"/>
                <w:szCs w:val="19"/>
              </w:rPr>
              <w:t xml:space="preserve">Usage</w:t>
            </w:r>
          </w:p>
        </w:tc>
      </w:tr>
      <w:tr>
        <w:tc>
          <w:tcPr>
            <w:tcW w:type="dxa" w:w="26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Logs système (hôte Docker)</w:t>
            </w:r>
          </w:p>
        </w:tc>
        <w:tc>
          <w:tcPr>
            <w:tcW w:type="dxa" w:w="36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Utilisation ressources des conteneurs, événements noyau</w:t>
            </w:r>
          </w:p>
        </w:tc>
        <w:tc>
          <w:tcPr>
            <w:tcW w:type="dxa" w:w="28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Supervision infrastructure de la plateforme elle-même</w:t>
            </w:r>
          </w:p>
        </w:tc>
      </w:tr>
      <w:tr>
        <w:tc>
          <w:tcPr>
            <w:tcW w:type="dxa" w:w="26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Logs applicatifs (backend, workers)</w:t>
            </w:r>
          </w:p>
        </w:tc>
        <w:tc>
          <w:tcPr>
            <w:tcW w:type="dxa" w:w="36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Requêtes API, exceptions, durées d'exécution des tâches Celery</w:t>
            </w:r>
          </w:p>
        </w:tc>
        <w:tc>
          <w:tcPr>
            <w:tcW w:type="dxa" w:w="28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Diagnostic, alimentation des tableaux de bord Grafana</w:t>
            </w:r>
          </w:p>
        </w:tc>
      </w:tr>
      <w:tr>
        <w:tc>
          <w:tcPr>
            <w:tcW w:type="dxa" w:w="26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Logs Proxmox</w:t>
            </w:r>
          </w:p>
        </w:tc>
        <w:tc>
          <w:tcPr>
            <w:tcW w:type="dxa" w:w="36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Journal des tâches Proxmox (démarrage/arrêt VM, migrations, échecs)</w:t>
            </w:r>
          </w:p>
        </w:tc>
        <w:tc>
          <w:tcPr>
            <w:tcW w:type="dxa" w:w="28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Corrélation avec les métriques pour enrichir le contexte des alertes</w:t>
            </w:r>
          </w:p>
        </w:tc>
      </w:tr>
      <w:tr>
        <w:tc>
          <w:tcPr>
            <w:tcW w:type="dxa" w:w="26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Audit Logs applicatifs</w:t>
            </w:r>
          </w:p>
        </w:tc>
        <w:tc>
          <w:tcPr>
            <w:tcW w:type="dxa" w:w="36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Actions sensibles des utilisateurs de la plateforme</w:t>
            </w:r>
          </w:p>
        </w:tc>
        <w:tc>
          <w:tcPr>
            <w:tcW w:type="dxa" w:w="28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Conformité, traçabilité, investigation post-incident</w:t>
            </w:r>
          </w:p>
        </w:tc>
      </w:tr>
    </w:tbl>
    <w:p>
      <w:pPr>
        <w:pStyle w:val="Heading2"/>
        <w:spacing w:after="180" w:before="360"/>
      </w:pPr>
      <w:r>
        <w:rPr>
          <w:b/>
          <w:bCs/>
          <w:color w:val="2E5395"/>
          <w:sz w:val="26"/>
          <w:szCs w:val="26"/>
        </w:rPr>
        <w:t xml:space="preserve">16.2 Parsing et transformation en variables exploitables</w:t>
      </w:r>
    </w:p>
    <w:p>
      <w:pPr>
        <w:spacing w:after="160" w:line="276"/>
        <w:jc w:val="both"/>
      </w:pPr>
      <w:r>
        <w:rPr>
          <w:color w:val="202020"/>
          <w:sz w:val="21"/>
          <w:szCs w:val="21"/>
        </w:rPr>
        <w:t xml:space="preserve">Les logs Proxmox et système, initialement non structurés, sont parsés par des expressions régulières et des grammaires légères (structlog côté applicatif) pour être transformés en événements structurés horodatés, puis agrégés en variables numériques exploitables par les modèles IA : nombre d'échecs de démarrage de VM sur les dernières 24 heures, nombre de tâches Proxmox en échec par node, fréquence des opérations de snapshot. Cette transformation « logs vers features » enrichit le pipeline de la section 13.5 au-delà des seules métriques de performance brutes.</w:t>
      </w:r>
    </w:p>
    <w:p>
      <w:r>
        <w:br w:type="page"/>
      </w:r>
    </w:p>
    <w:p>
      <w:pPr>
        <w:pStyle w:val="Heading1"/>
        <w:pBdr>
          <w:bottom w:val="single" w:color="2E5395" w:sz="8" w:space="4"/>
        </w:pBdr>
        <w:spacing w:after="240" w:before="480"/>
      </w:pPr>
      <w:r>
        <w:rPr>
          <w:b/>
          <w:bCs/>
          <w:color w:val="1F3864"/>
          <w:sz w:val="32"/>
          <w:szCs w:val="32"/>
        </w:rPr>
        <w:t xml:space="preserve">17. Monitoring de la plateforme elle-même</w:t>
      </w:r>
    </w:p>
    <w:p>
      <w:pPr>
        <w:spacing w:after="160" w:line="276"/>
        <w:jc w:val="both"/>
      </w:pPr>
      <w:r>
        <w:rPr>
          <w:color w:val="202020"/>
          <w:sz w:val="21"/>
          <w:szCs w:val="21"/>
        </w:rPr>
        <w:t xml:space="preserve">Au-delà de la supervision de l'infrastructure Proxmox du client (fonction métier du produit), la plateforme doit elle-même être supervisée en tant qu'application critique. La stack Prometheus / Grafana / Loki / AlertManager est retenue plutôt que développée en interne, conformément au principe de ne pas réinventer une fonction déjà couverte par un standard de l'industrie éprouvé et largement documenté.</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200"/>
      </w:tblGrid>
      <w:tr>
        <w:trPr>
          <w:tblHeader/>
        </w:trPr>
        <w:tc>
          <w:tcPr>
            <w:tcW w:type="dxa" w:w="1800"/>
            <w:shd w:fill="1F3864" w:val="clear"/>
            <w:tcMar>
              <w:top w:type="dxa" w:w="100"/>
              <w:left w:type="dxa" w:w="120"/>
              <w:bottom w:type="dxa" w:w="100"/>
              <w:right w:type="dxa" w:w="120"/>
            </w:tcMar>
            <w:vAlign w:val="center"/>
          </w:tcPr>
          <w:p>
            <w:pPr>
              <w:jc w:val="left"/>
            </w:pPr>
            <w:r>
              <w:rPr>
                <w:b/>
                <w:bCs/>
                <w:color w:val="FFFFFF"/>
                <w:sz w:val="19"/>
                <w:szCs w:val="19"/>
              </w:rPr>
              <w:t xml:space="preserve">Composant</w:t>
            </w:r>
          </w:p>
        </w:tc>
        <w:tc>
          <w:tcPr>
            <w:tcW w:type="dxa" w:w="3800"/>
            <w:shd w:fill="1F3864" w:val="clear"/>
            <w:tcMar>
              <w:top w:type="dxa" w:w="100"/>
              <w:left w:type="dxa" w:w="120"/>
              <w:bottom w:type="dxa" w:w="100"/>
              <w:right w:type="dxa" w:w="120"/>
            </w:tcMar>
            <w:vAlign w:val="center"/>
          </w:tcPr>
          <w:p>
            <w:pPr>
              <w:jc w:val="left"/>
            </w:pPr>
            <w:r>
              <w:rPr>
                <w:b/>
                <w:bCs/>
                <w:color w:val="FFFFFF"/>
                <w:sz w:val="19"/>
                <w:szCs w:val="19"/>
              </w:rPr>
              <w:t xml:space="preserve">Rôle</w:t>
            </w:r>
          </w:p>
        </w:tc>
        <w:tc>
          <w:tcPr>
            <w:tcW w:type="dxa" w:w="3200"/>
            <w:shd w:fill="1F3864" w:val="clear"/>
            <w:tcMar>
              <w:top w:type="dxa" w:w="100"/>
              <w:left w:type="dxa" w:w="120"/>
              <w:bottom w:type="dxa" w:w="100"/>
              <w:right w:type="dxa" w:w="120"/>
            </w:tcMar>
            <w:vAlign w:val="center"/>
          </w:tcPr>
          <w:p>
            <w:pPr>
              <w:jc w:val="left"/>
            </w:pPr>
            <w:r>
              <w:rPr>
                <w:b/>
                <w:bCs/>
                <w:color w:val="FFFFFF"/>
                <w:sz w:val="19"/>
                <w:szCs w:val="19"/>
              </w:rPr>
              <w:t xml:space="preserve">Justification du choix</w:t>
            </w:r>
          </w:p>
        </w:tc>
      </w:tr>
      <w:tr>
        <w:tc>
          <w:tcPr>
            <w:tcW w:type="dxa" w:w="18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Prometheus</w:t>
            </w:r>
          </w:p>
        </w:tc>
        <w:tc>
          <w:tcPr>
            <w:tcW w:type="dxa" w:w="38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Collecte et stockage des métriques techniques (latence API, taux d'erreur, durée des tâches Celery, connexions PostgreSQL actives)</w:t>
            </w:r>
          </w:p>
        </w:tc>
        <w:tc>
          <w:tcPr>
            <w:tcW w:type="dxa" w:w="32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Standard de facto, modèle pull adapté au déploiement Docker Compose, intégration native FastAPI via un exporteur</w:t>
            </w:r>
          </w:p>
        </w:tc>
      </w:tr>
      <w:tr>
        <w:tc>
          <w:tcPr>
            <w:tcW w:type="dxa" w:w="18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Grafana</w:t>
            </w:r>
          </w:p>
        </w:tc>
        <w:tc>
          <w:tcPr>
            <w:tcW w:type="dxa" w:w="38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Visualisation des métriques techniques et création de tableaux de bord d'exploitation</w:t>
            </w:r>
          </w:p>
        </w:tc>
        <w:tc>
          <w:tcPr>
            <w:tcW w:type="dxa" w:w="32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Découplé de Prometheus, permet également de visualiser les données métier PostgreSQL/TimescaleDB en complément</w:t>
            </w:r>
          </w:p>
        </w:tc>
      </w:tr>
      <w:tr>
        <w:tc>
          <w:tcPr>
            <w:tcW w:type="dxa" w:w="18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Loki</w:t>
            </w:r>
          </w:p>
        </w:tc>
        <w:tc>
          <w:tcPr>
            <w:tcW w:type="dxa" w:w="38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Agrégation et indexation des logs applicatifs</w:t>
            </w:r>
          </w:p>
        </w:tc>
        <w:tc>
          <w:tcPr>
            <w:tcW w:type="dxa" w:w="32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Cohérent avec l'écosystème Grafana, coût de stockage inférieur à une stack ELK pour un déploiement on-premise de taille modeste</w:t>
            </w:r>
          </w:p>
        </w:tc>
      </w:tr>
      <w:tr>
        <w:tc>
          <w:tcPr>
            <w:tcW w:type="dxa" w:w="18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AlertManager</w:t>
            </w:r>
          </w:p>
        </w:tc>
        <w:tc>
          <w:tcPr>
            <w:tcW w:type="dxa" w:w="38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Routage et déduplication des alertes techniques (distinct des alertes métier de supervision Proxmox)</w:t>
            </w:r>
          </w:p>
        </w:tc>
        <w:tc>
          <w:tcPr>
            <w:tcW w:type="dxa" w:w="32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Intégration native à Prometheus, gestion fine des silences et de l'escalade</w:t>
            </w:r>
          </w:p>
        </w:tc>
      </w:tr>
    </w:tbl>
    <w:p>
      <w:pPr>
        <w:spacing w:after="160" w:line="276"/>
        <w:jc w:val="both"/>
      </w:pPr>
      <w:r>
        <w:rPr>
          <w:color w:val="202020"/>
          <w:sz w:val="21"/>
          <w:szCs w:val="21"/>
        </w:rPr>
        <w:t xml:space="preserve">Cette stack technique de monitoring est clairement distincte, dans le vocabulaire du produit, du moteur d'alertes métier décrit en section 14 : la première supervise la santé de la plateforme elle-même (l'outil), la seconde supervise l'infrastructure Proxmox du client (la finalité de l'outil). Les deux peuvent néanmoins converger sur un même canal de notification opérationnel (email, Slack) pour l'équipe d'exploitation du client.</w:t>
      </w:r>
    </w:p>
    <w:p>
      <w:r>
        <w:br w:type="page"/>
      </w:r>
    </w:p>
    <w:p>
      <w:pPr>
        <w:pStyle w:val="Heading1"/>
        <w:pBdr>
          <w:bottom w:val="single" w:color="2E5395" w:sz="8" w:space="4"/>
        </w:pBdr>
        <w:spacing w:after="240" w:before="480"/>
      </w:pPr>
      <w:r>
        <w:rPr>
          <w:b/>
          <w:bCs/>
          <w:color w:val="1F3864"/>
          <w:sz w:val="32"/>
          <w:szCs w:val="32"/>
        </w:rPr>
        <w:t xml:space="preserve">18. API REST</w:t>
      </w:r>
    </w:p>
    <w:p>
      <w:pPr>
        <w:pStyle w:val="Heading2"/>
        <w:spacing w:after="180" w:before="360"/>
      </w:pPr>
      <w:r>
        <w:rPr>
          <w:b/>
          <w:bCs/>
          <w:color w:val="2E5395"/>
          <w:sz w:val="26"/>
          <w:szCs w:val="26"/>
        </w:rPr>
        <w:t xml:space="preserve">18.1 Vue d'ensemble des ressources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2800"/>
      </w:tblGrid>
      <w:tr>
        <w:trPr>
          <w:tblHeader/>
        </w:trPr>
        <w:tc>
          <w:tcPr>
            <w:tcW w:type="dxa" w:w="2000"/>
            <w:shd w:fill="1F3864" w:val="clear"/>
            <w:tcMar>
              <w:top w:type="dxa" w:w="100"/>
              <w:left w:type="dxa" w:w="120"/>
              <w:bottom w:type="dxa" w:w="100"/>
              <w:right w:type="dxa" w:w="120"/>
            </w:tcMar>
            <w:vAlign w:val="center"/>
          </w:tcPr>
          <w:p>
            <w:pPr>
              <w:jc w:val="left"/>
            </w:pPr>
            <w:r>
              <w:rPr>
                <w:b/>
                <w:bCs/>
                <w:color w:val="FFFFFF"/>
                <w:sz w:val="19"/>
                <w:szCs w:val="19"/>
              </w:rPr>
              <w:t xml:space="preserve">Ressource</w:t>
            </w:r>
          </w:p>
        </w:tc>
        <w:tc>
          <w:tcPr>
            <w:tcW w:type="dxa" w:w="4000"/>
            <w:shd w:fill="1F3864" w:val="clear"/>
            <w:tcMar>
              <w:top w:type="dxa" w:w="100"/>
              <w:left w:type="dxa" w:w="120"/>
              <w:bottom w:type="dxa" w:w="100"/>
              <w:right w:type="dxa" w:w="120"/>
            </w:tcMar>
            <w:vAlign w:val="center"/>
          </w:tcPr>
          <w:p>
            <w:pPr>
              <w:jc w:val="left"/>
            </w:pPr>
            <w:r>
              <w:rPr>
                <w:b/>
                <w:bCs/>
                <w:color w:val="FFFFFF"/>
                <w:sz w:val="19"/>
                <w:szCs w:val="19"/>
              </w:rPr>
              <w:t xml:space="preserve">Endpoints principaux</w:t>
            </w:r>
          </w:p>
        </w:tc>
        <w:tc>
          <w:tcPr>
            <w:tcW w:type="dxa" w:w="2800"/>
            <w:shd w:fill="1F3864" w:val="clear"/>
            <w:tcMar>
              <w:top w:type="dxa" w:w="100"/>
              <w:left w:type="dxa" w:w="120"/>
              <w:bottom w:type="dxa" w:w="100"/>
              <w:right w:type="dxa" w:w="120"/>
            </w:tcMar>
            <w:vAlign w:val="center"/>
          </w:tcPr>
          <w:p>
            <w:pPr>
              <w:jc w:val="left"/>
            </w:pPr>
            <w:r>
              <w:rPr>
                <w:b/>
                <w:bCs/>
                <w:color w:val="FFFFFF"/>
                <w:sz w:val="19"/>
                <w:szCs w:val="19"/>
              </w:rPr>
              <w:t xml:space="preserve">Description</w:t>
            </w:r>
          </w:p>
        </w:tc>
      </w:tr>
      <w:tr>
        <w:tc>
          <w:tcPr>
            <w:tcW w:type="dxa" w:w="20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Authentification</w:t>
            </w:r>
          </w:p>
        </w:tc>
        <w:tc>
          <w:tcPr>
            <w:tcW w:type="dxa" w:w="40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POST /auth/login · POST /auth/refresh · POST /auth/logout</w:t>
            </w:r>
          </w:p>
        </w:tc>
        <w:tc>
          <w:tcPr>
            <w:tcW w:type="dxa" w:w="28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Émission et gestion des jetons JWT</w:t>
            </w:r>
          </w:p>
        </w:tc>
      </w:tr>
      <w:tr>
        <w:tc>
          <w:tcPr>
            <w:tcW w:type="dxa" w:w="20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Entreprises</w:t>
            </w:r>
          </w:p>
        </w:tc>
        <w:tc>
          <w:tcPr>
            <w:tcW w:type="dxa" w:w="40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GET/POST /companies · GET/PATCH /companies/{id}</w:t>
            </w:r>
          </w:p>
        </w:tc>
        <w:tc>
          <w:tcPr>
            <w:tcW w:type="dxa" w:w="28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Gestion des tenants (réservé Super Admin)</w:t>
            </w:r>
          </w:p>
        </w:tc>
      </w:tr>
      <w:tr>
        <w:tc>
          <w:tcPr>
            <w:tcW w:type="dxa" w:w="20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Utilisateurs</w:t>
            </w:r>
          </w:p>
        </w:tc>
        <w:tc>
          <w:tcPr>
            <w:tcW w:type="dxa" w:w="40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GET/POST /users · PATCH/DELETE /users/{id}</w:t>
            </w:r>
          </w:p>
        </w:tc>
        <w:tc>
          <w:tcPr>
            <w:tcW w:type="dxa" w:w="28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Gestion des comptes et rôles au sein d'une entreprise</w:t>
            </w:r>
          </w:p>
        </w:tc>
      </w:tr>
      <w:tr>
        <w:tc>
          <w:tcPr>
            <w:tcW w:type="dxa" w:w="20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Serveurs Proxmox</w:t>
            </w:r>
          </w:p>
        </w:tc>
        <w:tc>
          <w:tcPr>
            <w:tcW w:type="dxa" w:w="40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GET/POST /servers · GET /servers/{id}/test-connection · DELETE /servers/{id}</w:t>
            </w:r>
          </w:p>
        </w:tc>
        <w:tc>
          <w:tcPr>
            <w:tcW w:type="dxa" w:w="28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Connexion et administration des serveurs supervisés</w:t>
            </w:r>
          </w:p>
        </w:tc>
      </w:tr>
      <w:tr>
        <w:tc>
          <w:tcPr>
            <w:tcW w:type="dxa" w:w="20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Nodes</w:t>
            </w:r>
          </w:p>
        </w:tc>
        <w:tc>
          <w:tcPr>
            <w:tcW w:type="dxa" w:w="40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GET /servers/{id}/nodes · GET /nodes/{id}</w:t>
            </w:r>
          </w:p>
        </w:tc>
        <w:tc>
          <w:tcPr>
            <w:tcW w:type="dxa" w:w="28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Consultation de la topologie des nodes</w:t>
            </w:r>
          </w:p>
        </w:tc>
      </w:tr>
      <w:tr>
        <w:tc>
          <w:tcPr>
            <w:tcW w:type="dxa" w:w="20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VM</w:t>
            </w:r>
          </w:p>
        </w:tc>
        <w:tc>
          <w:tcPr>
            <w:tcW w:type="dxa" w:w="40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GET /nodes/{id}/vms · GET /vms/{id}</w:t>
            </w:r>
          </w:p>
        </w:tc>
        <w:tc>
          <w:tcPr>
            <w:tcW w:type="dxa" w:w="28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Consultation des machines virtuelles supervisées</w:t>
            </w:r>
          </w:p>
        </w:tc>
      </w:tr>
      <w:tr>
        <w:tc>
          <w:tcPr>
            <w:tcW w:type="dxa" w:w="20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Métriques</w:t>
            </w:r>
          </w:p>
        </w:tc>
        <w:tc>
          <w:tcPr>
            <w:tcW w:type="dxa" w:w="40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GET /vms/{id}/metrics?from=&amp;to=&amp;granularity=</w:t>
            </w:r>
          </w:p>
        </w:tc>
        <w:tc>
          <w:tcPr>
            <w:tcW w:type="dxa" w:w="28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Séries temporelles historisées, avec sélection de granularité</w:t>
            </w:r>
          </w:p>
        </w:tc>
      </w:tr>
      <w:tr>
        <w:tc>
          <w:tcPr>
            <w:tcW w:type="dxa" w:w="20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Alertes</w:t>
            </w:r>
          </w:p>
        </w:tc>
        <w:tc>
          <w:tcPr>
            <w:tcW w:type="dxa" w:w="40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GET /alerts · POST /alerts/{id}/acknowledge · POST /alerts/{id}/resolve</w:t>
            </w:r>
          </w:p>
        </w:tc>
        <w:tc>
          <w:tcPr>
            <w:tcW w:type="dxa" w:w="28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Cycle de vie des alertes</w:t>
            </w:r>
          </w:p>
        </w:tc>
      </w:tr>
      <w:tr>
        <w:tc>
          <w:tcPr>
            <w:tcW w:type="dxa" w:w="20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Prédictions</w:t>
            </w:r>
          </w:p>
        </w:tc>
        <w:tc>
          <w:tcPr>
            <w:tcW w:type="dxa" w:w="40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GET /vms/{id}/predictions/risk-score · GET /vms/{id}/predictions/forecast</w:t>
            </w:r>
          </w:p>
        </w:tc>
        <w:tc>
          <w:tcPr>
            <w:tcW w:type="dxa" w:w="28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Résultats d'inférence du pipeline IA</w:t>
            </w:r>
          </w:p>
        </w:tc>
      </w:tr>
      <w:tr>
        <w:tc>
          <w:tcPr>
            <w:tcW w:type="dxa" w:w="20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Recommandations</w:t>
            </w:r>
          </w:p>
        </w:tc>
        <w:tc>
          <w:tcPr>
            <w:tcW w:type="dxa" w:w="40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GET /vms/{id}/recommendations · POST /recommendations/{id}/apply</w:t>
            </w:r>
          </w:p>
        </w:tc>
        <w:tc>
          <w:tcPr>
            <w:tcW w:type="dxa" w:w="28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Consultation et suivi des actions suggérées</w:t>
            </w:r>
          </w:p>
        </w:tc>
      </w:tr>
      <w:tr>
        <w:tc>
          <w:tcPr>
            <w:tcW w:type="dxa" w:w="20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Audit</w:t>
            </w:r>
          </w:p>
        </w:tc>
        <w:tc>
          <w:tcPr>
            <w:tcW w:type="dxa" w:w="40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GET /audit-logs?from=&amp;to=&amp;user_id=</w:t>
            </w:r>
          </w:p>
        </w:tc>
        <w:tc>
          <w:tcPr>
            <w:tcW w:type="dxa" w:w="28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Consultation du journal d'audit (Auditeur, Admin)</w:t>
            </w:r>
          </w:p>
        </w:tc>
      </w:tr>
    </w:tbl>
    <w:p>
      <w:pPr>
        <w:pStyle w:val="Heading2"/>
        <w:spacing w:after="180" w:before="360"/>
      </w:pPr>
      <w:r>
        <w:rPr>
          <w:b/>
          <w:bCs/>
          <w:color w:val="2E5395"/>
          <w:sz w:val="26"/>
          <w:szCs w:val="26"/>
        </w:rPr>
        <w:t xml:space="preserve">18.2 Exemples de contrats JSON</w:t>
      </w:r>
    </w:p>
    <w:tbl>
      <w:tblPr>
        <w:tblW w:type="pct" w:w="100%"/>
        <w:tblBorders>
          <w:top w:val="single" w:color="9DB4CE" w:sz="4"/>
          <w:left w:val="single" w:color="9DB4CE" w:sz="4"/>
          <w:bottom w:val="single" w:color="9DB4CE" w:sz="4"/>
          <w:right w:val="single" w:color="9DB4CE" w:sz="4"/>
          <w:insideH w:val="single" w:color="auto" w:sz="4"/>
          <w:insideV w:val="single" w:color="auto" w:sz="4"/>
        </w:tblBorders>
      </w:tblPr>
      <w:tblGrid>
        <w:gridCol w:w="100"/>
      </w:tblGrid>
      <w:tr>
        <w:tc>
          <w:tcPr>
            <w:shd w:fill="F7F9FC" w:val="clear"/>
            <w:tcMar>
              <w:top w:type="dxa" w:w="160"/>
              <w:left w:type="dxa" w:w="200"/>
              <w:bottom w:type="dxa" w:w="160"/>
              <w:right w:type="dxa" w:w="200"/>
            </w:tcMar>
          </w:tcPr>
          <w:p>
            <w:pPr>
              <w:spacing w:after="0"/>
            </w:pPr>
            <w:r>
              <w:rPr>
                <w:rFonts w:ascii="Consolas" w:cs="Consolas" w:eastAsia="Consolas" w:hAnsi="Consolas"/>
                <w:color w:val="1F3864"/>
                <w:sz w:val="13"/>
                <w:szCs w:val="13"/>
              </w:rPr>
              <w:t xml:space="preserve">POST /auth/login</w:t>
            </w:r>
          </w:p>
          <w:p>
            <w:pPr>
              <w:spacing w:after="0"/>
            </w:pPr>
            <w:r>
              <w:rPr>
                <w:rFonts w:ascii="Consolas" w:cs="Consolas" w:eastAsia="Consolas" w:hAnsi="Consolas"/>
                <w:color w:val="1F3864"/>
                <w:sz w:val="13"/>
                <w:szCs w:val="13"/>
              </w:rPr>
              <w:t xml:space="preserve">Requête :</w:t>
            </w:r>
          </w:p>
          <w:p>
            <w:pPr>
              <w:spacing w:after="0"/>
            </w:pPr>
            <w:r>
              <w:rPr>
                <w:rFonts w:ascii="Consolas" w:cs="Consolas" w:eastAsia="Consolas" w:hAnsi="Consolas"/>
                <w:color w:val="1F3864"/>
                <w:sz w:val="13"/>
                <w:szCs w:val="13"/>
              </w:rPr>
              <w:t xml:space="preserve">{ "email": "operateur@client.com", "password": "********" }</w:t>
            </w:r>
          </w:p>
          <w:p>
            <w:pPr>
              <w:spacing w:after="0"/>
            </w:pPr>
            <w:r>
              <w:rPr>
                <w:rFonts w:ascii="Consolas" w:cs="Consolas" w:eastAsia="Consolas" w:hAnsi="Consolas"/>
                <w:color w:val="1F3864"/>
                <w:sz w:val="13"/>
                <w:szCs w:val="13"/>
              </w:rPr>
              <w:t xml:space="preserve"> </w:t>
            </w:r>
          </w:p>
          <w:p>
            <w:pPr>
              <w:spacing w:after="0"/>
            </w:pPr>
            <w:r>
              <w:rPr>
                <w:rFonts w:ascii="Consolas" w:cs="Consolas" w:eastAsia="Consolas" w:hAnsi="Consolas"/>
                <w:color w:val="1F3864"/>
                <w:sz w:val="13"/>
                <w:szCs w:val="13"/>
              </w:rPr>
              <w:t xml:space="preserve">Réponse 200 :</w:t>
            </w:r>
          </w:p>
          <w:p>
            <w:pPr>
              <w:spacing w:after="0"/>
            </w:pPr>
            <w:r>
              <w:rPr>
                <w:rFonts w:ascii="Consolas" w:cs="Consolas" w:eastAsia="Consolas" w:hAnsi="Consolas"/>
                <w:color w:val="1F3864"/>
                <w:sz w:val="13"/>
                <w:szCs w:val="13"/>
              </w:rPr>
              <w:t xml:space="preserve">{</w:t>
            </w:r>
          </w:p>
          <w:p>
            <w:pPr>
              <w:spacing w:after="0"/>
            </w:pPr>
            <w:r>
              <w:rPr>
                <w:rFonts w:ascii="Consolas" w:cs="Consolas" w:eastAsia="Consolas" w:hAnsi="Consolas"/>
                <w:color w:val="1F3864"/>
                <w:sz w:val="13"/>
                <w:szCs w:val="13"/>
              </w:rPr>
              <w:t xml:space="preserve">  "access_token": "eyJhbGciOi...",</w:t>
            </w:r>
          </w:p>
          <w:p>
            <w:pPr>
              <w:spacing w:after="0"/>
            </w:pPr>
            <w:r>
              <w:rPr>
                <w:rFonts w:ascii="Consolas" w:cs="Consolas" w:eastAsia="Consolas" w:hAnsi="Consolas"/>
                <w:color w:val="1F3864"/>
                <w:sz w:val="13"/>
                <w:szCs w:val="13"/>
              </w:rPr>
              <w:t xml:space="preserve">  "refresh_token": "7f3a9c1e...",</w:t>
            </w:r>
          </w:p>
          <w:p>
            <w:pPr>
              <w:spacing w:after="0"/>
            </w:pPr>
            <w:r>
              <w:rPr>
                <w:rFonts w:ascii="Consolas" w:cs="Consolas" w:eastAsia="Consolas" w:hAnsi="Consolas"/>
                <w:color w:val="1F3864"/>
                <w:sz w:val="13"/>
                <w:szCs w:val="13"/>
              </w:rPr>
              <w:t xml:space="preserve">  "token_type": "bearer",</w:t>
            </w:r>
          </w:p>
          <w:p>
            <w:pPr>
              <w:spacing w:after="0"/>
            </w:pPr>
            <w:r>
              <w:rPr>
                <w:rFonts w:ascii="Consolas" w:cs="Consolas" w:eastAsia="Consolas" w:hAnsi="Consolas"/>
                <w:color w:val="1F3864"/>
                <w:sz w:val="13"/>
                <w:szCs w:val="13"/>
              </w:rPr>
              <w:t xml:space="preserve">  "expires_in": 900</w:t>
            </w:r>
          </w:p>
          <w:p>
            <w:pPr>
              <w:spacing w:after="0"/>
            </w:pPr>
            <w:r>
              <w:rPr>
                <w:rFonts w:ascii="Consolas" w:cs="Consolas" w:eastAsia="Consolas" w:hAnsi="Consolas"/>
                <w:color w:val="1F3864"/>
                <w:sz w:val="13"/>
                <w:szCs w:val="13"/>
              </w:rPr>
              <w:t xml:space="preserve">}</w:t>
            </w:r>
          </w:p>
        </w:tc>
      </w:tr>
    </w:tbl>
    <w:p>
      <w:pPr>
        <w:spacing w:after="240" w:before="80"/>
        <w:jc w:val="center"/>
      </w:pPr>
      <w:r>
        <w:rPr>
          <w:i/>
          <w:iCs/>
          <w:color w:val="595959"/>
          <w:sz w:val="18"/>
          <w:szCs w:val="18"/>
        </w:rPr>
        <w:t xml:space="preserve">Figure 24 — Contrat JSON de l'endpoint POST /auth/login</w:t>
      </w:r>
    </w:p>
    <w:tbl>
      <w:tblPr>
        <w:tblW w:type="pct" w:w="100%"/>
        <w:tblBorders>
          <w:top w:val="single" w:color="9DB4CE" w:sz="4"/>
          <w:left w:val="single" w:color="9DB4CE" w:sz="4"/>
          <w:bottom w:val="single" w:color="9DB4CE" w:sz="4"/>
          <w:right w:val="single" w:color="9DB4CE" w:sz="4"/>
          <w:insideH w:val="single" w:color="auto" w:sz="4"/>
          <w:insideV w:val="single" w:color="auto" w:sz="4"/>
        </w:tblBorders>
      </w:tblPr>
      <w:tblGrid>
        <w:gridCol w:w="100"/>
      </w:tblGrid>
      <w:tr>
        <w:tc>
          <w:tcPr>
            <w:shd w:fill="F7F9FC" w:val="clear"/>
            <w:tcMar>
              <w:top w:type="dxa" w:w="160"/>
              <w:left w:type="dxa" w:w="200"/>
              <w:bottom w:type="dxa" w:w="160"/>
              <w:right w:type="dxa" w:w="200"/>
            </w:tcMar>
          </w:tcPr>
          <w:p>
            <w:pPr>
              <w:spacing w:after="0"/>
            </w:pPr>
            <w:r>
              <w:rPr>
                <w:rFonts w:ascii="Consolas" w:cs="Consolas" w:eastAsia="Consolas" w:hAnsi="Consolas"/>
                <w:color w:val="1F3864"/>
                <w:sz w:val="13"/>
                <w:szCs w:val="13"/>
              </w:rPr>
              <w:t xml:space="preserve">GET /vms/{id}/predictions/risk-score</w:t>
            </w:r>
          </w:p>
          <w:p>
            <w:pPr>
              <w:spacing w:after="0"/>
            </w:pPr>
            <w:r>
              <w:rPr>
                <w:rFonts w:ascii="Consolas" w:cs="Consolas" w:eastAsia="Consolas" w:hAnsi="Consolas"/>
                <w:color w:val="1F3864"/>
                <w:sz w:val="13"/>
                <w:szCs w:val="13"/>
              </w:rPr>
              <w:t xml:space="preserve">Réponse 200 :</w:t>
            </w:r>
          </w:p>
          <w:p>
            <w:pPr>
              <w:spacing w:after="0"/>
            </w:pPr>
            <w:r>
              <w:rPr>
                <w:rFonts w:ascii="Consolas" w:cs="Consolas" w:eastAsia="Consolas" w:hAnsi="Consolas"/>
                <w:color w:val="1F3864"/>
                <w:sz w:val="13"/>
                <w:szCs w:val="13"/>
              </w:rPr>
              <w:t xml:space="preserve">{</w:t>
            </w:r>
          </w:p>
          <w:p>
            <w:pPr>
              <w:spacing w:after="0"/>
            </w:pPr>
            <w:r>
              <w:rPr>
                <w:rFonts w:ascii="Consolas" w:cs="Consolas" w:eastAsia="Consolas" w:hAnsi="Consolas"/>
                <w:color w:val="1F3864"/>
                <w:sz w:val="13"/>
                <w:szCs w:val="13"/>
              </w:rPr>
              <w:t xml:space="preserve">  "vm_id": "a1b2c3d4-...",</w:t>
            </w:r>
          </w:p>
          <w:p>
            <w:pPr>
              <w:spacing w:after="0"/>
            </w:pPr>
            <w:r>
              <w:rPr>
                <w:rFonts w:ascii="Consolas" w:cs="Consolas" w:eastAsia="Consolas" w:hAnsi="Consolas"/>
                <w:color w:val="1F3864"/>
                <w:sz w:val="13"/>
                <w:szCs w:val="13"/>
              </w:rPr>
              <w:t xml:space="preserve">  "risk_score": 78,</w:t>
            </w:r>
          </w:p>
          <w:p>
            <w:pPr>
              <w:spacing w:after="0"/>
            </w:pPr>
            <w:r>
              <w:rPr>
                <w:rFonts w:ascii="Consolas" w:cs="Consolas" w:eastAsia="Consolas" w:hAnsi="Consolas"/>
                <w:color w:val="1F3864"/>
                <w:sz w:val="13"/>
                <w:szCs w:val="13"/>
              </w:rPr>
              <w:t xml:space="preserve">  "anomaly_score": 0.42,</w:t>
            </w:r>
          </w:p>
          <w:p>
            <w:pPr>
              <w:spacing w:after="0"/>
            </w:pPr>
            <w:r>
              <w:rPr>
                <w:rFonts w:ascii="Consolas" w:cs="Consolas" w:eastAsia="Consolas" w:hAnsi="Consolas"/>
                <w:color w:val="1F3864"/>
                <w:sz w:val="13"/>
                <w:szCs w:val="13"/>
              </w:rPr>
              <w:t xml:space="preserve">  "days_remaining": 6,</w:t>
            </w:r>
          </w:p>
          <w:p>
            <w:pPr>
              <w:spacing w:after="0"/>
            </w:pPr>
            <w:r>
              <w:rPr>
                <w:rFonts w:ascii="Consolas" w:cs="Consolas" w:eastAsia="Consolas" w:hAnsi="Consolas"/>
                <w:color w:val="1F3864"/>
                <w:sz w:val="13"/>
                <w:szCs w:val="13"/>
              </w:rPr>
              <w:t xml:space="preserve">  "alert_level": "critical",</w:t>
            </w:r>
          </w:p>
          <w:p>
            <w:pPr>
              <w:spacing w:after="0"/>
            </w:pPr>
            <w:r>
              <w:rPr>
                <w:rFonts w:ascii="Consolas" w:cs="Consolas" w:eastAsia="Consolas" w:hAnsi="Consolas"/>
                <w:color w:val="1F3864"/>
                <w:sz w:val="13"/>
                <w:szCs w:val="13"/>
              </w:rPr>
              <w:t xml:space="preserve">  "computed_at": "2026-07-13T10:00:00Z",</w:t>
            </w:r>
          </w:p>
          <w:p>
            <w:pPr>
              <w:spacing w:after="0"/>
            </w:pPr>
            <w:r>
              <w:rPr>
                <w:rFonts w:ascii="Consolas" w:cs="Consolas" w:eastAsia="Consolas" w:hAnsi="Consolas"/>
                <w:color w:val="1F3864"/>
                <w:sz w:val="13"/>
                <w:szCs w:val="13"/>
              </w:rPr>
              <w:t xml:space="preserve">  "top_factors": [</w:t>
            </w:r>
          </w:p>
          <w:p>
            <w:pPr>
              <w:spacing w:after="0"/>
            </w:pPr>
            <w:r>
              <w:rPr>
                <w:rFonts w:ascii="Consolas" w:cs="Consolas" w:eastAsia="Consolas" w:hAnsi="Consolas"/>
                <w:color w:val="1F3864"/>
                <w:sz w:val="13"/>
                <w:szCs w:val="13"/>
              </w:rPr>
              <w:t xml:space="preserve">    { "feature": "disk_growth_rate", "impact": 0.51 },</w:t>
            </w:r>
          </w:p>
          <w:p>
            <w:pPr>
              <w:spacing w:after="0"/>
            </w:pPr>
            <w:r>
              <w:rPr>
                <w:rFonts w:ascii="Consolas" w:cs="Consolas" w:eastAsia="Consolas" w:hAnsi="Consolas"/>
                <w:color w:val="1F3864"/>
                <w:sz w:val="13"/>
                <w:szCs w:val="13"/>
              </w:rPr>
              <w:t xml:space="preserve">    { "feature": "disk_used_gb", "impact": 0.33 }</w:t>
            </w:r>
          </w:p>
          <w:p>
            <w:pPr>
              <w:spacing w:after="0"/>
            </w:pPr>
            <w:r>
              <w:rPr>
                <w:rFonts w:ascii="Consolas" w:cs="Consolas" w:eastAsia="Consolas" w:hAnsi="Consolas"/>
                <w:color w:val="1F3864"/>
                <w:sz w:val="13"/>
                <w:szCs w:val="13"/>
              </w:rPr>
              <w:t xml:space="preserve">  ]</w:t>
            </w:r>
          </w:p>
          <w:p>
            <w:pPr>
              <w:spacing w:after="0"/>
            </w:pPr>
            <w:r>
              <w:rPr>
                <w:rFonts w:ascii="Consolas" w:cs="Consolas" w:eastAsia="Consolas" w:hAnsi="Consolas"/>
                <w:color w:val="1F3864"/>
                <w:sz w:val="13"/>
                <w:szCs w:val="13"/>
              </w:rPr>
              <w:t xml:space="preserve">}</w:t>
            </w:r>
          </w:p>
        </w:tc>
      </w:tr>
    </w:tbl>
    <w:p>
      <w:pPr>
        <w:spacing w:after="240" w:before="80"/>
        <w:jc w:val="center"/>
      </w:pPr>
      <w:r>
        <w:rPr>
          <w:i/>
          <w:iCs/>
          <w:color w:val="595959"/>
          <w:sz w:val="18"/>
          <w:szCs w:val="18"/>
        </w:rPr>
        <w:t xml:space="preserve">Figure 25 — Contrat JSON de l'endpoint de prédiction de risque, incluant les facteurs explicatifs SHAP</w:t>
      </w:r>
    </w:p>
    <w:p>
      <w:r>
        <w:br w:type="page"/>
      </w:r>
    </w:p>
    <w:p>
      <w:pPr>
        <w:pStyle w:val="Heading1"/>
        <w:pBdr>
          <w:bottom w:val="single" w:color="2E5395" w:sz="8" w:space="4"/>
        </w:pBdr>
        <w:spacing w:after="240" w:before="480"/>
      </w:pPr>
      <w:r>
        <w:rPr>
          <w:b/>
          <w:bCs/>
          <w:color w:val="1F3864"/>
          <w:sz w:val="32"/>
          <w:szCs w:val="32"/>
        </w:rPr>
        <w:t xml:space="preserve">19. Architecture Frontend (React / Next.js)</w:t>
      </w:r>
    </w:p>
    <w:p>
      <w:pPr>
        <w:spacing w:after="160" w:line="276"/>
        <w:jc w:val="both"/>
      </w:pPr>
      <w:r>
        <w:rPr>
          <w:color w:val="202020"/>
          <w:sz w:val="21"/>
          <w:szCs w:val="21"/>
        </w:rPr>
        <w:t xml:space="preserve">Le frontend est structuré selon une organisation par fonctionnalité (feature-based) plutôt que par type technique, afin que chaque module produit (Tableau de bord, Alertes, Serveurs, Recommandations, Audit) reste autonome et compréhensible par un développeur qui le découvre.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5400"/>
      </w:tblGrid>
      <w:tr>
        <w:trPr>
          <w:tblHeader/>
        </w:trPr>
        <w:tc>
          <w:tcPr>
            <w:tcW w:type="dxa" w:w="3200"/>
            <w:shd w:fill="1F3864" w:val="clear"/>
            <w:tcMar>
              <w:top w:type="dxa" w:w="100"/>
              <w:left w:type="dxa" w:w="120"/>
              <w:bottom w:type="dxa" w:w="100"/>
              <w:right w:type="dxa" w:w="120"/>
            </w:tcMar>
            <w:vAlign w:val="center"/>
          </w:tcPr>
          <w:p>
            <w:pPr>
              <w:jc w:val="left"/>
            </w:pPr>
            <w:r>
              <w:rPr>
                <w:b/>
                <w:bCs/>
                <w:color w:val="FFFFFF"/>
                <w:sz w:val="19"/>
                <w:szCs w:val="19"/>
              </w:rPr>
              <w:t xml:space="preserve">Dossier</w:t>
            </w:r>
          </w:p>
        </w:tc>
        <w:tc>
          <w:tcPr>
            <w:tcW w:type="dxa" w:w="5400"/>
            <w:shd w:fill="1F3864" w:val="clear"/>
            <w:tcMar>
              <w:top w:type="dxa" w:w="100"/>
              <w:left w:type="dxa" w:w="120"/>
              <w:bottom w:type="dxa" w:w="100"/>
              <w:right w:type="dxa" w:w="120"/>
            </w:tcMar>
            <w:vAlign w:val="center"/>
          </w:tcPr>
          <w:p>
            <w:pPr>
              <w:jc w:val="left"/>
            </w:pPr>
            <w:r>
              <w:rPr>
                <w:b/>
                <w:bCs/>
                <w:color w:val="FFFFFF"/>
                <w:sz w:val="19"/>
                <w:szCs w:val="19"/>
              </w:rPr>
              <w:t xml:space="preserve">Contenu</w:t>
            </w:r>
          </w:p>
        </w:tc>
      </w:tr>
      <w:tr>
        <w:tc>
          <w:tcPr>
            <w:tcW w:type="dxa" w:w="32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app/ (App Router Next.js)</w:t>
            </w:r>
          </w:p>
        </w:tc>
        <w:tc>
          <w:tcPr>
            <w:tcW w:type="dxa" w:w="54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Pages et layouts, routage par segments, rendu serveur (SSR) pour le premier chargement</w:t>
            </w:r>
          </w:p>
        </w:tc>
      </w:tr>
      <w:tr>
        <w:tc>
          <w:tcPr>
            <w:tcW w:type="dxa" w:w="32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features/{domaine}/components</w:t>
            </w:r>
          </w:p>
        </w:tc>
        <w:tc>
          <w:tcPr>
            <w:tcW w:type="dxa" w:w="54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Composants React spécifiques à un domaine métier (ex. features/alerts/AlertList.tsx)</w:t>
            </w:r>
          </w:p>
        </w:tc>
      </w:tr>
      <w:tr>
        <w:tc>
          <w:tcPr>
            <w:tcW w:type="dxa" w:w="32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features/{domaine}/hooks</w:t>
            </w:r>
          </w:p>
        </w:tc>
        <w:tc>
          <w:tcPr>
            <w:tcW w:type="dxa" w:w="54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Hooks personnalisés encapsulant la logique d'accès aux données (ex. useAlerts, useVmMetrics)</w:t>
            </w:r>
          </w:p>
        </w:tc>
      </w:tr>
      <w:tr>
        <w:tc>
          <w:tcPr>
            <w:tcW w:type="dxa" w:w="32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shared/components</w:t>
            </w:r>
          </w:p>
        </w:tc>
        <w:tc>
          <w:tcPr>
            <w:tcW w:type="dxa" w:w="54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Composants génériques réutilisables (boutons, tableaux, graphiques Recharts)</w:t>
            </w:r>
          </w:p>
        </w:tc>
      </w:tr>
      <w:tr>
        <w:tc>
          <w:tcPr>
            <w:tcW w:type="dxa" w:w="32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shared/context</w:t>
            </w:r>
          </w:p>
        </w:tc>
        <w:tc>
          <w:tcPr>
            <w:tcW w:type="dxa" w:w="54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Contextes React globaux : AuthContext (utilisateur courant, JWT), TenantContext</w:t>
            </w:r>
          </w:p>
        </w:tc>
      </w:tr>
      <w:tr>
        <w:tc>
          <w:tcPr>
            <w:tcW w:type="dxa" w:w="32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services/</w:t>
            </w:r>
          </w:p>
        </w:tc>
        <w:tc>
          <w:tcPr>
            <w:tcW w:type="dxa" w:w="54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Client HTTP centralisé (axios/fetch), intercepteurs de rafraîchissement automatique du token</w:t>
            </w:r>
          </w:p>
        </w:tc>
      </w:tr>
      <w:tr>
        <w:tc>
          <w:tcPr>
            <w:tcW w:type="dxa" w:w="32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store/ (gestion d'état)</w:t>
            </w:r>
          </w:p>
        </w:tc>
        <w:tc>
          <w:tcPr>
            <w:tcW w:type="dxa" w:w="54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État global léger (Zustand ou Context API) pour les données transverses ; TanStack Query pour l'état serveur (cache, revalidation)</w:t>
            </w:r>
          </w:p>
        </w:tc>
      </w:tr>
    </w:tbl>
    <w:p>
      <w:pPr>
        <w:spacing w:after="160" w:line="276"/>
        <w:jc w:val="both"/>
      </w:pPr>
      <w:r>
        <w:rPr>
          <w:color w:val="202020"/>
          <w:sz w:val="21"/>
          <w:szCs w:val="21"/>
        </w:rPr>
        <w:t xml:space="preserve">La gestion de l'état distingue explicitement l'état serveur (données issues de l'API, mises en cache et revalidées automatiquement par TanStack Query, avec invalidation ciblée après mutation) de l'état client pur (préférences d'affichage, filtres de tableau de bord), géré localement par composant ou via un store léger, évitant la complexité d'un store global monolithique de type Redux non justifiée pour ce périmètre applicatif.</w:t>
      </w:r>
    </w:p>
    <w:p>
      <w:r>
        <w:br w:type="page"/>
      </w:r>
    </w:p>
    <w:p>
      <w:pPr>
        <w:pStyle w:val="Heading1"/>
        <w:pBdr>
          <w:bottom w:val="single" w:color="2E5395" w:sz="8" w:space="4"/>
        </w:pBdr>
        <w:spacing w:after="240" w:before="480"/>
      </w:pPr>
      <w:r>
        <w:rPr>
          <w:b/>
          <w:bCs/>
          <w:color w:val="1F3864"/>
          <w:sz w:val="32"/>
          <w:szCs w:val="32"/>
        </w:rPr>
        <w:t xml:space="preserve">20. Architecture Backend (FastAPI)</w:t>
      </w:r>
    </w:p>
    <w:p>
      <w:pPr>
        <w:spacing w:after="160" w:line="276"/>
        <w:jc w:val="both"/>
      </w:pPr>
      <w:r>
        <w:rPr>
          <w:color w:val="202020"/>
          <w:sz w:val="21"/>
          <w:szCs w:val="21"/>
        </w:rPr>
        <w:t xml:space="preserve">Le backend applique l'injection de dépendances native de FastAPI (système Depends) pour fournir aux controllers des instances de services déjà connectées à leurs repositories, sans couplage direct au framework ORM dans la couche métier — cohérent avec la Clean Architecture décrite en section 3.2.</w:t>
      </w:r>
    </w:p>
    <w:tbl>
      <w:tblPr>
        <w:tblW w:type="pct" w:w="100%"/>
        <w:tblBorders>
          <w:top w:val="single" w:color="9DB4CE" w:sz="4"/>
          <w:left w:val="single" w:color="9DB4CE" w:sz="4"/>
          <w:bottom w:val="single" w:color="9DB4CE" w:sz="4"/>
          <w:right w:val="single" w:color="9DB4CE" w:sz="4"/>
          <w:insideH w:val="single" w:color="auto" w:sz="4"/>
          <w:insideV w:val="single" w:color="auto" w:sz="4"/>
        </w:tblBorders>
      </w:tblPr>
      <w:tblGrid>
        <w:gridCol w:w="100"/>
      </w:tblGrid>
      <w:tr>
        <w:tc>
          <w:tcPr>
            <w:shd w:fill="F7F9FC" w:val="clear"/>
            <w:tcMar>
              <w:top w:type="dxa" w:w="160"/>
              <w:left w:type="dxa" w:w="200"/>
              <w:bottom w:type="dxa" w:w="160"/>
              <w:right w:type="dxa" w:w="200"/>
            </w:tcMar>
          </w:tcPr>
          <w:p>
            <w:pPr>
              <w:spacing w:after="0"/>
            </w:pPr>
            <w:r>
              <w:rPr>
                <w:rFonts w:ascii="Consolas" w:cs="Consolas" w:eastAsia="Consolas" w:hAnsi="Consolas"/>
                <w:color w:val="1F3864"/>
                <w:sz w:val="13"/>
                <w:szCs w:val="13"/>
              </w:rPr>
              <w:t xml:space="preserve">@router.post("/alerts/{alert_id}/acknowledge")</w:t>
            </w:r>
          </w:p>
          <w:p>
            <w:pPr>
              <w:spacing w:after="0"/>
            </w:pPr>
            <w:r>
              <w:rPr>
                <w:rFonts w:ascii="Consolas" w:cs="Consolas" w:eastAsia="Consolas" w:hAnsi="Consolas"/>
                <w:color w:val="1F3864"/>
                <w:sz w:val="13"/>
                <w:szCs w:val="13"/>
              </w:rPr>
              <w:t xml:space="preserve">async def acknowledge_alert(</w:t>
            </w:r>
          </w:p>
          <w:p>
            <w:pPr>
              <w:spacing w:after="0"/>
            </w:pPr>
            <w:r>
              <w:rPr>
                <w:rFonts w:ascii="Consolas" w:cs="Consolas" w:eastAsia="Consolas" w:hAnsi="Consolas"/>
                <w:color w:val="1F3864"/>
                <w:sz w:val="13"/>
                <w:szCs w:val="13"/>
              </w:rPr>
              <w:t xml:space="preserve">    alert_id: UUID,</w:t>
            </w:r>
          </w:p>
          <w:p>
            <w:pPr>
              <w:spacing w:after="0"/>
            </w:pPr>
            <w:r>
              <w:rPr>
                <w:rFonts w:ascii="Consolas" w:cs="Consolas" w:eastAsia="Consolas" w:hAnsi="Consolas"/>
                <w:color w:val="1F3864"/>
                <w:sz w:val="13"/>
                <w:szCs w:val="13"/>
              </w:rPr>
              <w:t xml:space="preserve">    current_user: User = Depends(get_current_user),</w:t>
            </w:r>
          </w:p>
          <w:p>
            <w:pPr>
              <w:spacing w:after="0"/>
            </w:pPr>
            <w:r>
              <w:rPr>
                <w:rFonts w:ascii="Consolas" w:cs="Consolas" w:eastAsia="Consolas" w:hAnsi="Consolas"/>
                <w:color w:val="1F3864"/>
                <w:sz w:val="13"/>
                <w:szCs w:val="13"/>
              </w:rPr>
              <w:t xml:space="preserve">    alert_service: AlertService = Depends(get_alert_service),</w:t>
            </w:r>
          </w:p>
          <w:p>
            <w:pPr>
              <w:spacing w:after="0"/>
            </w:pPr>
            <w:r>
              <w:rPr>
                <w:rFonts w:ascii="Consolas" w:cs="Consolas" w:eastAsia="Consolas" w:hAnsi="Consolas"/>
                <w:color w:val="1F3864"/>
                <w:sz w:val="13"/>
                <w:szCs w:val="13"/>
              </w:rPr>
              <w:t xml:space="preserve">):</w:t>
            </w:r>
          </w:p>
          <w:p>
            <w:pPr>
              <w:spacing w:after="0"/>
            </w:pPr>
            <w:r>
              <w:rPr>
                <w:rFonts w:ascii="Consolas" w:cs="Consolas" w:eastAsia="Consolas" w:hAnsi="Consolas"/>
                <w:color w:val="1F3864"/>
                <w:sz w:val="13"/>
                <w:szCs w:val="13"/>
              </w:rPr>
              <w:t xml:space="preserve">    return await alert_service.acknowledge(alert_id, current_user.id)</w:t>
            </w:r>
          </w:p>
        </w:tc>
      </w:tr>
    </w:tbl>
    <w:p>
      <w:pPr>
        <w:spacing w:after="240" w:before="80"/>
        <w:jc w:val="center"/>
      </w:pPr>
      <w:r>
        <w:rPr>
          <w:i/>
          <w:iCs/>
          <w:color w:val="595959"/>
          <w:sz w:val="18"/>
          <w:szCs w:val="18"/>
        </w:rPr>
        <w:t xml:space="preserve">Figure 26 — Exemple de controller FastAPI avec injection de dépendances (authentification et service métier)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rPr>
          <w:tblHeader/>
        </w:trPr>
        <w:tc>
          <w:tcPr>
            <w:tcW w:type="dxa" w:w="2600"/>
            <w:shd w:fill="1F3864" w:val="clear"/>
            <w:tcMar>
              <w:top w:type="dxa" w:w="100"/>
              <w:left w:type="dxa" w:w="120"/>
              <w:bottom w:type="dxa" w:w="100"/>
              <w:right w:type="dxa" w:w="120"/>
            </w:tcMar>
            <w:vAlign w:val="center"/>
          </w:tcPr>
          <w:p>
            <w:pPr>
              <w:jc w:val="left"/>
            </w:pPr>
            <w:r>
              <w:rPr>
                <w:b/>
                <w:bCs/>
                <w:color w:val="FFFFFF"/>
                <w:sz w:val="19"/>
                <w:szCs w:val="19"/>
              </w:rPr>
              <w:t xml:space="preserve">Composant</w:t>
            </w:r>
          </w:p>
        </w:tc>
        <w:tc>
          <w:tcPr>
            <w:tcW w:type="dxa" w:w="6600"/>
            <w:shd w:fill="1F3864" w:val="clear"/>
            <w:tcMar>
              <w:top w:type="dxa" w:w="100"/>
              <w:left w:type="dxa" w:w="120"/>
              <w:bottom w:type="dxa" w:w="100"/>
              <w:right w:type="dxa" w:w="120"/>
            </w:tcMar>
            <w:vAlign w:val="center"/>
          </w:tcPr>
          <w:p>
            <w:pPr>
              <w:jc w:val="left"/>
            </w:pPr>
            <w:r>
              <w:rPr>
                <w:b/>
                <w:bCs/>
                <w:color w:val="FFFFFF"/>
                <w:sz w:val="19"/>
                <w:szCs w:val="19"/>
              </w:rPr>
              <w:t xml:space="preserve">Rôle</w:t>
            </w:r>
          </w:p>
        </w:tc>
      </w:tr>
      <w:tr>
        <w:tc>
          <w:tcPr>
            <w:tcW w:type="dxa" w:w="26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Middlewares</w:t>
            </w:r>
          </w:p>
        </w:tc>
        <w:tc>
          <w:tcPr>
            <w:tcW w:type="dxa" w:w="66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Journalisation structurée des requêtes, gestion centralisée des exceptions, CORS, limitation de débit</w:t>
            </w:r>
          </w:p>
        </w:tc>
      </w:tr>
      <w:tr>
        <w:tc>
          <w:tcPr>
            <w:tcW w:type="dxa" w:w="26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Schemas (Pydantic)</w:t>
            </w:r>
          </w:p>
        </w:tc>
        <w:tc>
          <w:tcPr>
            <w:tcW w:type="dxa" w:w="66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Validation stricte des entrées/sorties HTTP, distincts des entités du domaine (mapping explicite en couche application)</w:t>
            </w:r>
          </w:p>
        </w:tc>
      </w:tr>
      <w:tr>
        <w:tc>
          <w:tcPr>
            <w:tcW w:type="dxa" w:w="26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DTO</w:t>
            </w:r>
          </w:p>
        </w:tc>
        <w:tc>
          <w:tcPr>
            <w:tcW w:type="dxa" w:w="66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Objets de transfert entre couches application et infrastructure, évitant l'exposition directe des modèles ORM</w:t>
            </w:r>
          </w:p>
        </w:tc>
      </w:tr>
      <w:tr>
        <w:tc>
          <w:tcPr>
            <w:tcW w:type="dxa" w:w="26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Dependency Injection</w:t>
            </w:r>
          </w:p>
        </w:tc>
        <w:tc>
          <w:tcPr>
            <w:tcW w:type="dxa" w:w="66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Fourniture des sessions de base de données, des services et de l'utilisateur authentifié à chaque requête</w:t>
            </w:r>
          </w:p>
        </w:tc>
      </w:tr>
    </w:tbl>
    <w:p>
      <w:r>
        <w:br w:type="page"/>
      </w:r>
    </w:p>
    <w:p>
      <w:pPr>
        <w:pStyle w:val="Heading1"/>
        <w:pBdr>
          <w:bottom w:val="single" w:color="2E5395" w:sz="8" w:space="4"/>
        </w:pBdr>
        <w:spacing w:after="240" w:before="480"/>
      </w:pPr>
      <w:r>
        <w:rPr>
          <w:b/>
          <w:bCs/>
          <w:color w:val="1F3864"/>
          <w:sz w:val="32"/>
          <w:szCs w:val="32"/>
        </w:rPr>
        <w:t xml:space="preserve">21. Déploiement</w:t>
      </w:r>
    </w:p>
    <w:p>
      <w:pPr>
        <w:pStyle w:val="Heading2"/>
        <w:spacing w:after="180" w:before="360"/>
      </w:pPr>
      <w:r>
        <w:rPr>
          <w:b/>
          <w:bCs/>
          <w:color w:val="2E5395"/>
          <w:sz w:val="26"/>
          <w:szCs w:val="26"/>
        </w:rPr>
        <w:t xml:space="preserve">21.1 Docker et Docker Compose</w:t>
      </w:r>
    </w:p>
    <w:p>
      <w:pPr>
        <w:spacing w:after="160" w:line="276"/>
        <w:jc w:val="both"/>
      </w:pPr>
      <w:r>
        <w:rPr>
          <w:color w:val="202020"/>
          <w:sz w:val="21"/>
          <w:szCs w:val="21"/>
        </w:rPr>
        <w:t xml:space="preserve">Chaque composant applicatif (backend, frontend, workers Celery, Celery Beat) dispose de son propre Dockerfile multi-stage, minimisant la taille de l'image finale en séparant l'étape de build de l'étape d'exécution. L'orchestration locale et on-premise s'effectue via Docker Compose, décrivant les services, volumes persistants (pgdata pour PostgreSQL, redisdata pour Redis) et réseaux Docker internes isolant les composants non exposés (base de données, Redis) du réseau externe.</w:t>
      </w:r>
    </w:p>
    <w:tbl>
      <w:tblPr>
        <w:tblW w:type="pct" w:w="100%"/>
        <w:tblBorders>
          <w:top w:val="single" w:color="9DB4CE" w:sz="4"/>
          <w:left w:val="single" w:color="9DB4CE" w:sz="4"/>
          <w:bottom w:val="single" w:color="9DB4CE" w:sz="4"/>
          <w:right w:val="single" w:color="9DB4CE" w:sz="4"/>
          <w:insideH w:val="single" w:color="auto" w:sz="4"/>
          <w:insideV w:val="single" w:color="auto" w:sz="4"/>
        </w:tblBorders>
      </w:tblPr>
      <w:tblGrid>
        <w:gridCol w:w="100"/>
      </w:tblGrid>
      <w:tr>
        <w:tc>
          <w:tcPr>
            <w:shd w:fill="F7F9FC" w:val="clear"/>
            <w:tcMar>
              <w:top w:type="dxa" w:w="160"/>
              <w:left w:type="dxa" w:w="200"/>
              <w:bottom w:type="dxa" w:w="160"/>
              <w:right w:type="dxa" w:w="200"/>
            </w:tcMar>
          </w:tcPr>
          <w:p>
            <w:pPr>
              <w:spacing w:after="0"/>
            </w:pPr>
            <w:r>
              <w:rPr>
                <w:rFonts w:ascii="Consolas" w:cs="Consolas" w:eastAsia="Consolas" w:hAnsi="Consolas"/>
                <w:color w:val="1F3864"/>
                <w:sz w:val="13"/>
                <w:szCs w:val="13"/>
              </w:rPr>
              <w:t xml:space="preserve">services:</w:t>
            </w:r>
          </w:p>
          <w:p>
            <w:pPr>
              <w:spacing w:after="0"/>
            </w:pPr>
            <w:r>
              <w:rPr>
                <w:rFonts w:ascii="Consolas" w:cs="Consolas" w:eastAsia="Consolas" w:hAnsi="Consolas"/>
                <w:color w:val="1F3864"/>
                <w:sz w:val="13"/>
                <w:szCs w:val="13"/>
              </w:rPr>
              <w:t xml:space="preserve">  nginx:        image: nginx, ports: ['443:443'], depends_on: [backend, frontend]</w:t>
            </w:r>
          </w:p>
          <w:p>
            <w:pPr>
              <w:spacing w:after="0"/>
            </w:pPr>
            <w:r>
              <w:rPr>
                <w:rFonts w:ascii="Consolas" w:cs="Consolas" w:eastAsia="Consolas" w:hAnsi="Consolas"/>
                <w:color w:val="1F3864"/>
                <w:sz w:val="13"/>
                <w:szCs w:val="13"/>
              </w:rPr>
              <w:t xml:space="preserve">  frontend:     build: ./frontend, expose: ['3000']</w:t>
            </w:r>
          </w:p>
          <w:p>
            <w:pPr>
              <w:spacing w:after="0"/>
            </w:pPr>
            <w:r>
              <w:rPr>
                <w:rFonts w:ascii="Consolas" w:cs="Consolas" w:eastAsia="Consolas" w:hAnsi="Consolas"/>
                <w:color w:val="1F3864"/>
                <w:sz w:val="13"/>
                <w:szCs w:val="13"/>
              </w:rPr>
              <w:t xml:space="preserve">  backend:      build: ./backend, expose: ['8000'], depends_on: [postgres, redis]</w:t>
            </w:r>
          </w:p>
          <w:p>
            <w:pPr>
              <w:spacing w:after="0"/>
            </w:pPr>
            <w:r>
              <w:rPr>
                <w:rFonts w:ascii="Consolas" w:cs="Consolas" w:eastAsia="Consolas" w:hAnsi="Consolas"/>
                <w:color w:val="1F3864"/>
                <w:sz w:val="13"/>
                <w:szCs w:val="13"/>
              </w:rPr>
              <w:t xml:space="preserve">  celery-worker: build: ./backend, command: celery -A app worker</w:t>
            </w:r>
          </w:p>
          <w:p>
            <w:pPr>
              <w:spacing w:after="0"/>
            </w:pPr>
            <w:r>
              <w:rPr>
                <w:rFonts w:ascii="Consolas" w:cs="Consolas" w:eastAsia="Consolas" w:hAnsi="Consolas"/>
                <w:color w:val="1F3864"/>
                <w:sz w:val="13"/>
                <w:szCs w:val="13"/>
              </w:rPr>
              <w:t xml:space="preserve">  celery-beat:   build: ./backend, command: celery -A app beat</w:t>
            </w:r>
          </w:p>
          <w:p>
            <w:pPr>
              <w:spacing w:after="0"/>
            </w:pPr>
            <w:r>
              <w:rPr>
                <w:rFonts w:ascii="Consolas" w:cs="Consolas" w:eastAsia="Consolas" w:hAnsi="Consolas"/>
                <w:color w:val="1F3864"/>
                <w:sz w:val="13"/>
                <w:szCs w:val="13"/>
              </w:rPr>
              <w:t xml:space="preserve">  postgres:     image: timescale/timescaledb:latest-pg16, volumes: ['pgdata:/var/lib/postgresql/data']</w:t>
            </w:r>
          </w:p>
          <w:p>
            <w:pPr>
              <w:spacing w:after="0"/>
            </w:pPr>
            <w:r>
              <w:rPr>
                <w:rFonts w:ascii="Consolas" w:cs="Consolas" w:eastAsia="Consolas" w:hAnsi="Consolas"/>
                <w:color w:val="1F3864"/>
                <w:sz w:val="13"/>
                <w:szCs w:val="13"/>
              </w:rPr>
              <w:t xml:space="preserve">  redis:        image: redis:7-alpine, volumes: ['redisdata:/data']</w:t>
            </w:r>
          </w:p>
          <w:p>
            <w:pPr>
              <w:spacing w:after="0"/>
            </w:pPr>
            <w:r>
              <w:rPr>
                <w:rFonts w:ascii="Consolas" w:cs="Consolas" w:eastAsia="Consolas" w:hAnsi="Consolas"/>
                <w:color w:val="1F3864"/>
                <w:sz w:val="13"/>
                <w:szCs w:val="13"/>
              </w:rPr>
              <w:t xml:space="preserve"> </w:t>
            </w:r>
          </w:p>
          <w:p>
            <w:pPr>
              <w:spacing w:after="0"/>
            </w:pPr>
            <w:r>
              <w:rPr>
                <w:rFonts w:ascii="Consolas" w:cs="Consolas" w:eastAsia="Consolas" w:hAnsi="Consolas"/>
                <w:color w:val="1F3864"/>
                <w:sz w:val="13"/>
                <w:szCs w:val="13"/>
              </w:rPr>
              <w:t xml:space="preserve">networks:</w:t>
            </w:r>
          </w:p>
          <w:p>
            <w:pPr>
              <w:spacing w:after="0"/>
            </w:pPr>
            <w:r>
              <w:rPr>
                <w:rFonts w:ascii="Consolas" w:cs="Consolas" w:eastAsia="Consolas" w:hAnsi="Consolas"/>
                <w:color w:val="1F3864"/>
                <w:sz w:val="13"/>
                <w:szCs w:val="13"/>
              </w:rPr>
              <w:t xml:space="preserve">  internal:   (backend, postgres, redis, celery-*)</w:t>
            </w:r>
          </w:p>
          <w:p>
            <w:pPr>
              <w:spacing w:after="0"/>
            </w:pPr>
            <w:r>
              <w:rPr>
                <w:rFonts w:ascii="Consolas" w:cs="Consolas" w:eastAsia="Consolas" w:hAnsi="Consolas"/>
                <w:color w:val="1F3864"/>
                <w:sz w:val="13"/>
                <w:szCs w:val="13"/>
              </w:rPr>
              <w:t xml:space="preserve">  public:     (nginx uniquement exposé sur l'hôte)</w:t>
            </w:r>
          </w:p>
        </w:tc>
      </w:tr>
    </w:tbl>
    <w:p>
      <w:pPr>
        <w:spacing w:after="240" w:before="80"/>
        <w:jc w:val="center"/>
      </w:pPr>
      <w:r>
        <w:rPr>
          <w:i/>
          <w:iCs/>
          <w:color w:val="595959"/>
          <w:sz w:val="18"/>
          <w:szCs w:val="18"/>
        </w:rPr>
        <w:t xml:space="preserve">Figure 27 — Extrait structurant du fichier docker-compose.yml</w:t>
      </w:r>
    </w:p>
    <w:p>
      <w:pPr>
        <w:pStyle w:val="Heading2"/>
        <w:spacing w:after="180" w:before="360"/>
      </w:pPr>
      <w:r>
        <w:rPr>
          <w:b/>
          <w:bCs/>
          <w:color w:val="2E5395"/>
          <w:sz w:val="26"/>
          <w:szCs w:val="26"/>
        </w:rPr>
        <w:t xml:space="preserve">21.2 Intégration et déploiement continus</w:t>
      </w:r>
    </w:p>
    <w:p>
      <w:pPr>
        <w:spacing w:after="160" w:line="276"/>
        <w:jc w:val="both"/>
      </w:pPr>
      <w:r>
        <w:rPr>
          <w:color w:val="202020"/>
          <w:sz w:val="21"/>
          <w:szCs w:val="21"/>
        </w:rPr>
        <w:t xml:space="preserve">Le pipeline CI/CD (GitHub Actions ou GitLab CI, selon la plateforme d'hébergement du code retenue par le client final ou l'éditeur) exécute à chaque pull request : l'analyse statique (ruff, mypy pour le backend ; ESLint, TypeScript pour le frontend), les tests unitaires et d'intégration, l'analyse de sécurité des dépendances (pip-audit, npm audit), puis, sur la branche principale, la construction et la publication des images Docker versionnées vers un registre privé, disponibles pour un déploiement contrôlé chez le client (mise à jour manuelle ou semi-automatisée selon la politique de changement du client on-premise).</w:t>
      </w:r>
    </w:p>
    <w:p>
      <w:r>
        <w:br w:type="page"/>
      </w:r>
    </w:p>
    <w:p>
      <w:pPr>
        <w:pStyle w:val="Heading1"/>
        <w:pBdr>
          <w:bottom w:val="single" w:color="2E5395" w:sz="8" w:space="4"/>
        </w:pBdr>
        <w:spacing w:after="240" w:before="480"/>
      </w:pPr>
      <w:r>
        <w:rPr>
          <w:b/>
          <w:bCs/>
          <w:color w:val="1F3864"/>
          <w:sz w:val="32"/>
          <w:szCs w:val="32"/>
        </w:rPr>
        <w:t xml:space="preserve">22. Qualité et stratégie de tests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3600"/>
      </w:tblGrid>
      <w:tr>
        <w:trPr>
          <w:tblHeader/>
        </w:trPr>
        <w:tc>
          <w:tcPr>
            <w:tcW w:type="dxa" w:w="2000"/>
            <w:shd w:fill="1F3864" w:val="clear"/>
            <w:tcMar>
              <w:top w:type="dxa" w:w="100"/>
              <w:left w:type="dxa" w:w="120"/>
              <w:bottom w:type="dxa" w:w="100"/>
              <w:right w:type="dxa" w:w="120"/>
            </w:tcMar>
            <w:vAlign w:val="center"/>
          </w:tcPr>
          <w:p>
            <w:pPr>
              <w:jc w:val="left"/>
            </w:pPr>
            <w:r>
              <w:rPr>
                <w:b/>
                <w:bCs/>
                <w:color w:val="FFFFFF"/>
                <w:sz w:val="19"/>
                <w:szCs w:val="19"/>
              </w:rPr>
              <w:t xml:space="preserve">Type de test</w:t>
            </w:r>
          </w:p>
        </w:tc>
        <w:tc>
          <w:tcPr>
            <w:tcW w:type="dxa" w:w="3200"/>
            <w:shd w:fill="1F3864" w:val="clear"/>
            <w:tcMar>
              <w:top w:type="dxa" w:w="100"/>
              <w:left w:type="dxa" w:w="120"/>
              <w:bottom w:type="dxa" w:w="100"/>
              <w:right w:type="dxa" w:w="120"/>
            </w:tcMar>
            <w:vAlign w:val="center"/>
          </w:tcPr>
          <w:p>
            <w:pPr>
              <w:jc w:val="left"/>
            </w:pPr>
            <w:r>
              <w:rPr>
                <w:b/>
                <w:bCs/>
                <w:color w:val="FFFFFF"/>
                <w:sz w:val="19"/>
                <w:szCs w:val="19"/>
              </w:rPr>
              <w:t xml:space="preserve">Outillage</w:t>
            </w:r>
          </w:p>
        </w:tc>
        <w:tc>
          <w:tcPr>
            <w:tcW w:type="dxa" w:w="3600"/>
            <w:shd w:fill="1F3864" w:val="clear"/>
            <w:tcMar>
              <w:top w:type="dxa" w:w="100"/>
              <w:left w:type="dxa" w:w="120"/>
              <w:bottom w:type="dxa" w:w="100"/>
              <w:right w:type="dxa" w:w="120"/>
            </w:tcMar>
            <w:vAlign w:val="center"/>
          </w:tcPr>
          <w:p>
            <w:pPr>
              <w:jc w:val="left"/>
            </w:pPr>
            <w:r>
              <w:rPr>
                <w:b/>
                <w:bCs/>
                <w:color w:val="FFFFFF"/>
                <w:sz w:val="19"/>
                <w:szCs w:val="19"/>
              </w:rPr>
              <w:t xml:space="preserve">Périmètre</w:t>
            </w:r>
          </w:p>
        </w:tc>
      </w:tr>
      <w:tr>
        <w:tc>
          <w:tcPr>
            <w:tcW w:type="dxa" w:w="20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Tests unitaires</w:t>
            </w:r>
          </w:p>
        </w:tc>
        <w:tc>
          <w:tcPr>
            <w:tcW w:type="dxa" w:w="32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pytest (backend), Vitest/Jest (frontend)</w:t>
            </w:r>
          </w:p>
        </w:tc>
        <w:tc>
          <w:tcPr>
            <w:tcW w:type="dxa" w:w="36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Domaine métier, règles de calcul du score de risque, réducteurs d'état frontend — isolés de toute dépendance externe</w:t>
            </w:r>
          </w:p>
        </w:tc>
      </w:tr>
      <w:tr>
        <w:tc>
          <w:tcPr>
            <w:tcW w:type="dxa" w:w="20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Tests d'intégration</w:t>
            </w:r>
          </w:p>
        </w:tc>
        <w:tc>
          <w:tcPr>
            <w:tcW w:type="dxa" w:w="32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pytest + base PostgreSQL de test (conteneur éphémère), Testing Library (frontend)</w:t>
            </w:r>
          </w:p>
        </w:tc>
        <w:tc>
          <w:tcPr>
            <w:tcW w:type="dxa" w:w="36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Repositories réels, endpoints FastAPI complets, interactions composants React</w:t>
            </w:r>
          </w:p>
        </w:tc>
      </w:tr>
      <w:tr>
        <w:tc>
          <w:tcPr>
            <w:tcW w:type="dxa" w:w="20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Tests de charge</w:t>
            </w:r>
          </w:p>
        </w:tc>
        <w:tc>
          <w:tcPr>
            <w:tcW w:type="dxa" w:w="32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Locust ou k6</w:t>
            </w:r>
          </w:p>
        </w:tc>
        <w:tc>
          <w:tcPr>
            <w:tcW w:type="dxa" w:w="36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Simulation de la collecte simultanée de métriques sur plusieurs centaines de VM, validation des temps de réponse du tableau de bord sous charge</w:t>
            </w:r>
          </w:p>
        </w:tc>
      </w:tr>
      <w:tr>
        <w:tc>
          <w:tcPr>
            <w:tcW w:type="dxa" w:w="20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Tests de sécurité</w:t>
            </w:r>
          </w:p>
        </w:tc>
        <w:tc>
          <w:tcPr>
            <w:tcW w:type="dxa" w:w="32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OWASP ZAP (scan dynamique), Bandit (analyse statique Python), tests d'autorisation dédiés (tentative d'accès cross-tenant)</w:t>
            </w:r>
          </w:p>
        </w:tc>
        <w:tc>
          <w:tcPr>
            <w:tcW w:type="dxa" w:w="36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Vérification systématique du cloisonnement multi-tenant et de la couverture OWASP (section 7.1)</w:t>
            </w:r>
          </w:p>
        </w:tc>
      </w:tr>
    </w:tbl>
    <w:p>
      <w:r>
        <w:br w:type="page"/>
      </w:r>
    </w:p>
    <w:p>
      <w:pPr>
        <w:pStyle w:val="Heading1"/>
        <w:pBdr>
          <w:bottom w:val="single" w:color="2E5395" w:sz="8" w:space="4"/>
        </w:pBdr>
        <w:spacing w:after="240" w:before="480"/>
      </w:pPr>
      <w:r>
        <w:rPr>
          <w:b/>
          <w:bCs/>
          <w:color w:val="1F3864"/>
          <w:sz w:val="32"/>
          <w:szCs w:val="32"/>
        </w:rPr>
        <w:t xml:space="preserve">23. Risques et recommandations</w:t>
      </w:r>
    </w:p>
    <w:tbl>
      <w:tblPr>
        <w:tblW w:type="pct" w:w="100%"/>
        <w:tblBorders>
          <w:top w:val="single" w:color="BF8F00" w:sz="4"/>
          <w:left w:val="single" w:color="BF8F00" w:sz="24"/>
          <w:bottom w:val="single" w:color="BF8F00" w:sz="4"/>
          <w:right w:val="single" w:color="BF8F00" w:sz="4"/>
          <w:insideH w:val="single" w:color="auto" w:sz="4"/>
          <w:insideV w:val="single" w:color="auto" w:sz="4"/>
        </w:tblBorders>
      </w:tblPr>
      <w:tblGrid>
        <w:gridCol w:w="100"/>
      </w:tblGrid>
      <w:tr>
        <w:tc>
          <w:tcPr>
            <w:shd w:fill="FBFBFB" w:val="clear"/>
            <w:tcMar>
              <w:top w:type="dxa" w:w="140"/>
              <w:left w:type="dxa" w:w="200"/>
              <w:bottom w:type="dxa" w:w="140"/>
              <w:right w:type="dxa" w:w="200"/>
            </w:tcMar>
          </w:tcPr>
          <w:p>
            <w:pPr>
              <w:spacing w:after="60"/>
            </w:pPr>
            <w:r>
              <w:rPr>
                <w:b/>
                <w:bCs/>
                <w:color w:val="BF8F00"/>
                <w:sz w:val="21"/>
                <w:szCs w:val="21"/>
              </w:rPr>
              <w:t xml:space="preserve">Dérive du modèle IA (data drift) — Risque Moyen</w:t>
            </w:r>
          </w:p>
          <w:p>
            <w:pPr>
              <w:spacing w:after="60"/>
            </w:pPr>
            <w:r>
              <w:rPr>
                <w:color w:val="202020"/>
                <w:sz w:val="19"/>
                <w:szCs w:val="19"/>
              </w:rPr>
              <w:t xml:space="preserve">Les modèles entraînés sur les premières semaines de données d'un client peuvent perdre en pertinence si les patterns d'usage évoluent significativement (nouveaux services déployés, changement de volumétrie).</w:t>
            </w:r>
          </w:p>
          <w:p>
            <w:r>
              <w:rPr>
                <w:b/>
                <w:bCs/>
                <w:color w:val="202020"/>
                <w:sz w:val="19"/>
                <w:szCs w:val="19"/>
              </w:rPr>
              <w:t xml:space="preserve">Mitigation : </w:t>
            </w:r>
            <w:r>
              <w:rPr>
                <w:color w:val="202020"/>
                <w:sz w:val="19"/>
                <w:szCs w:val="19"/>
              </w:rPr>
              <w:t xml:space="preserve">Réentraînement périodique planifié (hebdomadaire), suivi d'un indicateur de dérive des features en production, alerte à l'équipe produit en cas de dégradation de la précision.</w:t>
            </w:r>
          </w:p>
        </w:tc>
      </w:tr>
    </w:tbl>
    <w:p>
      <w:pPr>
        <w:spacing w:after="200"/>
      </w:pPr>
    </w:p>
    <w:tbl>
      <w:tblPr>
        <w:tblW w:type="pct" w:w="100%"/>
        <w:tblBorders>
          <w:top w:val="single" w:color="BF8F00" w:sz="4"/>
          <w:left w:val="single" w:color="BF8F00" w:sz="24"/>
          <w:bottom w:val="single" w:color="BF8F00" w:sz="4"/>
          <w:right w:val="single" w:color="BF8F00" w:sz="4"/>
          <w:insideH w:val="single" w:color="auto" w:sz="4"/>
          <w:insideV w:val="single" w:color="auto" w:sz="4"/>
        </w:tblBorders>
      </w:tblPr>
      <w:tblGrid>
        <w:gridCol w:w="100"/>
      </w:tblGrid>
      <w:tr>
        <w:tc>
          <w:tcPr>
            <w:shd w:fill="FBFBFB" w:val="clear"/>
            <w:tcMar>
              <w:top w:type="dxa" w:w="140"/>
              <w:left w:type="dxa" w:w="200"/>
              <w:bottom w:type="dxa" w:w="140"/>
              <w:right w:type="dxa" w:w="200"/>
            </w:tcMar>
          </w:tcPr>
          <w:p>
            <w:pPr>
              <w:spacing w:after="60"/>
            </w:pPr>
            <w:r>
              <w:rPr>
                <w:b/>
                <w:bCs/>
                <w:color w:val="BF8F00"/>
                <w:sz w:val="21"/>
                <w:szCs w:val="21"/>
              </w:rPr>
              <w:t xml:space="preserve">Faux positifs excessifs du moteur d'alertes — Risque Moyen</w:t>
            </w:r>
          </w:p>
          <w:p>
            <w:pPr>
              <w:spacing w:after="60"/>
            </w:pPr>
            <w:r>
              <w:rPr>
                <w:color w:val="202020"/>
                <w:sz w:val="19"/>
                <w:szCs w:val="19"/>
              </w:rPr>
              <w:t xml:space="preserve">Un seuillage trop agressif peut générer une fatigue d'alerte chez les opérateurs, menant à l'ignorance progressive des notifications, y compris légitimes.</w:t>
            </w:r>
          </w:p>
          <w:p>
            <w:r>
              <w:rPr>
                <w:b/>
                <w:bCs/>
                <w:color w:val="202020"/>
                <w:sz w:val="19"/>
                <w:szCs w:val="19"/>
              </w:rPr>
              <w:t xml:space="preserve">Mitigation : </w:t>
            </w:r>
            <w:r>
              <w:rPr>
                <w:color w:val="202020"/>
                <w:sz w:val="19"/>
                <w:szCs w:val="19"/>
              </w:rPr>
              <w:t xml:space="preserve">Fenêtres de confirmation avant déclenchement (section 14.1), possibilité d'ajustement des seuils par tenant, suivi du taux d'acquittement comme indicateur de qualité du réglage.</w:t>
            </w:r>
          </w:p>
        </w:tc>
      </w:tr>
    </w:tbl>
    <w:p>
      <w:pPr>
        <w:spacing w:after="200"/>
      </w:pPr>
    </w:p>
    <w:tbl>
      <w:tblPr>
        <w:tblW w:type="pct" w:w="100%"/>
        <w:tblBorders>
          <w:top w:val="single" w:color="548235" w:sz="4"/>
          <w:left w:val="single" w:color="548235" w:sz="24"/>
          <w:bottom w:val="single" w:color="548235" w:sz="4"/>
          <w:right w:val="single" w:color="548235" w:sz="4"/>
          <w:insideH w:val="single" w:color="auto" w:sz="4"/>
          <w:insideV w:val="single" w:color="auto" w:sz="4"/>
        </w:tblBorders>
      </w:tblPr>
      <w:tblGrid>
        <w:gridCol w:w="100"/>
      </w:tblGrid>
      <w:tr>
        <w:tc>
          <w:tcPr>
            <w:shd w:fill="FBFBFB" w:val="clear"/>
            <w:tcMar>
              <w:top w:type="dxa" w:w="140"/>
              <w:left w:type="dxa" w:w="200"/>
              <w:bottom w:type="dxa" w:w="140"/>
              <w:right w:type="dxa" w:w="200"/>
            </w:tcMar>
          </w:tcPr>
          <w:p>
            <w:pPr>
              <w:spacing w:after="60"/>
            </w:pPr>
            <w:r>
              <w:rPr>
                <w:b/>
                <w:bCs/>
                <w:color w:val="548235"/>
                <w:sz w:val="21"/>
                <w:szCs w:val="21"/>
              </w:rPr>
              <w:t xml:space="preserve">Dépendance à la disponibilité de l'API Proxmox — Risque Faible</w:t>
            </w:r>
          </w:p>
          <w:p>
            <w:pPr>
              <w:spacing w:after="60"/>
            </w:pPr>
            <w:r>
              <w:rPr>
                <w:color w:val="202020"/>
                <w:sz w:val="19"/>
                <w:szCs w:val="19"/>
              </w:rPr>
              <w:t xml:space="preserve">Une indisponibilité temporaire de l'API Proxmox (maintenance, surcharge) interrompt la collecte de métriques sans affecter le fonctionnement de Proxmox lui-même.</w:t>
            </w:r>
          </w:p>
          <w:p>
            <w:r>
              <w:rPr>
                <w:b/>
                <w:bCs/>
                <w:color w:val="202020"/>
                <w:sz w:val="19"/>
                <w:szCs w:val="19"/>
              </w:rPr>
              <w:t xml:space="preserve">Mitigation : </w:t>
            </w:r>
            <w:r>
              <w:rPr>
                <w:color w:val="202020"/>
                <w:sz w:val="19"/>
                <w:szCs w:val="19"/>
              </w:rPr>
              <w:t xml:space="preserve">Retry avec backoff exponentiel côté Celery, dégradation gracieuse du tableau de bord affichant clairement les données comme obsolètes plutôt que des données erronées.</w:t>
            </w:r>
          </w:p>
        </w:tc>
      </w:tr>
    </w:tbl>
    <w:p>
      <w:pPr>
        <w:spacing w:after="200"/>
      </w:pPr>
    </w:p>
    <w:tbl>
      <w:tblPr>
        <w:tblW w:type="pct" w:w="100%"/>
        <w:tblBorders>
          <w:top w:val="single" w:color="BF8F00" w:sz="4"/>
          <w:left w:val="single" w:color="BF8F00" w:sz="24"/>
          <w:bottom w:val="single" w:color="BF8F00" w:sz="4"/>
          <w:right w:val="single" w:color="BF8F00" w:sz="4"/>
          <w:insideH w:val="single" w:color="auto" w:sz="4"/>
          <w:insideV w:val="single" w:color="auto" w:sz="4"/>
        </w:tblBorders>
      </w:tblPr>
      <w:tblGrid>
        <w:gridCol w:w="100"/>
      </w:tblGrid>
      <w:tr>
        <w:tc>
          <w:tcPr>
            <w:shd w:fill="FBFBFB" w:val="clear"/>
            <w:tcMar>
              <w:top w:type="dxa" w:w="140"/>
              <w:left w:type="dxa" w:w="200"/>
              <w:bottom w:type="dxa" w:w="140"/>
              <w:right w:type="dxa" w:w="200"/>
            </w:tcMar>
          </w:tcPr>
          <w:p>
            <w:pPr>
              <w:spacing w:after="60"/>
            </w:pPr>
            <w:r>
              <w:rPr>
                <w:b/>
                <w:bCs/>
                <w:color w:val="BF8F00"/>
                <w:sz w:val="21"/>
                <w:szCs w:val="21"/>
              </w:rPr>
              <w:t xml:space="preserve">Sous-dimensionnement de l'hôte Docker chez le client — Risque Moyen</w:t>
            </w:r>
          </w:p>
          <w:p>
            <w:pPr>
              <w:spacing w:after="60"/>
            </w:pPr>
            <w:r>
              <w:rPr>
                <w:color w:val="202020"/>
                <w:sz w:val="19"/>
                <w:szCs w:val="19"/>
              </w:rPr>
              <w:t xml:space="preserve">Un déploiement on-premise sur un matériel sous-dimensionné peut dégrader les performances de collecte et d'inférence, en particulier lors de pics de charge simultanés.</w:t>
            </w:r>
          </w:p>
          <w:p>
            <w:r>
              <w:rPr>
                <w:b/>
                <w:bCs/>
                <w:color w:val="202020"/>
                <w:sz w:val="19"/>
                <w:szCs w:val="19"/>
              </w:rPr>
              <w:t xml:space="preserve">Mitigation : </w:t>
            </w:r>
            <w:r>
              <w:rPr>
                <w:color w:val="202020"/>
                <w:sz w:val="19"/>
                <w:szCs w:val="19"/>
              </w:rPr>
              <w:t xml:space="preserve">Publication de prérequis matériels clairs (CPU, RAM, IOPS) selon le nombre de VM supervisées, tableau de bord d'auto-supervision (section 17) alertant sur la saturation de la plateforme elle-même.</w:t>
            </w:r>
          </w:p>
        </w:tc>
      </w:tr>
    </w:tbl>
    <w:p>
      <w:r>
        <w:br w:type="page"/>
      </w:r>
    </w:p>
    <w:p>
      <w:pPr>
        <w:pStyle w:val="Heading1"/>
        <w:pBdr>
          <w:bottom w:val="single" w:color="2E5395" w:sz="8" w:space="4"/>
        </w:pBdr>
        <w:spacing w:after="240" w:before="480"/>
      </w:pPr>
      <w:r>
        <w:rPr>
          <w:b/>
          <w:bCs/>
          <w:color w:val="1F3864"/>
          <w:sz w:val="32"/>
          <w:szCs w:val="32"/>
        </w:rPr>
        <w:t xml:space="preserve">24. Conclusion</w:t>
      </w:r>
    </w:p>
    <w:p>
      <w:pPr>
        <w:spacing w:after="160" w:line="276"/>
        <w:jc w:val="both"/>
      </w:pPr>
      <w:r>
        <w:rPr>
          <w:color w:val="202020"/>
          <w:sz w:val="21"/>
          <w:szCs w:val="21"/>
        </w:rPr>
        <w:t xml:space="preserve">L'architecture décrite dans ce document répond à l'ensemble des exigences fonctionnelles et non fonctionnelles du projet : une plateforme on-premise multi-tenant, sécurisée selon les référentiels OWASP et les principes Zero Trust, bâtie sur un monolithe modulaire respectant la Clean Architecture et le Domain-Driven Design, et dotée d'un pipeline d'intelligence artificielle hybride combinant règles métier, détection d'anomalies et prédiction supervisée pour répondre à l'objectif central du produit : anticiper la saturation du stockage des machines virtuelles avant qu'elle ne provoque une indisponibilité.</w:t>
      </w:r>
    </w:p>
    <w:p>
      <w:pPr>
        <w:spacing w:after="160" w:line="276"/>
        <w:jc w:val="both"/>
      </w:pPr>
      <w:r>
        <w:rPr>
          <w:color w:val="202020"/>
          <w:sz w:val="21"/>
          <w:szCs w:val="21"/>
        </w:rPr>
        <w:t xml:space="preserve">Cette architecture est délibérément dimensionnée pour une équipe de vingt ingénieurs et un déploiement on-premise chez des clients aux capacités d'exploitation variables, en évitant la complexité opérationnelle d'une architecture microservices ou d'un cluster de streaming non justifiée au stade actuel du produit, tout en préservant, par la décomposition en contextes bornés du domaine, la possibilité d'une évolution vers une architecture distribuée si la croissance du produit le justifiait. Les prochaines étapes recommandées sont la mise en place d'un socle technique minimal viable (authentification, collecte, tableau de bord, moteur de règles) avant l'introduction des modèles d'apprentissage automatique, qui nécessitent un volume de données historiques que seule une première phase d'exploitation en production permettra de constituer.</w:t>
      </w:r>
    </w:p>
    <w:p>
      <w:r>
        <w:br w:type="page"/>
      </w:r>
    </w:p>
    <w:p>
      <w:pPr>
        <w:pStyle w:val="Heading1"/>
        <w:pBdr>
          <w:bottom w:val="single" w:color="2E5395" w:sz="8" w:space="4"/>
        </w:pBdr>
        <w:spacing w:after="240" w:before="480"/>
      </w:pPr>
      <w:r>
        <w:rPr>
          <w:b/>
          <w:bCs/>
          <w:color w:val="1F3864"/>
          <w:sz w:val="32"/>
          <w:szCs w:val="32"/>
        </w:rPr>
        <w:t xml:space="preserve">Annexe A — Glossaire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6800"/>
      </w:tblGrid>
      <w:tr>
        <w:trPr>
          <w:tblHeader/>
        </w:trPr>
        <w:tc>
          <w:tcPr>
            <w:tcW w:type="dxa" w:w="2000"/>
            <w:shd w:fill="1F3864" w:val="clear"/>
            <w:tcMar>
              <w:top w:type="dxa" w:w="100"/>
              <w:left w:type="dxa" w:w="120"/>
              <w:bottom w:type="dxa" w:w="100"/>
              <w:right w:type="dxa" w:w="120"/>
            </w:tcMar>
            <w:vAlign w:val="center"/>
          </w:tcPr>
          <w:p>
            <w:pPr>
              <w:jc w:val="left"/>
            </w:pPr>
            <w:r>
              <w:rPr>
                <w:b/>
                <w:bCs/>
                <w:color w:val="FFFFFF"/>
                <w:sz w:val="19"/>
                <w:szCs w:val="19"/>
              </w:rPr>
              <w:t xml:space="preserve">Terme</w:t>
            </w:r>
          </w:p>
        </w:tc>
        <w:tc>
          <w:tcPr>
            <w:tcW w:type="dxa" w:w="6800"/>
            <w:shd w:fill="1F3864" w:val="clear"/>
            <w:tcMar>
              <w:top w:type="dxa" w:w="100"/>
              <w:left w:type="dxa" w:w="120"/>
              <w:bottom w:type="dxa" w:w="100"/>
              <w:right w:type="dxa" w:w="120"/>
            </w:tcMar>
            <w:vAlign w:val="center"/>
          </w:tcPr>
          <w:p>
            <w:pPr>
              <w:jc w:val="left"/>
            </w:pPr>
            <w:r>
              <w:rPr>
                <w:b/>
                <w:bCs/>
                <w:color w:val="FFFFFF"/>
                <w:sz w:val="19"/>
                <w:szCs w:val="19"/>
              </w:rPr>
              <w:t xml:space="preserve">Définition</w:t>
            </w:r>
          </w:p>
        </w:tc>
      </w:tr>
      <w:tr>
        <w:tc>
          <w:tcPr>
            <w:tcW w:type="dxa" w:w="20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RBAC</w:t>
            </w:r>
          </w:p>
        </w:tc>
        <w:tc>
          <w:tcPr>
            <w:tcW w:type="dxa" w:w="68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Role-Based Access Control : contrôle d'accès fondé sur des rôles associés à des permissions</w:t>
            </w:r>
          </w:p>
        </w:tc>
      </w:tr>
      <w:tr>
        <w:tc>
          <w:tcPr>
            <w:tcW w:type="dxa" w:w="20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JWT</w:t>
            </w:r>
          </w:p>
        </w:tc>
        <w:tc>
          <w:tcPr>
            <w:tcW w:type="dxa" w:w="68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JSON Web Token : jeton signé transportant des informations d'identité et de session</w:t>
            </w:r>
          </w:p>
        </w:tc>
      </w:tr>
      <w:tr>
        <w:tc>
          <w:tcPr>
            <w:tcW w:type="dxa" w:w="20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Hypertable</w:t>
            </w:r>
          </w:p>
        </w:tc>
        <w:tc>
          <w:tcPr>
            <w:tcW w:type="dxa" w:w="68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Table PostgreSQL étendue par TimescaleDB, partitionnée automatiquement par le temps</w:t>
            </w:r>
          </w:p>
        </w:tc>
      </w:tr>
      <w:tr>
        <w:tc>
          <w:tcPr>
            <w:tcW w:type="dxa" w:w="20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Tenant</w:t>
            </w:r>
          </w:p>
        </w:tc>
        <w:tc>
          <w:tcPr>
            <w:tcW w:type="dxa" w:w="68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Entreprise cliente isolée logiquement au sein d'une instance mutualisée de la plateforme</w:t>
            </w:r>
          </w:p>
        </w:tc>
      </w:tr>
      <w:tr>
        <w:tc>
          <w:tcPr>
            <w:tcW w:type="dxa" w:w="20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SHAP</w:t>
            </w:r>
          </w:p>
        </w:tc>
        <w:tc>
          <w:tcPr>
            <w:tcW w:type="dxa" w:w="68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SHapley Additive exPlanations : méthode d'explicabilité attribuant à chaque variable sa contribution à une prédiction</w:t>
            </w:r>
          </w:p>
        </w:tc>
      </w:tr>
      <w:tr>
        <w:tc>
          <w:tcPr>
            <w:tcW w:type="dxa" w:w="20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DDD</w:t>
            </w:r>
          </w:p>
        </w:tc>
        <w:tc>
          <w:tcPr>
            <w:tcW w:type="dxa" w:w="68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Domain-Driven Design : approche de conception centrée sur le modèle du domaine métier</w:t>
            </w:r>
          </w:p>
        </w:tc>
      </w:tr>
      <w:tr>
        <w:tc>
          <w:tcPr>
            <w:tcW w:type="dxa" w:w="20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Zero Trust</w:t>
            </w:r>
          </w:p>
        </w:tc>
        <w:tc>
          <w:tcPr>
            <w:tcW w:type="dxa" w:w="6800"/>
            <w:shd w:fill="FFFFFF" w:val="clear"/>
            <w:tcMar>
              <w:top w:type="dxa" w:w="100"/>
              <w:left w:type="dxa" w:w="120"/>
              <w:bottom w:type="dxa" w:w="100"/>
              <w:right w:type="dxa" w:w="120"/>
            </w:tcMar>
            <w:vAlign w:val="center"/>
          </w:tcPr>
          <w:p>
            <w:pPr>
              <w:jc w:val="left"/>
            </w:pPr>
            <w:r>
              <w:rPr>
                <w:b w:val="false"/>
                <w:bCs w:val="false"/>
                <w:color w:val="202020"/>
                <w:sz w:val="19"/>
                <w:szCs w:val="19"/>
              </w:rPr>
              <w:t xml:space="preserve">Modèle de sécurité n'accordant aucune confiance implicite fondée sur la seule position réseau</w:t>
            </w:r>
          </w:p>
        </w:tc>
      </w:tr>
      <w:tr>
        <w:tc>
          <w:tcPr>
            <w:tcW w:type="dxa" w:w="20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RLS</w:t>
            </w:r>
          </w:p>
        </w:tc>
        <w:tc>
          <w:tcPr>
            <w:tcW w:type="dxa" w:w="6800"/>
            <w:shd w:fill="F2F2F2" w:val="clear"/>
            <w:tcMar>
              <w:top w:type="dxa" w:w="100"/>
              <w:left w:type="dxa" w:w="120"/>
              <w:bottom w:type="dxa" w:w="100"/>
              <w:right w:type="dxa" w:w="120"/>
            </w:tcMar>
            <w:vAlign w:val="center"/>
          </w:tcPr>
          <w:p>
            <w:pPr>
              <w:jc w:val="left"/>
            </w:pPr>
            <w:r>
              <w:rPr>
                <w:b w:val="false"/>
                <w:bCs w:val="false"/>
                <w:color w:val="202020"/>
                <w:sz w:val="19"/>
                <w:szCs w:val="19"/>
              </w:rPr>
              <w:t xml:space="preserve">Row-Level Security : mécanisme PostgreSQL restreignant l'accès aux lignes d'une table selon des politiques</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i/>
        <w:iCs/>
        <w:color w:val="595959"/>
        <w:sz w:val="16"/>
        <w:szCs w:val="16"/>
      </w:rPr>
      <w:t xml:space="preserve">Plateforme IA de Supervision Proxmox — Document d'Architecture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d'Architecture - Plateforme IA de Supervision Proxmox</dc:title>
  <dc:creator>Architecture Team</dc:creator>
  <cp:lastModifiedBy>Un-named</cp:lastModifiedBy>
  <cp:revision>1</cp:revision>
  <dcterms:created xsi:type="dcterms:W3CDTF">2026-07-13T19:30:22.840Z</dcterms:created>
  <dcterms:modified xsi:type="dcterms:W3CDTF">2026-07-13T19:30:22.840Z</dcterms:modified>
</cp:coreProperties>
</file>

<file path=docProps/custom.xml><?xml version="1.0" encoding="utf-8"?>
<Properties xmlns="http://schemas.openxmlformats.org/officeDocument/2006/custom-properties" xmlns:vt="http://schemas.openxmlformats.org/officeDocument/2006/docPropsVTypes"/>
</file>