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52B0C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Математическая модель логического супервизора автономного принятия решений ПРГСН в трехмерном пространстве</w:t>
      </w:r>
    </w:p>
    <w:p w:rsidR="00000000" w:rsidRDefault="00852B0C">
      <w:pPr>
        <w:jc w:val="center"/>
        <w:divId w:val="1574730785"/>
        <w:rPr>
          <w:rFonts w:eastAsia="Times New Roman"/>
          <w:i/>
          <w:iCs/>
          <w:color w:val="000000"/>
          <w:sz w:val="21"/>
          <w:szCs w:val="21"/>
        </w:rPr>
      </w:pPr>
      <w:r>
        <w:rPr>
          <w:rFonts w:eastAsia="Times New Roman"/>
          <w:i/>
          <w:iCs/>
          <w:color w:val="000000"/>
          <w:sz w:val="21"/>
          <w:szCs w:val="21"/>
        </w:rPr>
        <w:t xml:space="preserve">Критерии подтверждения и прерывания целевой задачи на основе декартовых оценок КЛО и ковариационного анализа 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Функционирование автономного логического супервизора на частоте </w:t>
      </w:r>
      <w:r w:rsidR="001862D6">
        <w:rPr>
          <w:color w:val="000000"/>
        </w:rPr>
        <w:t>$100$</w:t>
      </w:r>
      <w:r>
        <w:rPr>
          <w:color w:val="000000"/>
        </w:rPr>
        <w:t xml:space="preserve"> Гц заключается в непрерывной обработке оценок трехмерного вектора координат источника излучения </w:t>
      </w:r>
      <w:r w:rsidR="001862D6" w:rsidRPr="001862D6">
        <w:rPr>
          <w:position w:val="-12"/>
        </w:rPr>
        <w:object w:dxaOrig="19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87" type="#_x0000_t75" style="width:95.65pt;height:19.35pt" o:ole="">
            <v:imagedata r:id="rId4" o:title=""/>
          </v:shape>
          <o:OLEObject Type="Embed" ProgID="Equation.DSMT4" ShapeID="_x0000_i1387" DrawAspect="Content" ObjectID="_1840398276" r:id="rId5"/>
        </w:object>
      </w:r>
      <w:r>
        <w:rPr>
          <w:color w:val="000000"/>
        </w:rPr>
        <w:t xml:space="preserve">, среднегеометрического пространственного промаха </w:t>
      </w:r>
      <w:r w:rsidR="001862D6" w:rsidRPr="001862D6">
        <w:rPr>
          <w:position w:val="-14"/>
        </w:rPr>
        <w:object w:dxaOrig="600" w:dyaOrig="380">
          <v:shape id="_x0000_i1377" type="#_x0000_t75" style="width:30.1pt;height:19.35pt" o:ole="">
            <v:imagedata r:id="rId6" o:title=""/>
          </v:shape>
          <o:OLEObject Type="Embed" ProgID="Equation.DSMT4" ShapeID="_x0000_i1377" DrawAspect="Content" ObjectID="_1840398277" r:id="rId7"/>
        </w:object>
      </w:r>
      <w:r>
        <w:rPr>
          <w:color w:val="000000"/>
        </w:rPr>
        <w:t xml:space="preserve"> и декартовой ковариационной матрицы ошибок триангуляции </w:t>
      </w:r>
      <w:r w:rsidR="001862D6" w:rsidRPr="001862D6">
        <w:rPr>
          <w:position w:val="-12"/>
        </w:rPr>
        <w:object w:dxaOrig="660" w:dyaOrig="360">
          <v:shape id="_x0000_i1367" type="#_x0000_t75" style="width:33.3pt;height:18.25pt" o:ole="">
            <v:imagedata r:id="rId8" o:title=""/>
          </v:shape>
          <o:OLEObject Type="Embed" ProgID="Equation.DSMT4" ShapeID="_x0000_i1367" DrawAspect="Content" ObjectID="_1840398278" r:id="rId9"/>
        </w:object>
      </w:r>
      <w:r>
        <w:rPr>
          <w:color w:val="000000"/>
        </w:rPr>
        <w:t xml:space="preserve">. На основе этих данных формируется булево решающее правило прерывания текущей задачи наведения </w:t>
      </w:r>
      <w:r w:rsidR="001862D6" w:rsidRPr="001862D6">
        <w:rPr>
          <w:position w:val="-12"/>
        </w:rPr>
        <w:object w:dxaOrig="1240" w:dyaOrig="360">
          <v:shape id="_x0000_i1357" type="#_x0000_t75" style="width:62.35pt;height:18.25pt" o:ole="">
            <v:imagedata r:id="rId10" o:title=""/>
          </v:shape>
          <o:OLEObject Type="Embed" ProgID="Equation.DSMT4" ShapeID="_x0000_i1357" DrawAspect="Content" ObjectID="_1840398279" r:id="rId11"/>
        </w:object>
      </w:r>
      <w:r>
        <w:rPr>
          <w:color w:val="000000"/>
        </w:rPr>
        <w:t xml:space="preserve"> и переключения внешней САУ на следующую точку полетного </w:t>
      </w:r>
      <w:r>
        <w:rPr>
          <w:color w:val="000000"/>
        </w:rPr>
        <w:t>задания.</w:t>
      </w:r>
    </w:p>
    <w:p w:rsidR="00000000" w:rsidRDefault="00852B0C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Расчет динамических и геометрических параметров траектории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На каждом дискретном такте времени </w:t>
      </w:r>
      <w:r w:rsidR="001862D6" w:rsidRPr="001862D6">
        <w:rPr>
          <w:position w:val="-12"/>
        </w:rPr>
        <w:object w:dxaOrig="220" w:dyaOrig="360">
          <v:shape id="_x0000_i1347" type="#_x0000_t75" style="width:10.75pt;height:18.25pt" o:ole="">
            <v:imagedata r:id="rId12" o:title=""/>
          </v:shape>
          <o:OLEObject Type="Embed" ProgID="Equation.DSMT4" ShapeID="_x0000_i1347" DrawAspect="Content" ObjectID="_1840398280" r:id="rId13"/>
        </w:object>
      </w:r>
      <w:r>
        <w:rPr>
          <w:color w:val="000000"/>
        </w:rPr>
        <w:t xml:space="preserve"> вычисляется модуль вектора полной скорости летательного аппарата:</w:t>
      </w:r>
    </w:p>
    <w:p w:rsidR="00000000" w:rsidRDefault="001862D6" w:rsidP="001862D6">
      <w:pPr>
        <w:jc w:val="center"/>
        <w:divId w:val="767893859"/>
        <w:rPr>
          <w:rFonts w:eastAsia="Times New Roman"/>
          <w:color w:val="000000"/>
        </w:rPr>
      </w:pPr>
      <w:r w:rsidRPr="001862D6">
        <w:rPr>
          <w:position w:val="-16"/>
        </w:rPr>
        <w:object w:dxaOrig="2460" w:dyaOrig="480">
          <v:shape id="_x0000_i1127" type="#_x0000_t75" style="width:122.5pt;height:23.65pt" o:ole="">
            <v:imagedata r:id="rId14" o:title=""/>
          </v:shape>
          <o:OLEObject Type="Embed" ProgID="Equation.DSMT4" ShapeID="_x0000_i1127" DrawAspect="Content" ObjectID="_1840398281" r:id="rId15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>Вектор относит</w:t>
      </w:r>
      <w:r>
        <w:rPr>
          <w:color w:val="000000"/>
        </w:rPr>
        <w:t xml:space="preserve">ельной скорости сближения в декартовой системе координат определяется через дифференцирование дальности (промаха), где в </w:t>
      </w:r>
      <w:proofErr w:type="spellStart"/>
      <w:r>
        <w:rPr>
          <w:color w:val="000000"/>
        </w:rPr>
        <w:t>квазипрямолинейном</w:t>
      </w:r>
      <w:proofErr w:type="spellEnd"/>
      <w:r>
        <w:rPr>
          <w:color w:val="000000"/>
        </w:rPr>
        <w:t xml:space="preserve"> приближении скорость сближения </w:t>
      </w:r>
      <w:r w:rsidR="001862D6" w:rsidRPr="001862D6">
        <w:rPr>
          <w:position w:val="-14"/>
        </w:rPr>
        <w:object w:dxaOrig="600" w:dyaOrig="400">
          <v:shape id="_x0000_i1337" type="#_x0000_t75" style="width:30.1pt;height:20.4pt" o:ole="">
            <v:imagedata r:id="rId16" o:title=""/>
          </v:shape>
          <o:OLEObject Type="Embed" ProgID="Equation.DSMT4" ShapeID="_x0000_i1337" DrawAspect="Content" ObjectID="_1840398282" r:id="rId17"/>
        </w:object>
      </w:r>
      <w:r>
        <w:rPr>
          <w:color w:val="000000"/>
        </w:rPr>
        <w:t xml:space="preserve"> полагается равной </w:t>
      </w:r>
      <w:r w:rsidR="001862D6" w:rsidRPr="001862D6">
        <w:rPr>
          <w:position w:val="-14"/>
        </w:rPr>
        <w:object w:dxaOrig="720" w:dyaOrig="380">
          <v:shape id="_x0000_i1327" type="#_x0000_t75" style="width:36.55pt;height:19.35pt" o:ole="">
            <v:imagedata r:id="rId18" o:title=""/>
          </v:shape>
          <o:OLEObject Type="Embed" ProgID="Equation.DSMT4" ShapeID="_x0000_i1327" DrawAspect="Content" ObjectID="_1840398283" r:id="rId19"/>
        </w:object>
      </w:r>
      <w:r>
        <w:rPr>
          <w:color w:val="000000"/>
        </w:rPr>
        <w:t>. Оставшееся время до расчетно</w:t>
      </w:r>
      <w:r>
        <w:rPr>
          <w:color w:val="000000"/>
        </w:rPr>
        <w:t>й точки динамической встречи (</w:t>
      </w:r>
      <w:proofErr w:type="spellStart"/>
      <w:r>
        <w:rPr>
          <w:color w:val="000000"/>
        </w:rPr>
        <w:t>Time-to-Go</w:t>
      </w:r>
      <w:proofErr w:type="spellEnd"/>
      <w:r>
        <w:rPr>
          <w:color w:val="000000"/>
        </w:rPr>
        <w:t>) имеет вид:</w:t>
      </w:r>
    </w:p>
    <w:p w:rsidR="00000000" w:rsidRDefault="001862D6" w:rsidP="001862D6">
      <w:pPr>
        <w:jc w:val="center"/>
        <w:divId w:val="1421946200"/>
        <w:rPr>
          <w:rFonts w:eastAsia="Times New Roman"/>
          <w:color w:val="000000"/>
        </w:rPr>
      </w:pPr>
      <w:r w:rsidRPr="001862D6">
        <w:rPr>
          <w:position w:val="-32"/>
        </w:rPr>
        <w:object w:dxaOrig="1300" w:dyaOrig="720">
          <v:shape id="_x0000_i1117" type="#_x0000_t75" style="width:64.5pt;height:36.55pt" o:ole="">
            <v:imagedata r:id="rId20" o:title=""/>
          </v:shape>
          <o:OLEObject Type="Embed" ProgID="Equation.DSMT4" ShapeID="_x0000_i1117" DrawAspect="Content" ObjectID="_1840398284" r:id="rId21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Текущий радиальный размер пространственной зоны неопределенности местоопределения (облако ошибок триангуляции по доверительному уровню </w:t>
      </w:r>
      <w:r w:rsidR="001862D6" w:rsidRPr="001862D6">
        <w:rPr>
          <w:position w:val="-6"/>
        </w:rPr>
        <w:object w:dxaOrig="360" w:dyaOrig="279">
          <v:shape id="_x0000_i1317" type="#_x0000_t75" style="width:18.25pt;height:13.95pt" o:ole="">
            <v:imagedata r:id="rId22" o:title=""/>
          </v:shape>
          <o:OLEObject Type="Embed" ProgID="Equation.DSMT4" ShapeID="_x0000_i1317" DrawAspect="Content" ObjectID="_1840398285" r:id="rId23"/>
        </w:object>
      </w:r>
      <w:r>
        <w:rPr>
          <w:color w:val="000000"/>
        </w:rPr>
        <w:t>) рассчит</w:t>
      </w:r>
      <w:r>
        <w:rPr>
          <w:color w:val="000000"/>
        </w:rPr>
        <w:t xml:space="preserve">ывается на основе спектрального радиуса матрицы </w:t>
      </w:r>
      <w:r w:rsidR="001862D6" w:rsidRPr="001862D6">
        <w:rPr>
          <w:position w:val="-12"/>
        </w:rPr>
        <w:object w:dxaOrig="340" w:dyaOrig="360">
          <v:shape id="_x0000_i1307" type="#_x0000_t75" style="width:17.2pt;height:18.25pt" o:ole="">
            <v:imagedata r:id="rId24" o:title=""/>
          </v:shape>
          <o:OLEObject Type="Embed" ProgID="Equation.DSMT4" ShapeID="_x0000_i1307" DrawAspect="Content" ObjectID="_1840398286" r:id="rId25"/>
        </w:object>
      </w:r>
      <w:r>
        <w:rPr>
          <w:color w:val="000000"/>
        </w:rPr>
        <w:t xml:space="preserve"> через её максимальное собственное значение, аппроксимируемое диагональными элементами:</w:t>
      </w:r>
    </w:p>
    <w:p w:rsidR="00000000" w:rsidRDefault="001862D6" w:rsidP="001862D6">
      <w:pPr>
        <w:jc w:val="center"/>
        <w:divId w:val="740566007"/>
        <w:rPr>
          <w:rFonts w:eastAsia="Times New Roman"/>
          <w:color w:val="000000"/>
        </w:rPr>
      </w:pPr>
      <w:r w:rsidRPr="001862D6">
        <w:rPr>
          <w:position w:val="-18"/>
        </w:rPr>
        <w:object w:dxaOrig="3180" w:dyaOrig="499">
          <v:shape id="_x0000_i1107" type="#_x0000_t75" style="width:159.05pt;height:24.7pt" o:ole="">
            <v:imagedata r:id="rId26" o:title=""/>
          </v:shape>
          <o:OLEObject Type="Embed" ProgID="Equation.DSMT4" ShapeID="_x0000_i1107" DrawAspect="Content" ObjectID="_1840398287" r:id="rId27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Математ</w:t>
      </w:r>
      <w:r>
        <w:rPr>
          <w:rFonts w:eastAsia="Times New Roman"/>
          <w:color w:val="000000"/>
        </w:rPr>
        <w:t>ические условия автономной отмены целевой задачи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>Решение об отмене полёта на текущий источник излучения принимается при истинности обобщенного логического предиката, объединяющего три физических критерия эффективности:</w:t>
      </w:r>
    </w:p>
    <w:p w:rsidR="00000000" w:rsidRDefault="001862D6" w:rsidP="001862D6">
      <w:pPr>
        <w:jc w:val="center"/>
        <w:divId w:val="1021707826"/>
        <w:rPr>
          <w:rFonts w:eastAsia="Times New Roman"/>
          <w:color w:val="000000"/>
        </w:rPr>
      </w:pPr>
      <w:r w:rsidRPr="001862D6">
        <w:rPr>
          <w:position w:val="-14"/>
        </w:rPr>
        <w:object w:dxaOrig="4040" w:dyaOrig="380">
          <v:shape id="_x0000_i1097" type="#_x0000_t75" style="width:202.05pt;height:19.35pt" o:ole="">
            <v:imagedata r:id="rId28" o:title=""/>
          </v:shape>
          <o:OLEObject Type="Embed" ProgID="Equation.DSMT4" ShapeID="_x0000_i1097" DrawAspect="Content" ObjectID="_1840398288" r:id="rId29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3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Критерий деградации временного резерва (</w:t>
      </w:r>
      <w:r w:rsidR="001862D6" w:rsidRPr="001862D6">
        <w:rPr>
          <w:position w:val="-12"/>
        </w:rPr>
        <w:object w:dxaOrig="440" w:dyaOrig="360">
          <v:shape id="_x0000_i1297" type="#_x0000_t75" style="width:21.5pt;height:18.25pt" o:ole="">
            <v:imagedata r:id="rId30" o:title=""/>
          </v:shape>
          <o:OLEObject Type="Embed" ProgID="Equation.DSMT4" ShapeID="_x0000_i1297" DrawAspect="Content" ObjectID="_1840398289" r:id="rId31"/>
        </w:object>
      </w:r>
      <w:r>
        <w:rPr>
          <w:rFonts w:eastAsia="Times New Roman"/>
          <w:color w:val="000000"/>
        </w:rPr>
        <w:t>)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Условие описывает ситуацию, при которой оставшийся кинематический ресурс времени сближения </w:t>
      </w:r>
      <w:r w:rsidR="001862D6" w:rsidRPr="001862D6">
        <w:rPr>
          <w:position w:val="-14"/>
        </w:rPr>
        <w:object w:dxaOrig="460" w:dyaOrig="380">
          <v:shape id="_x0000_i1287" type="#_x0000_t75" style="width:22.55pt;height:19.35pt" o:ole="">
            <v:imagedata r:id="rId32" o:title=""/>
          </v:shape>
          <o:OLEObject Type="Embed" ProgID="Equation.DSMT4" ShapeID="_x0000_i1287" DrawAspect="Content" ObjectID="_1840398290" r:id="rId33"/>
        </w:object>
      </w:r>
      <w:r>
        <w:rPr>
          <w:color w:val="000000"/>
        </w:rPr>
        <w:t xml:space="preserve"> меньше минимально необходимого времени </w:t>
      </w:r>
      <w:r w:rsidR="001862D6" w:rsidRPr="001862D6">
        <w:rPr>
          <w:position w:val="-12"/>
        </w:rPr>
        <w:object w:dxaOrig="740" w:dyaOrig="360">
          <v:shape id="_x0000_i1277" type="#_x0000_t75" style="width:36.55pt;height:18.25pt" o:ole="">
            <v:imagedata r:id="rId34" o:title=""/>
          </v:shape>
          <o:OLEObject Type="Embed" ProgID="Equation.DSMT4" ShapeID="_x0000_i1277" DrawAspect="Content" ObjectID="_1840398291" r:id="rId35"/>
        </w:object>
      </w:r>
      <w:r>
        <w:rPr>
          <w:color w:val="000000"/>
        </w:rPr>
        <w:t xml:space="preserve">, требуемого САУ для отработки динамического маневра совмещения, при этом текущий размер облака ошибок </w:t>
      </w:r>
      <w:r w:rsidR="001862D6" w:rsidRPr="001862D6">
        <w:rPr>
          <w:position w:val="-14"/>
        </w:rPr>
        <w:object w:dxaOrig="639" w:dyaOrig="380">
          <v:shape id="_x0000_i1267" type="#_x0000_t75" style="width:32.25pt;height:19.35pt" o:ole="">
            <v:imagedata r:id="rId36" o:title=""/>
          </v:shape>
          <o:OLEObject Type="Embed" ProgID="Equation.DSMT4" ShapeID="_x0000_i1267" DrawAspect="Content" ObjectID="_1840398292" r:id="rId37"/>
        </w:object>
      </w:r>
      <w:r>
        <w:rPr>
          <w:color w:val="000000"/>
        </w:rPr>
        <w:t xml:space="preserve"> превышает радиус гарантированного поражения цели </w:t>
      </w:r>
      <w:r w:rsidR="001862D6" w:rsidRPr="001862D6">
        <w:rPr>
          <w:position w:val="-12"/>
        </w:rPr>
        <w:object w:dxaOrig="540" w:dyaOrig="360">
          <v:shape id="_x0000_i1257" type="#_x0000_t75" style="width:26.85pt;height:18.25pt" o:ole="">
            <v:imagedata r:id="rId38" o:title=""/>
          </v:shape>
          <o:OLEObject Type="Embed" ProgID="Equation.DSMT4" ShapeID="_x0000_i1257" DrawAspect="Content" ObjectID="_1840398293" r:id="rId39"/>
        </w:object>
      </w:r>
      <w:r>
        <w:rPr>
          <w:color w:val="000000"/>
        </w:rPr>
        <w:t>:</w:t>
      </w:r>
    </w:p>
    <w:p w:rsidR="00000000" w:rsidRDefault="001862D6" w:rsidP="001862D6">
      <w:pPr>
        <w:jc w:val="center"/>
        <w:divId w:val="1224875878"/>
        <w:rPr>
          <w:rFonts w:eastAsia="Times New Roman"/>
          <w:color w:val="000000"/>
        </w:rPr>
      </w:pPr>
      <w:r w:rsidRPr="001862D6">
        <w:rPr>
          <w:position w:val="-50"/>
        </w:rPr>
        <w:object w:dxaOrig="4860" w:dyaOrig="1120">
          <v:shape id="_x0000_i1087" type="#_x0000_t75" style="width:242.85pt;height:55.9pt" o:ole="">
            <v:imagedata r:id="rId40" o:title=""/>
          </v:shape>
          <o:OLEObject Type="Embed" ProgID="Equation.DSMT4" ShapeID="_x0000_i1087" DrawAspect="Content" ObjectID="_1840398294" r:id="rId41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3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Критерий пространственной нестабильности оценок при отстреле ловушек (</w:t>
      </w:r>
      <w:r w:rsidR="001862D6" w:rsidRPr="001862D6">
        <w:rPr>
          <w:position w:val="-14"/>
        </w:rPr>
        <w:object w:dxaOrig="520" w:dyaOrig="380">
          <v:shape id="_x0000_i1247" type="#_x0000_t75" style="width:25.8pt;height:19.35pt" o:ole="">
            <v:imagedata r:id="rId42" o:title=""/>
          </v:shape>
          <o:OLEObject Type="Embed" ProgID="Equation.DSMT4" ShapeID="_x0000_i1247" DrawAspect="Content" ObjectID="_1840398295" r:id="rId43"/>
        </w:object>
      </w:r>
      <w:r>
        <w:rPr>
          <w:rFonts w:eastAsia="Times New Roman"/>
          <w:color w:val="000000"/>
        </w:rPr>
        <w:t>)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При применении источником излучения средств пространственно-распределенного противодействия (отстрел ложных угловых целей, ловушек) оценки координат </w:t>
      </w:r>
      <w:r w:rsidR="001862D6" w:rsidRPr="001862D6">
        <w:rPr>
          <w:position w:val="-12"/>
        </w:rPr>
        <w:object w:dxaOrig="320" w:dyaOrig="360">
          <v:shape id="_x0000_i1237" type="#_x0000_t75" style="width:16.1pt;height:18.25pt" o:ole="">
            <v:imagedata r:id="rId44" o:title=""/>
          </v:shape>
          <o:OLEObject Type="Embed" ProgID="Equation.DSMT4" ShapeID="_x0000_i1237" DrawAspect="Content" ObjectID="_1840398296" r:id="rId45"/>
        </w:object>
      </w:r>
      <w:r>
        <w:rPr>
          <w:color w:val="000000"/>
        </w:rPr>
        <w:t xml:space="preserve"> теряют точку сходимости. Математическая модель фиксирует этот процесс через вычисление прост</w:t>
      </w:r>
      <w:r>
        <w:rPr>
          <w:color w:val="000000"/>
        </w:rPr>
        <w:t xml:space="preserve">ранственной дисперсии (разброса) вектора целей в скользящем окне памяти глубиной </w:t>
      </w:r>
      <w:r w:rsidR="001862D6" w:rsidRPr="001862D6">
        <w:rPr>
          <w:position w:val="-12"/>
        </w:rPr>
        <w:object w:dxaOrig="360" w:dyaOrig="360">
          <v:shape id="_x0000_i1227" type="#_x0000_t75" style="width:18.25pt;height:18.25pt" o:ole="">
            <v:imagedata r:id="rId46" o:title=""/>
          </v:shape>
          <o:OLEObject Type="Embed" ProgID="Equation.DSMT4" ShapeID="_x0000_i1227" DrawAspect="Content" ObjectID="_1840398297" r:id="rId47"/>
        </w:object>
      </w:r>
      <w:r>
        <w:rPr>
          <w:color w:val="000000"/>
        </w:rPr>
        <w:t xml:space="preserve"> относительно его текущего среднего математического ожидания </w:t>
      </w:r>
      <w:r w:rsidR="001862D6" w:rsidRPr="001862D6">
        <w:rPr>
          <w:position w:val="-12"/>
        </w:rPr>
        <w:object w:dxaOrig="320" w:dyaOrig="380">
          <v:shape id="_x0000_i1217" type="#_x0000_t75" style="width:16.1pt;height:19.35pt" o:ole="">
            <v:imagedata r:id="rId48" o:title=""/>
          </v:shape>
          <o:OLEObject Type="Embed" ProgID="Equation.DSMT4" ShapeID="_x0000_i1217" DrawAspect="Content" ObjectID="_1840398298" r:id="rId49"/>
        </w:object>
      </w:r>
      <w:r>
        <w:rPr>
          <w:color w:val="000000"/>
        </w:rPr>
        <w:t>:</w:t>
      </w:r>
    </w:p>
    <w:p w:rsidR="00000000" w:rsidRDefault="001862D6" w:rsidP="001862D6">
      <w:pPr>
        <w:jc w:val="center"/>
        <w:divId w:val="320473012"/>
        <w:rPr>
          <w:rFonts w:eastAsia="Times New Roman"/>
          <w:color w:val="000000"/>
        </w:rPr>
      </w:pPr>
      <w:r w:rsidRPr="001862D6">
        <w:rPr>
          <w:position w:val="-30"/>
        </w:rPr>
        <w:object w:dxaOrig="1740" w:dyaOrig="720">
          <v:shape id="_x0000_i1077" type="#_x0000_t75" style="width:87.05pt;height:36.55pt" o:ole="">
            <v:imagedata r:id="rId50" o:title=""/>
          </v:shape>
          <o:OLEObject Type="Embed" ProgID="Equation.DSMT4" ShapeID="_x0000_i1077" DrawAspect="Content" ObjectID="_1840398299" r:id="rId51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1862D6" w:rsidP="001862D6">
      <w:pPr>
        <w:jc w:val="center"/>
        <w:divId w:val="2102754560"/>
        <w:rPr>
          <w:rFonts w:eastAsia="Times New Roman"/>
          <w:color w:val="000000"/>
        </w:rPr>
      </w:pPr>
      <w:r w:rsidRPr="001862D6">
        <w:rPr>
          <w:position w:val="-30"/>
        </w:rPr>
        <w:object w:dxaOrig="3019" w:dyaOrig="720">
          <v:shape id="_x0000_i1067" type="#_x0000_t75" style="width:150.45pt;height:36.55pt" o:ole="">
            <v:imagedata r:id="rId52" o:title=""/>
          </v:shape>
          <o:OLEObject Type="Embed" ProgID="Equation.DSMT4" ShapeID="_x0000_i1067" DrawAspect="Content" ObjectID="_1840398300" r:id="rId53"/>
        </w:object>
      </w:r>
      <w:r w:rsidR="00852B0C">
        <w:rPr>
          <w:rFonts w:eastAsia="Times New Roman"/>
          <w:color w:val="000000"/>
        </w:rPr>
        <w:t xml:space="preserve"> </w:t>
      </w:r>
      <w:bookmarkStart w:id="0" w:name="_GoBack"/>
      <w:bookmarkEnd w:id="0"/>
    </w:p>
    <w:p w:rsidR="00000000" w:rsidRDefault="001862D6" w:rsidP="001862D6">
      <w:pPr>
        <w:jc w:val="center"/>
        <w:divId w:val="181407019"/>
        <w:rPr>
          <w:rFonts w:eastAsia="Times New Roman"/>
          <w:color w:val="000000"/>
        </w:rPr>
      </w:pPr>
      <w:r w:rsidRPr="001862D6">
        <w:rPr>
          <w:position w:val="-54"/>
        </w:rPr>
        <w:object w:dxaOrig="4780" w:dyaOrig="1200">
          <v:shape id="_x0000_i1057" type="#_x0000_t75" style="width:238.55pt;height:60.2pt" o:ole="">
            <v:imagedata r:id="rId54" o:title=""/>
          </v:shape>
          <o:OLEObject Type="Embed" ProgID="Equation.DSMT4" ShapeID="_x0000_i1057" DrawAspect="Content" ObjectID="_1840398301" r:id="rId55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3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Критерий скрытности и мерцания излучения (</w:t>
      </w:r>
      <w:r w:rsidR="001862D6" w:rsidRPr="001862D6">
        <w:rPr>
          <w:position w:val="-12"/>
        </w:rPr>
        <w:object w:dxaOrig="480" w:dyaOrig="360">
          <v:shape id="_x0000_i1207" type="#_x0000_t75" style="width:23.65pt;height:18.25pt" o:ole="">
            <v:imagedata r:id="rId56" o:title=""/>
          </v:shape>
          <o:OLEObject Type="Embed" ProgID="Equation.DSMT4" ShapeID="_x0000_i1207" DrawAspect="Content" ObjectID="_1840398302" r:id="rId57"/>
        </w:object>
      </w:r>
      <w:r>
        <w:rPr>
          <w:rFonts w:eastAsia="Times New Roman"/>
          <w:color w:val="000000"/>
        </w:rPr>
        <w:t>)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При переходе РЛС цели в прерывистый режим работы (мерцание) контроллер накапливает интегральное время активного приема сигналов </w:t>
      </w:r>
      <w:r w:rsidR="001862D6" w:rsidRPr="001862D6">
        <w:rPr>
          <w:position w:val="-12"/>
        </w:rPr>
        <w:object w:dxaOrig="520" w:dyaOrig="360">
          <v:shape id="_x0000_i1197" type="#_x0000_t75" style="width:25.8pt;height:18.25pt" o:ole="">
            <v:imagedata r:id="rId58" o:title=""/>
          </v:shape>
          <o:OLEObject Type="Embed" ProgID="Equation.DSMT4" ShapeID="_x0000_i1197" DrawAspect="Content" ObjectID="_1840398303" r:id="rId59"/>
        </w:object>
      </w:r>
      <w:r>
        <w:rPr>
          <w:color w:val="000000"/>
        </w:rPr>
        <w:t xml:space="preserve"> и время нахождения системы в режиме слепой экстраполяции </w:t>
      </w:r>
      <w:r w:rsidR="001862D6" w:rsidRPr="001862D6">
        <w:rPr>
          <w:position w:val="-12"/>
        </w:rPr>
        <w:object w:dxaOrig="580" w:dyaOrig="360">
          <v:shape id="_x0000_i1187" type="#_x0000_t75" style="width:29pt;height:18.25pt" o:ole="">
            <v:imagedata r:id="rId60" o:title=""/>
          </v:shape>
          <o:OLEObject Type="Embed" ProgID="Equation.DSMT4" ShapeID="_x0000_i1187" DrawAspect="Content" ObjectID="_1840398304" r:id="rId61"/>
        </w:object>
      </w:r>
      <w:r>
        <w:rPr>
          <w:color w:val="000000"/>
        </w:rPr>
        <w:t>. Информационный</w:t>
      </w:r>
      <w:r>
        <w:rPr>
          <w:color w:val="000000"/>
        </w:rPr>
        <w:t xml:space="preserve"> коэффициент достаточности </w:t>
      </w:r>
      <w:r w:rsidR="001862D6" w:rsidRPr="001862D6">
        <w:rPr>
          <w:position w:val="-12"/>
        </w:rPr>
        <w:object w:dxaOrig="279" w:dyaOrig="360">
          <v:shape id="_x0000_i1177" type="#_x0000_t75" style="width:13.95pt;height:18.25pt" o:ole="">
            <v:imagedata r:id="rId62" o:title=""/>
          </v:shape>
          <o:OLEObject Type="Embed" ProgID="Equation.DSMT4" ShapeID="_x0000_i1177" DrawAspect="Content" ObjectID="_1840398305" r:id="rId63"/>
        </w:object>
      </w:r>
      <w:r>
        <w:rPr>
          <w:color w:val="000000"/>
        </w:rPr>
        <w:t xml:space="preserve"> сопоставляет эти параметры:</w:t>
      </w:r>
    </w:p>
    <w:p w:rsidR="00000000" w:rsidRDefault="001862D6" w:rsidP="001862D6">
      <w:pPr>
        <w:jc w:val="center"/>
        <w:divId w:val="1021279735"/>
        <w:rPr>
          <w:rFonts w:eastAsia="Times New Roman"/>
          <w:color w:val="000000"/>
        </w:rPr>
      </w:pPr>
      <w:r w:rsidRPr="001862D6">
        <w:rPr>
          <w:position w:val="-30"/>
        </w:rPr>
        <w:object w:dxaOrig="1780" w:dyaOrig="680">
          <v:shape id="_x0000_i1047" type="#_x0000_t75" style="width:89.2pt;height:34.4pt" o:ole="">
            <v:imagedata r:id="rId64" o:title=""/>
          </v:shape>
          <o:OLEObject Type="Embed" ProgID="Equation.DSMT4" ShapeID="_x0000_i1047" DrawAspect="Content" ObjectID="_1840398306" r:id="rId65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1862D6" w:rsidP="001862D6">
      <w:pPr>
        <w:jc w:val="center"/>
        <w:divId w:val="729042413"/>
        <w:rPr>
          <w:rFonts w:eastAsia="Times New Roman"/>
          <w:color w:val="000000"/>
        </w:rPr>
      </w:pPr>
      <w:r w:rsidRPr="001862D6">
        <w:rPr>
          <w:position w:val="-50"/>
        </w:rPr>
        <w:object w:dxaOrig="5720" w:dyaOrig="1120">
          <v:shape id="_x0000_i1037" type="#_x0000_t75" style="width:285.85pt;height:55.9pt" o:ole="">
            <v:imagedata r:id="rId66" o:title=""/>
          </v:shape>
          <o:OLEObject Type="Embed" ProgID="Equation.DSMT4" ShapeID="_x0000_i1037" DrawAspect="Content" ObjectID="_1840398307" r:id="rId67"/>
        </w:object>
      </w:r>
      <w:r w:rsidR="00852B0C">
        <w:rPr>
          <w:rFonts w:eastAsia="Times New Roman"/>
          <w:color w:val="000000"/>
        </w:rPr>
        <w:t xml:space="preserve"> 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1862D6" w:rsidRPr="001862D6">
        <w:rPr>
          <w:position w:val="-6"/>
        </w:rPr>
        <w:object w:dxaOrig="660" w:dyaOrig="279">
          <v:shape id="_x0000_i1167" type="#_x0000_t75" style="width:33.3pt;height:13.95pt" o:ole="">
            <v:imagedata r:id="rId68" o:title=""/>
          </v:shape>
          <o:OLEObject Type="Embed" ProgID="Equation.DSMT4" ShapeID="_x0000_i1167" DrawAspect="Content" ObjectID="_1840398308" r:id="rId69"/>
        </w:object>
      </w:r>
      <w:r>
        <w:rPr>
          <w:color w:val="000000"/>
        </w:rPr>
        <w:t xml:space="preserve"> — малый параметр против деления на ноль, а </w:t>
      </w:r>
      <w:r w:rsidR="001862D6" w:rsidRPr="001862D6">
        <w:rPr>
          <w:position w:val="-12"/>
        </w:rPr>
        <w:object w:dxaOrig="340" w:dyaOrig="360">
          <v:shape id="_x0000_i1157" type="#_x0000_t75" style="width:17.2pt;height:18.25pt" o:ole="">
            <v:imagedata r:id="rId70" o:title=""/>
          </v:shape>
          <o:OLEObject Type="Embed" ProgID="Equation.DSMT4" ShapeID="_x0000_i1157" DrawAspect="Content" ObjectID="_1840398309" r:id="rId71"/>
        </w:object>
      </w:r>
      <w:r>
        <w:rPr>
          <w:color w:val="000000"/>
        </w:rPr>
        <w:t xml:space="preserve"> — время начального раскрытия измерительной базы.</w:t>
      </w:r>
    </w:p>
    <w:p w:rsidR="00000000" w:rsidRDefault="00852B0C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Логика подтверждения и сброса задачи</w:t>
      </w:r>
    </w:p>
    <w:p w:rsidR="00000000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>Результирующий статус выполнения боевого задания формируется на основе мгновенного значения логического триггера отмены:</w:t>
      </w:r>
    </w:p>
    <w:p w:rsidR="00000000" w:rsidRDefault="001862D6" w:rsidP="001862D6">
      <w:pPr>
        <w:jc w:val="center"/>
        <w:divId w:val="380059316"/>
        <w:rPr>
          <w:rFonts w:eastAsia="Times New Roman"/>
          <w:color w:val="000000"/>
        </w:rPr>
      </w:pPr>
      <w:r w:rsidRPr="001862D6">
        <w:rPr>
          <w:position w:val="-50"/>
        </w:rPr>
        <w:object w:dxaOrig="6740" w:dyaOrig="1120">
          <v:shape id="_x0000_i1027" type="#_x0000_t75" style="width:337.45pt;height:55.9pt" o:ole="">
            <v:imagedata r:id="rId72" o:title=""/>
          </v:shape>
          <o:OLEObject Type="Embed" ProgID="Equation.DSMT4" ShapeID="_x0000_i1027" DrawAspect="Content" ObjectID="_1840398310" r:id="rId73"/>
        </w:object>
      </w:r>
      <w:r w:rsidR="00852B0C">
        <w:rPr>
          <w:rFonts w:eastAsia="Times New Roman"/>
          <w:color w:val="000000"/>
        </w:rPr>
        <w:t xml:space="preserve"> </w:t>
      </w:r>
    </w:p>
    <w:p w:rsidR="00852B0C" w:rsidRDefault="00852B0C">
      <w:pPr>
        <w:pStyle w:val="a3"/>
        <w:jc w:val="both"/>
        <w:rPr>
          <w:color w:val="000000"/>
        </w:rPr>
      </w:pPr>
      <w:r>
        <w:rPr>
          <w:color w:val="000000"/>
        </w:rPr>
        <w:t xml:space="preserve">При переходе в состояние </w:t>
      </w:r>
      <w:r w:rsidR="001862D6" w:rsidRPr="001862D6">
        <w:rPr>
          <w:position w:val="-10"/>
        </w:rPr>
        <w:object w:dxaOrig="2400" w:dyaOrig="320">
          <v:shape id="_x0000_i1147" type="#_x0000_t75" style="width:120.35pt;height:16.1pt" o:ole="">
            <v:imagedata r:id="rId74" o:title=""/>
          </v:shape>
          <o:OLEObject Type="Embed" ProgID="Equation.DSMT4" ShapeID="_x0000_i1147" DrawAspect="Content" ObjectID="_1840398311" r:id="rId75"/>
        </w:object>
      </w:r>
      <w:r>
        <w:rPr>
          <w:color w:val="000000"/>
        </w:rPr>
        <w:t xml:space="preserve"> контроллер ПРГСН принудительно обнуляет регистры текущей цели (</w:t>
      </w:r>
      <w:r w:rsidR="001862D6" w:rsidRPr="001862D6">
        <w:rPr>
          <w:position w:val="-12"/>
        </w:rPr>
        <w:object w:dxaOrig="1340" w:dyaOrig="380">
          <v:shape id="_x0000_i1137" type="#_x0000_t75" style="width:66.65pt;height:19.35pt" o:ole="">
            <v:imagedata r:id="rId76" o:title=""/>
          </v:shape>
          <o:OLEObject Type="Embed" ProgID="Equation.DSMT4" ShapeID="_x0000_i1137" DrawAspect="Content" ObjectID="_1840398312" r:id="rId77"/>
        </w:object>
      </w:r>
      <w:r>
        <w:rPr>
          <w:color w:val="000000"/>
        </w:rPr>
        <w:t>), очищает измерительные буферы предыстории КЛО и выдает ко</w:t>
      </w:r>
      <w:r>
        <w:rPr>
          <w:color w:val="000000"/>
        </w:rPr>
        <w:t>манду на внешнюю САУ для изменения траектории полета в направлении следующей маршрутной точки.</w:t>
      </w:r>
    </w:p>
    <w:sectPr w:rsidR="00852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862D6"/>
    <w:rsid w:val="001862D6"/>
    <w:rsid w:val="0085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24FCE2-9A84-4881-8464-B8AA7C1F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75"/>
      <w:jc w:val="center"/>
      <w:outlineLvl w:val="0"/>
    </w:pPr>
    <w:rPr>
      <w:b/>
      <w:bCs/>
      <w:caps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000000"/>
      </w:pBdr>
      <w:spacing w:before="450" w:after="180"/>
      <w:outlineLvl w:val="1"/>
    </w:pPr>
    <w:rPr>
      <w:b/>
      <w:bCs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300" w:after="120"/>
      <w:outlineLvl w:val="2"/>
    </w:pPr>
    <w:rPr>
      <w:b/>
      <w:bCs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225"/>
      <w:ind w:firstLine="450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225"/>
      <w:ind w:firstLine="450"/>
    </w:pPr>
  </w:style>
  <w:style w:type="paragraph" w:customStyle="1" w:styleId="author-block">
    <w:name w:val="author-block"/>
    <w:basedOn w:val="a"/>
    <w:pPr>
      <w:spacing w:before="100" w:beforeAutospacing="1" w:after="450"/>
      <w:ind w:firstLine="450"/>
      <w:jc w:val="center"/>
    </w:pPr>
    <w:rPr>
      <w:i/>
      <w:iCs/>
      <w:sz w:val="21"/>
      <w:szCs w:val="21"/>
    </w:rPr>
  </w:style>
  <w:style w:type="paragraph" w:customStyle="1" w:styleId="equation">
    <w:name w:val="equation"/>
    <w:basedOn w:val="a"/>
    <w:pPr>
      <w:spacing w:before="225" w:after="225"/>
      <w:ind w:firstLine="45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0701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01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31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241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00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85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73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782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87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0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78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456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theme" Target="theme/theme1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Математическая модель логического супервизора ПРГСН</vt:lpstr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Математическая модель логического супервизора ПРГСН</dc:title>
  <dc:subject/>
  <dc:creator>pavrad</dc:creator>
  <cp:keywords/>
  <dc:description/>
  <cp:lastModifiedBy>pavrad</cp:lastModifiedBy>
  <cp:revision>2</cp:revision>
  <dcterms:created xsi:type="dcterms:W3CDTF">2026-05-15T20:56:00Z</dcterms:created>
  <dcterms:modified xsi:type="dcterms:W3CDTF">2026-05-15T20:56:00Z</dcterms:modified>
</cp:coreProperties>
</file>