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7AD85" w14:textId="55E93344" w:rsidR="006C49C9" w:rsidRDefault="00481770">
      <w:pPr>
        <w:pStyle w:val="PaperTitle"/>
        <w:spacing w:before="0"/>
        <w:rPr>
          <w:b w:val="0"/>
          <w:bCs/>
          <w:sz w:val="24"/>
          <w:szCs w:val="24"/>
        </w:rPr>
      </w:pPr>
      <w:r w:rsidRPr="00481770">
        <w:t>Fault-Tolerant Swarm Quadrotor Control for Non-Convex Geodetic Mapping</w:t>
      </w:r>
    </w:p>
    <w:p w14:paraId="1F15B780" w14:textId="77777777" w:rsidR="00022FC6" w:rsidRPr="00A765A2" w:rsidRDefault="00022FC6" w:rsidP="00022FC6">
      <w:pPr>
        <w:pStyle w:val="AuthorName"/>
        <w:rPr>
          <w:vertAlign w:val="superscript"/>
        </w:rPr>
      </w:pPr>
      <w:r>
        <w:t>Izma Alhazmi Herdian</w:t>
      </w:r>
      <w:r>
        <w:rPr>
          <w:vertAlign w:val="superscript"/>
        </w:rPr>
        <w:t>1, 2, a)</w:t>
      </w:r>
      <w:r>
        <w:t>, Sulthan Naufal Affan</w:t>
      </w:r>
      <w:r>
        <w:rPr>
          <w:vertAlign w:val="superscript"/>
        </w:rPr>
        <w:t>1, b)</w:t>
      </w:r>
      <w:r>
        <w:t>, Estiyanti Ekawati</w:t>
      </w:r>
      <w:r>
        <w:rPr>
          <w:vertAlign w:val="superscript"/>
        </w:rPr>
        <w:t>1, 2, c)</w:t>
      </w:r>
      <w:r>
        <w:t>, and Faqihza Mukhlish</w:t>
      </w:r>
      <w:r>
        <w:rPr>
          <w:vertAlign w:val="superscript"/>
        </w:rPr>
        <w:t>1, 2, d)</w:t>
      </w:r>
    </w:p>
    <w:p w14:paraId="1F2D7DF2" w14:textId="77777777" w:rsidR="00022FC6" w:rsidRDefault="00022FC6" w:rsidP="00022FC6">
      <w:pPr>
        <w:pStyle w:val="AuthorAffiliation"/>
      </w:pPr>
      <w:r>
        <w:rPr>
          <w:vertAlign w:val="superscript"/>
        </w:rPr>
        <w:t>1</w:t>
      </w:r>
      <w:r>
        <w:t>Engineering Physics Department, Institut Teknologi Bandung, Bandung 40132, Indonesia</w:t>
      </w:r>
    </w:p>
    <w:p w14:paraId="2F457B97" w14:textId="77777777" w:rsidR="00022FC6" w:rsidRDefault="00022FC6" w:rsidP="00022FC6">
      <w:pPr>
        <w:pStyle w:val="AuthorAffiliation"/>
      </w:pPr>
      <w:r>
        <w:rPr>
          <w:vertAlign w:val="superscript"/>
        </w:rPr>
        <w:t>2</w:t>
      </w:r>
      <w:r>
        <w:t>Center for Instrumentation Technology and Automation, Institut Teknologi Bandung, Bandung 40132, Indonesia</w:t>
      </w:r>
    </w:p>
    <w:p w14:paraId="17A31F0F" w14:textId="77777777" w:rsidR="00022FC6" w:rsidRDefault="00022FC6" w:rsidP="00022FC6">
      <w:pPr>
        <w:pStyle w:val="AuthorEmail"/>
        <w:spacing w:before="60"/>
      </w:pPr>
      <w:r>
        <w:rPr>
          <w:i/>
          <w:vertAlign w:val="superscript"/>
        </w:rPr>
        <w:t>a)</w:t>
      </w:r>
      <w:r>
        <w:rPr>
          <w:i/>
        </w:rPr>
        <w:t>Corresponding author: izmaherdian@gmail.com</w:t>
      </w:r>
    </w:p>
    <w:p w14:paraId="0C1A51FB" w14:textId="67EB35B3" w:rsidR="006C49C9" w:rsidRDefault="00022FC6" w:rsidP="00022FC6">
      <w:pPr>
        <w:pStyle w:val="AuthorEmail"/>
      </w:pPr>
      <w:r>
        <w:rPr>
          <w:i/>
          <w:vertAlign w:val="superscript"/>
        </w:rPr>
        <w:t>b)</w:t>
      </w:r>
      <w:r>
        <w:rPr>
          <w:i/>
        </w:rPr>
        <w:t xml:space="preserve">sulthannaufal96@gmail.com    </w:t>
      </w:r>
      <w:r>
        <w:rPr>
          <w:i/>
          <w:vertAlign w:val="superscript"/>
        </w:rPr>
        <w:t>c)</w:t>
      </w:r>
      <w:r>
        <w:rPr>
          <w:i/>
        </w:rPr>
        <w:t xml:space="preserve">esti@itb.ac.id    </w:t>
      </w:r>
      <w:r>
        <w:rPr>
          <w:i/>
          <w:vertAlign w:val="superscript"/>
        </w:rPr>
        <w:t>d)</w:t>
      </w:r>
      <w:r>
        <w:rPr>
          <w:i/>
        </w:rPr>
        <w:t>faqihza.m@itb.ac.id</w:t>
      </w:r>
    </w:p>
    <w:p w14:paraId="68C7D1D0" w14:textId="7A6061AB" w:rsidR="006C49C9" w:rsidRDefault="00000000" w:rsidP="009A6B81">
      <w:pPr>
        <w:pStyle w:val="Abstract"/>
      </w:pPr>
      <w:r>
        <w:rPr>
          <w:b/>
          <w:bCs/>
        </w:rPr>
        <w:t>Abstract.</w:t>
      </w:r>
      <w:r w:rsidR="009A6B81">
        <w:t xml:space="preserve"> </w:t>
      </w:r>
      <w:r w:rsidR="009A6B81" w:rsidRPr="009A6B81">
        <w:t>Autonomous swarm quadrotor systems are promising for large-scale geodetic mapping in complex environments.</w:t>
      </w:r>
      <w:r w:rsidR="009A6B81">
        <w:t xml:space="preserve"> </w:t>
      </w:r>
      <w:r w:rsidR="009A6B81" w:rsidRPr="009A6B81">
        <w:t>This paper proposes a three-layer control architecture for resilient non-convex geodetic mapping using a quadrotor swarm. The high-level layer integrates Voronoi-based non-convex region partitioning, Boustrophedon path planning, and Fault-Tolerant Cooperative Coverage (FT-CC) for adaptive task redistribution. The mid-level layer utilizes Optimal Reciprocal Collision Avoidance (ORCA) for decentralized collision-free navigation. The low-level layer employs a cascaded PID control architecture comparing optimal LQR and robust</w:t>
      </w:r>
      <w:r w:rsidR="009A6B81">
        <w:t xml:space="preserve"> </w:t>
      </w:r>
      <m:oMath>
        <m:sSub>
          <m:sSubPr>
            <m:ctrlPr>
              <w:rPr>
                <w:rFonts w:ascii="Cambria Math" w:hAnsi="Cambria Math"/>
                <w:i/>
              </w:rPr>
            </m:ctrlPr>
          </m:sSubPr>
          <m:e>
            <m:r>
              <w:rPr>
                <w:rFonts w:ascii="Cambria Math" w:hAnsi="Cambria Math"/>
              </w:rPr>
              <m:t>H</m:t>
            </m:r>
          </m:e>
          <m:sub>
            <m:r>
              <w:rPr>
                <w:rFonts w:ascii="Cambria Math" w:hAnsi="Cambria Math"/>
              </w:rPr>
              <m:t>∞</m:t>
            </m:r>
          </m:sub>
        </m:sSub>
      </m:oMath>
      <w:r w:rsidR="009A6B81">
        <w:t xml:space="preserve"> </w:t>
      </w:r>
      <w:r w:rsidR="009A6B81" w:rsidRPr="009A6B81">
        <w:t>synthesis for tracking under disturbances. Validated via ROS2, Gazebo, and PX4 SITL, preliminary simulation results demonstrate a 90–95% coverage completion of non-convex regions with zero inter-robot collisions, validating the framework's potential.</w:t>
      </w:r>
    </w:p>
    <w:p w14:paraId="54C90B47" w14:textId="104E7F02" w:rsidR="006C49C9" w:rsidRDefault="0083545C">
      <w:pPr>
        <w:pStyle w:val="Heading1"/>
        <w:rPr>
          <w:b w:val="0"/>
          <w:caps w:val="0"/>
          <w:sz w:val="20"/>
        </w:rPr>
      </w:pPr>
      <w:r>
        <w:t>INTRODUCTION</w:t>
      </w:r>
    </w:p>
    <w:p w14:paraId="7739F2F5" w14:textId="77777777" w:rsidR="00EA3DE3" w:rsidRDefault="009A6B81" w:rsidP="00EA3DE3">
      <w:pPr>
        <w:pStyle w:val="Paragraph"/>
      </w:pPr>
      <w:r w:rsidRPr="009A6B81">
        <w:t>Swarm quadrotor systems are vital for autonomous geodetic mapping in disaster response, precision agriculture, environmental surveillance, and infrastructure inspection. Coordinated swarms enable rapid data acquisition by partitioning large territories among multiple agents. However, these applications demand efficient non-convex region partitioning, robust flight control under environmental uncertainties, and resilient operation despite individual vehicle failures.</w:t>
      </w:r>
      <w:r w:rsidR="00EA3DE3">
        <w:t xml:space="preserve"> </w:t>
      </w:r>
    </w:p>
    <w:p w14:paraId="3FC28027" w14:textId="392C6560" w:rsidR="006C49C9" w:rsidRDefault="009A6B81" w:rsidP="00EA3DE3">
      <w:pPr>
        <w:pStyle w:val="Paragraph"/>
      </w:pPr>
      <w:r w:rsidRPr="009A6B81">
        <w:t>Current literature faces several critical gaps. Most coverage algorithms assume convex operational regions</w:t>
      </w:r>
      <w:r w:rsidR="00854A42">
        <w:fldChar w:fldCharType="begin"/>
      </w:r>
      <w:r w:rsidR="00854A42">
        <w:instrText xml:space="preserve"> ADDIN ZOTERO_ITEM CSL_CITATION {"citationID":"GKbeSQDY","properties":{"unsorted":false,"formattedCitation":"\\super 1\\nosupersub{}","plainCitation":"1","noteIndex":0},"citationItems":[{"id":513,"uris":["http://zotero.org/users/16725567/items/SDWERMAA"],"itemData":{"id":513,"type":"paper-conference","abstract":"The objective in this article is to develop a control strategy for coverage purposes of a convex region by a fleet of Mobile Aerial Agents (MAAs). Each MAA is equipped with a downward facing camera that senses a convex portion of the area while its altitude flight is constrained. Rather than relying on typical Voronoi-like tessellations of the area to be covered, a scheme focusing on the assignment to each MAA of certain parts of the mosaic of the current covered area is proposed. A gradient ascent algorithm is then employed to increase in a monotonic manner the covered area by the MAA-fleet. Simulation studies are offered to illustrate the effectiveness of the proposed scheme.","citation-key":"papatheodorouCooperativeVisualConvex2017","container-title":"2017 IEEE 56th Annual Conference on Decision and Control (CDC)","DOI":"10.1109/CDC.2017.8264348","note":"arXiv:2410.13422 [eess.SY]","page":"4662-4667","source":"arXiv.org","title":"Cooperative Visual Convex Area Coverage using a Tessellation-free Strategy","URL":"http://arxiv.org/abs/2410.13422","author":[{"family":"Papatheodorou","given":"Sotiris"},{"family":"Tzes","given":"Anthony"}],"accessed":{"date-parts":[["2026",7,26]]},"issued":{"date-parts":[["2017",12]]}}}],"schema":"https://github.com/citation-style-language/schema/raw/master/csl-citation.json"} </w:instrText>
      </w:r>
      <w:r w:rsidR="00854A42">
        <w:fldChar w:fldCharType="separate"/>
      </w:r>
      <w:r w:rsidR="00854A42" w:rsidRPr="00854A42">
        <w:rPr>
          <w:vertAlign w:val="superscript"/>
        </w:rPr>
        <w:t>1</w:t>
      </w:r>
      <w:r w:rsidR="00854A42">
        <w:fldChar w:fldCharType="end"/>
      </w:r>
      <w:r w:rsidRPr="009A6B81">
        <w:t>, end-to-end pipelines spanning partitioning to low-level rotor control remain scarce</w:t>
      </w:r>
      <w:r w:rsidR="007217BD">
        <w:fldChar w:fldCharType="begin"/>
      </w:r>
      <w:r w:rsidR="007217BD">
        <w:instrText xml:space="preserve"> ADDIN ZOTERO_ITEM CSL_CITATION {"citationID":"wQ0Fqq6p","properties":{"unsorted":false,"formattedCitation":"\\super 2\\nosupersub{}","plainCitation":"2","noteIndex":0},"citationItems":[{"id":519,"uris":["http://zotero.org/users/16725567/items/CZG3EHZ9"],"itemData":{"id":519,"type":"article-journal","abstract":"Aiming at the problem of low operating efficiency due to the poor endurance of plant protection rotor drones and the small volume of pesticide carried, this paper proposes a route-planning algorithm for convex polygon regions based on the initial heading angle. First, a series of coordinate conversion methods ranging from the Earth coordinate system to the local plane coordinate system are studied. Second, in the local plane coordinate system, a route generation method based on subregion is proposed; therefore, multiple routes can be generated with different initial heading angles. Lastly, the optimal route and the best initial heading angle can be obtained after the comparison according to the three evaluation criteria: number of turns, route distance, and pesticide waste rate. The simulation results show that, compared with the common grid method, the route generation method based on subregion reduces the route distance and pesticide waste rate by 2.27% and 13.75%, respectively. Furthermore, it also shows that, compared with the route generated by the initial heading angle of 0°, the optimal route reduces the number of turns, route distance, and pesticide waste rate by 60%, 17.65%, and 38.18%, respectively. The route was optimized in three aspects and reached the best overall result using this method, which in turn proved its feasibility.","citation-key":"huRoutePlanningMethodPlant2021","container-title":"Sensors","DOI":"10.3390/s21062221","ISSN":"1424-8220","issue":"6","language":"en","license":"http://creativecommons.org/licenses/by/3.0/","page":"2221","publisher":"Multidisciplinary Digital Publishing Institute","source":"www.mdpi.com","title":"Route-Planning Method for Plant Protection Rotor Drones in Convex Polygon Regions","URL":"https://www.mdpi.com/1424-8220/21/6/2221","volume":"21","author":[{"family":"Hu","given":"Shaoxing"},{"family":"Xu","given":"Tianliang"},{"family":"Wang","given":"Bingke"}],"accessed":{"date-parts":[["2026",7,26]]},"issued":{"date-parts":[["2021",1]]}}}],"schema":"https://github.com/citation-style-language/schema/raw/master/csl-citation.json"} </w:instrText>
      </w:r>
      <w:r w:rsidR="007217BD">
        <w:fldChar w:fldCharType="separate"/>
      </w:r>
      <w:r w:rsidR="007217BD" w:rsidRPr="007217BD">
        <w:rPr>
          <w:vertAlign w:val="superscript"/>
        </w:rPr>
        <w:t>2</w:t>
      </w:r>
      <w:r w:rsidR="007217BD">
        <w:fldChar w:fldCharType="end"/>
      </w:r>
      <w:r w:rsidRPr="009A6B81">
        <w:t>, fault tolerance under swarm communication or actuator failures is still underexplored</w:t>
      </w:r>
      <w:r w:rsidR="007217BD">
        <w:fldChar w:fldCharType="begin"/>
      </w:r>
      <w:r w:rsidR="007217BD">
        <w:instrText xml:space="preserve"> ADDIN ZOTERO_ITEM CSL_CITATION {"citationID":"n0Nehzuy","properties":{"unsorted":false,"formattedCitation":"\\super 3\\nosupersub{}","plainCitation":"3","noteIndex":0},"citationItems":[{"id":521,"uris":["http://zotero.org/users/16725567/items/99VERWS3"],"itemData":{"id":521,"type":"article-journal","abstract":"An active approach to fault tolerance is essential for robot swarms to achieve long-term autonomy. Previous efforts have focused on responding to spontaneous electro-mechanical faults and failures. However, many faults occur gradually over time. This work argues that the principles of predictive maintenance, in which potential faults are resolved before they hinder the operation of the swarm, offer a promising means of achieving long-term fault tolerance. This is a novel approach to swarm fault tolerance, which is shown to give a comparable or improved performance when tested against a reactive approach in almost all cases tested.","citation-key":"okeeffeAnticipatingDegradationPredictive2025","container-title":"IEEE Robotics and Automation Letters","DOI":"10.1109/LRA.2025.3592063","ISSN":"2377-3766","issue":"9","page":"8954-8961","source":"IEEE Xplore","title":"Anticipating Degradation: A Predictive Approach to Fault Tolerance in Robot Swarms","title-short":"Anticipating Degradation","URL":"https://ieeexplore.ieee.org/document/11091407","volume":"10","author":[{"family":"O'Keeffe","given":"James"}],"accessed":{"date-parts":[["2026",7,26]]},"issued":{"date-parts":[["2025",9]]}}}],"schema":"https://github.com/citation-style-language/schema/raw/master/csl-citation.json"} </w:instrText>
      </w:r>
      <w:r w:rsidR="007217BD">
        <w:fldChar w:fldCharType="separate"/>
      </w:r>
      <w:r w:rsidR="007217BD" w:rsidRPr="007217BD">
        <w:rPr>
          <w:vertAlign w:val="superscript"/>
        </w:rPr>
        <w:t>3</w:t>
      </w:r>
      <w:r w:rsidR="007217BD">
        <w:fldChar w:fldCharType="end"/>
      </w:r>
      <w:r w:rsidRPr="009A6B81">
        <w:t>, and validation is primarily conducted using simplified kinematic models rather than full quadrotor dynamics</w:t>
      </w:r>
      <w:r w:rsidR="007217BD">
        <w:fldChar w:fldCharType="begin"/>
      </w:r>
      <w:r w:rsidR="007217BD">
        <w:instrText xml:space="preserve"> ADDIN ZOTERO_ITEM CSL_CITATION {"citationID":"QDz6FRov","properties":{"unsorted":false,"formattedCitation":"\\super 4\\nosupersub{}","plainCitation":"4","noteIndex":0},"citationItems":[{"id":507,"uris":["http://zotero.org/users/16725567/items/V5JYIAPY"],"itemData":{"id":507,"type":"paper-conference","abstract":"In this paper, we propose different linearization control algorithms to solve the stabilization problem of the quadrotor. First we introduce the nonlinear model of the quadrotor. Then using tangent linearization method, a linear model is generated of the system where decentralized and centralized LQR control methods are applied. The second strategy is based on exact feedback linearization of the nonlinear model of the quadrotor. The comparison between these methods is highlighted by simulations to show effectiveness of the proposed methods.","citation-key":"belkheiriDifferentLinearizationControl2012a","container-title":"CCCA12","DOI":"10.1109/CCCA.2012.6417914","event-title":"2012 2nd International Conference on Communications, Computing and Control Applications (CCCA)","ISBN":"978-1-4673-4695-5","language":"en","page":"1-6","publisher":"IEEE","publisher-place":"Marseilles, France","source":"DOI.org (Crossref)","title":"Different linearization control techniques for a quadrotor system","URL":"http://ieeexplore.ieee.org/document/6417914/","author":[{"family":"Belkheiri","given":"M."},{"family":"Rabhi","given":"A."},{"family":"Hajjaji","given":"A. El"},{"family":"Pegard","given":"C."}],"accessed":{"date-parts":[["2026",7,24]]},"issued":{"date-parts":[["2012",12]]}}}],"schema":"https://github.com/citation-style-language/schema/raw/master/csl-citation.json"} </w:instrText>
      </w:r>
      <w:r w:rsidR="007217BD">
        <w:fldChar w:fldCharType="separate"/>
      </w:r>
      <w:r w:rsidR="007217BD" w:rsidRPr="007217BD">
        <w:rPr>
          <w:vertAlign w:val="superscript"/>
        </w:rPr>
        <w:t>4</w:t>
      </w:r>
      <w:r w:rsidR="007217BD">
        <w:fldChar w:fldCharType="end"/>
      </w:r>
      <w:r w:rsidRPr="009A6B81">
        <w:t>. To address these limitations, this paper proposes a unified three-layer architecture that integrates non-convex Voronoi partitioning, Boustrophedon planning, FT-CC, ORCA, and cascaded PID-LQR / PID-</w:t>
      </w:r>
      <m:oMath>
        <m:sSub>
          <m:sSubPr>
            <m:ctrlPr>
              <w:rPr>
                <w:rFonts w:ascii="Cambria Math" w:hAnsi="Cambria Math"/>
                <w:i/>
              </w:rPr>
            </m:ctrlPr>
          </m:sSubPr>
          <m:e>
            <m:r>
              <w:rPr>
                <w:rFonts w:ascii="Cambria Math" w:hAnsi="Cambria Math"/>
              </w:rPr>
              <m:t>H</m:t>
            </m:r>
          </m:e>
          <m:sub>
            <m:r>
              <w:rPr>
                <w:rFonts w:ascii="Cambria Math" w:hAnsi="Cambria Math"/>
              </w:rPr>
              <m:t>∞</m:t>
            </m:r>
          </m:sub>
        </m:sSub>
      </m:oMath>
      <w:r w:rsidRPr="009A6B81">
        <w:t xml:space="preserve"> robust control. The proposed framework is validated through high-fidelity simulations using ROS2, Gazebo, and PX4.</w:t>
      </w:r>
    </w:p>
    <w:p w14:paraId="2090BF74" w14:textId="7D0CAA08" w:rsidR="003C535B" w:rsidRDefault="0083545C" w:rsidP="003C535B">
      <w:pPr>
        <w:pStyle w:val="Heading1"/>
        <w:rPr>
          <w:b w:val="0"/>
          <w:caps w:val="0"/>
          <w:sz w:val="20"/>
        </w:rPr>
      </w:pPr>
      <w:r>
        <w:t>METHODOLOGY</w:t>
      </w:r>
    </w:p>
    <w:p w14:paraId="225D3011" w14:textId="5E4F755D" w:rsidR="003C535B" w:rsidRDefault="003C535B" w:rsidP="00481770">
      <w:pPr>
        <w:pStyle w:val="Paragraph"/>
      </w:pPr>
      <w:r>
        <w:t xml:space="preserve">The proposed architecture comprises three hierarchical layers operating in a closed loop </w:t>
      </w:r>
      <w:r w:rsidR="009A6B81">
        <w:t>(</w:t>
      </w:r>
      <w:r w:rsidR="0083545C">
        <w:fldChar w:fldCharType="begin"/>
      </w:r>
      <w:r w:rsidR="0083545C">
        <w:instrText xml:space="preserve"> REF _Ref235982751 \h </w:instrText>
      </w:r>
      <w:r w:rsidR="0083545C">
        <w:fldChar w:fldCharType="separate"/>
      </w:r>
      <w:r w:rsidR="0083545C">
        <w:t xml:space="preserve">Figure </w:t>
      </w:r>
      <w:r w:rsidR="0083545C">
        <w:rPr>
          <w:noProof/>
        </w:rPr>
        <w:t>1</w:t>
      </w:r>
      <w:r w:rsidR="0083545C">
        <w:fldChar w:fldCharType="end"/>
      </w:r>
      <w:r w:rsidR="009A6B81">
        <w:t>)</w:t>
      </w:r>
      <w:r>
        <w:t>. The high-level layer receives non-convex bounda</w:t>
      </w:r>
      <w:r w:rsidR="009A6B81">
        <w:t>ries</w:t>
      </w:r>
      <w:r>
        <w:t xml:space="preserve"> and initial </w:t>
      </w:r>
      <w:r w:rsidR="009A6B81">
        <w:t>poses</w:t>
      </w:r>
      <w:r>
        <w:t xml:space="preserve"> </w:t>
      </w:r>
      <w:r w:rsidR="00FF34D8" w:rsidRPr="00FF34D8">
        <w:t>to perform obstacle-aware Voronoi tessellation, partitioning the sub-regions for individual quadrotors</w:t>
      </w:r>
      <w:r w:rsidR="00110F86">
        <w:fldChar w:fldCharType="begin"/>
      </w:r>
      <w:r w:rsidR="00110F86">
        <w:instrText xml:space="preserve"> ADDIN ZOTERO_ITEM CSL_CITATION {"citationID":"HCimNC9h","properties":{"unsorted":false,"formattedCitation":"\\super 5\\nosupersub{}","plainCitation":"5","noteIndex":0},"citationItems":[{"id":523,"uris":["http://zotero.org/users/16725567/items/JQ7YFFNK"],"itemData":{"id":523,"type":"article-journal","abstract":"Voronoi diagrams are widely used for area partitioning and coverage control. Nevertheless, their utilization in non-convex domains often necessitates additional computational procedures, such as diffeomorphism application, geodesic distance calculations, or the integration of local markers. Extending these techniques across diverse non-convex domains proves challenging. This paper introduces the adaptive centroidal Voronoi tessellation ( \\alpha CVT) algorithm, which combines iterative centroidal Voronoi tessellation ( i CVT) with an innovative agent dropout and reinsertion strategy. This integration aims to enhance area coverage control in non-convex domains while maintaining adaptability across varied environments without the need for complex computational processes. The efficacy of this approach is validated through simulations involving non-convex domains with disjoint target areas, obstacles, and shape constraints for both homogeneous and heterogeneous agents. Additionally, the \\alpha CVT algorithm is extended for real-time coverage control scenarios. Performance metrics are employed to assess the distribution of partitioned Voronoi regions and the overall coverage of the target areas. Results demonstrate improved performance compared to methods that do not incorporate the agent dropout and reinsertion strategy.","citation-key":"leeAdaptiveCentroidalVoronoi2024","container-title":"IEEE Access","DOI":"10.1109/ACCESS.2024.3351052","ISSN":"2169-3536","page":"5503-5516","source":"IEEE Xplore","title":"Adaptive Centroidal Voronoi Tessellation With Agent Dropout and Reinsertion for Multi-Agent Non-Convex Area Coverage","URL":"https://ieeexplore.ieee.org/document/10382493","volume":"12","author":[{"family":"Lee","given":"Kangneoung"},{"family":"Lee","given":"Kiju"}],"accessed":{"date-parts":[["2026",7,26]]},"issued":{"date-parts":[["2024"]]}}}],"schema":"https://github.com/citation-style-language/schema/raw/master/csl-citation.json"} </w:instrText>
      </w:r>
      <w:r w:rsidR="00110F86">
        <w:fldChar w:fldCharType="separate"/>
      </w:r>
      <w:r w:rsidR="00110F86" w:rsidRPr="00110F86">
        <w:rPr>
          <w:vertAlign w:val="superscript"/>
        </w:rPr>
        <w:t>5</w:t>
      </w:r>
      <w:r w:rsidR="00110F86">
        <w:fldChar w:fldCharType="end"/>
      </w:r>
      <w:r w:rsidR="00FF34D8" w:rsidRPr="00FF34D8">
        <w:t>.</w:t>
      </w:r>
      <w:r>
        <w:t xml:space="preserve"> Boustrophedon sweeping </w:t>
      </w:r>
      <w:r w:rsidR="00FF34D8">
        <w:t xml:space="preserve">then </w:t>
      </w:r>
      <w:r>
        <w:t>generates optimal</w:t>
      </w:r>
      <w:r w:rsidR="00FF34D8">
        <w:t xml:space="preserve">, </w:t>
      </w:r>
      <w:r w:rsidR="00FF34D8" w:rsidRPr="00FF34D8">
        <w:t>energy-efficient coverage paths</w:t>
      </w:r>
      <w:r w:rsidR="00110F86">
        <w:fldChar w:fldCharType="begin"/>
      </w:r>
      <w:r w:rsidR="00110F86">
        <w:instrText xml:space="preserve"> ADDIN ZOTERO_ITEM CSL_CITATION {"citationID":"5kybsN1h","properties":{"unsorted":false,"formattedCitation":"\\super 6\\nosupersub{}","plainCitation":"6","noteIndex":0},"citationItems":[{"id":525,"uris":["http://zotero.org/users/16725567/items/LFBSHJZ9"],"itemData":{"id":525,"type":"paper-conference","abstract":"This paper presents a solution to decentralized Voronoi coverage in non-convex polygonal environments. We show that complications arise when existing approaches to Voronoi coverage are applied for deploying a group of robots in non-convex environments. We present an algorithm that is guaranteed to converge to a local optimum. Our algorithm combines classical Voronoi coverage with the Lloyd algorithm and the local path planning algorithm TangentBug to compute the motion of the robots around obstacles and corners. We present the algorithm and prove convergence and optimality. We also discuss experimental results from an implementation with five robots.","citation-key":"breitenmoserVoronoiCoverageNonconvex2010","container-title":"2010 IEEE International Conference on Robotics and Automation","DOI":"10.1109/ROBOT.2010.5509696","event-title":"2010 IEEE International Conference on Robotics and Automation","ISSN":"1050-4729","note":"ISSN: 1050-4729","page":"4982-4989","source":"IEEE Xplore","title":"Voronoi coverage of non-convex environments with a group of networked robots","URL":"https://ieeexplore.ieee.org/document/5509696","author":[{"family":"Breitenmoser","given":"Andreas"},{"family":"Schwager","given":"Mac"},{"family":"Metzger","given":"Jean-Claude"},{"family":"Siegwart","given":"Roland"},{"family":"Rus","given":"Daniela"}],"accessed":{"date-parts":[["2026",7,26]]},"issued":{"date-parts":[["2010",5]]}}}],"schema":"https://github.com/citation-style-language/schema/raw/master/csl-citation.json"} </w:instrText>
      </w:r>
      <w:r w:rsidR="00110F86">
        <w:fldChar w:fldCharType="separate"/>
      </w:r>
      <w:r w:rsidR="00110F86" w:rsidRPr="00110F86">
        <w:rPr>
          <w:vertAlign w:val="superscript"/>
        </w:rPr>
        <w:t>6</w:t>
      </w:r>
      <w:r w:rsidR="00110F86">
        <w:fldChar w:fldCharType="end"/>
      </w:r>
      <w:r w:rsidR="00FF34D8" w:rsidRPr="00FF34D8">
        <w:t>. Concurrently, the FT-CC module monitors agent health via peer-to-peer heartbeats, triggering automated re-tessellation among surviving operational agents upon actuator or communication failure to redistribute tasks</w:t>
      </w:r>
      <w:r w:rsidR="00110F86">
        <w:fldChar w:fldCharType="begin"/>
      </w:r>
      <w:r w:rsidR="00110F86">
        <w:instrText xml:space="preserve"> ADDIN ZOTERO_ITEM CSL_CITATION {"citationID":"tvCOIUKO","properties":{"unsorted":false,"formattedCitation":"\\super 3\\nosupersub{}","plainCitation":"3","noteIndex":0},"citationItems":[{"id":521,"uris":["http://zotero.org/users/16725567/items/99VERWS3"],"itemData":{"id":521,"type":"article-journal","abstract":"An active approach to fault tolerance is essential for robot swarms to achieve long-term autonomy. Previous efforts have focused on responding to spontaneous electro-mechanical faults and failures. However, many faults occur gradually over time. This work argues that the principles of predictive maintenance, in which potential faults are resolved before they hinder the operation of the swarm, offer a promising means of achieving long-term fault tolerance. This is a novel approach to swarm fault tolerance, which is shown to give a comparable or improved performance when tested against a reactive approach in almost all cases tested.","citation-key":"okeeffeAnticipatingDegradationPredictive2025","container-title":"IEEE Robotics and Automation Letters","DOI":"10.1109/LRA.2025.3592063","ISSN":"2377-3766","issue":"9","page":"8954-8961","source":"IEEE Xplore","title":"Anticipating Degradation: A Predictive Approach to Fault Tolerance in Robot Swarms","title-short":"Anticipating Degradation","URL":"https://ieeexplore.ieee.org/document/11091407","volume":"10","author":[{"family":"O'Keeffe","given":"James"}],"accessed":{"date-parts":[["2026",7,26]]},"issued":{"date-parts":[["2025",9]]}}}],"schema":"https://github.com/citation-style-language/schema/raw/master/csl-citation.json"} </w:instrText>
      </w:r>
      <w:r w:rsidR="00110F86">
        <w:fldChar w:fldCharType="separate"/>
      </w:r>
      <w:r w:rsidR="00110F86" w:rsidRPr="00110F86">
        <w:rPr>
          <w:vertAlign w:val="superscript"/>
        </w:rPr>
        <w:t>3</w:t>
      </w:r>
      <w:r w:rsidR="00110F86">
        <w:fldChar w:fldCharType="end"/>
      </w:r>
      <w:r w:rsidR="00FF34D8" w:rsidRPr="00FF34D8">
        <w:t>. Generated waypoints are passed to the mid-level layer.</w:t>
      </w:r>
      <w:r w:rsidR="00481770">
        <w:t xml:space="preserve"> </w:t>
      </w:r>
      <w:r w:rsidR="00FF34D8" w:rsidRPr="00FF34D8">
        <w:t>The mid-level layer implements decentralized ORCA for collision avoidance</w:t>
      </w:r>
      <w:r w:rsidR="007B2651">
        <w:fldChar w:fldCharType="begin"/>
      </w:r>
      <w:r w:rsidR="007B2651">
        <w:instrText xml:space="preserve"> ADDIN ZOTERO_ITEM CSL_CITATION {"citationID":"VEOZHfJV","properties":{"unsorted":false,"formattedCitation":"\\super 7\\nosupersub{}","plainCitation":"7","noteIndex":0},"citationItems":[{"id":534,"uris":["http://zotero.org/users/16725567/items/RGDNVH5L"],"itemData":{"id":534,"type":"article-journal","abstract":"Multi-robot coverage systems are widely used in operations such as environmental monitoring, disaster rescue, and pollution prevention. This study considers inherent positioning errors in positioning systems and ground mobile robots with limited communication distance and poor quality in practice. A centroidal Voronoi tessellation algorithm-based formation control technology for multi-robots is optimized. First, by constructing buffered Voronoi cells (BUVCs) for each robot, the collision avoidance ability of the multi-robot formation movement is improved. Next, the formation control problem of multi-robots in a limited communication range and non-convex environment is realized via discrete Voronoi partitioning, a communication distance constraint, and an obstacle avoidance strategy. Simulation and experiment results demonstrate that the proposed method can effectively solve the position generation problem of multi-robot coverage systems in a non-convex environment with actual sizes of the robots and positioning system errors and can further improve the collision avoidance performance of robots and the robustness of BUVC algorithms.","citation-key":"caoDistributedWeightedCoverage2023","container-title":"Applied Sciences","DOI":"10.3390/app13148530","ISSN":"2076-3417","issue":"14","language":"en","license":"http://creativecommons.org/licenses/by/3.0/","page":"8530","publisher":"Multidisciplinary Digital Publishing Institute","source":"www.mdpi.com","title":"Distributed Weighted Coverage for Multi-Robot Systems in Non-Convex Environment","URL":"https://www.mdpi.com/2076-3417/13/14/8530","volume":"13","author":[{"family":"Cao","given":"Kai"},{"family":"Chen","given":"Yangquan"},{"family":"Gao","given":"Song"},{"family":"Dang","given":"Haixin"},{"family":"An","given":"Di"}],"accessed":{"date-parts":[["2026",7,26]]},"issued":{"date-parts":[["2023",1]]}}}],"schema":"https://github.com/citation-style-language/schema/raw/master/csl-citation.json"} </w:instrText>
      </w:r>
      <w:r w:rsidR="007B2651">
        <w:fldChar w:fldCharType="separate"/>
      </w:r>
      <w:r w:rsidR="007B2651" w:rsidRPr="007B2651">
        <w:rPr>
          <w:vertAlign w:val="superscript"/>
        </w:rPr>
        <w:t>7</w:t>
      </w:r>
      <w:r w:rsidR="007B2651">
        <w:fldChar w:fldCharType="end"/>
      </w:r>
      <w:r w:rsidR="00FF34D8" w:rsidRPr="00FF34D8">
        <w:t>. Each quadrotor broadcasts its states, computes velocity obstacles relative to neighbors, and selects a reciprocal collision-free velocity that preserves progress toward its assigned waypoint.</w:t>
      </w:r>
      <w:r w:rsidR="00481770">
        <w:t xml:space="preserve"> </w:t>
      </w:r>
      <w:r>
        <w:t>The low-level layer executes the velocity commands through a cascaded PID control architecture</w:t>
      </w:r>
      <w:r w:rsidR="00481770">
        <w:fldChar w:fldCharType="begin"/>
      </w:r>
      <w:r w:rsidR="007217BD">
        <w:instrText xml:space="preserve"> ADDIN ZOTERO_ITEM CSL_CITATION {"citationID":"UJ1JDA7M","properties":{"unsorted":false,"formattedCitation":"\\super 4\\nosupersub{}","plainCitation":"4","noteIndex":0},"citationItems":[{"id":507,"uris":["http://zotero.org/users/16725567/items/V5JYIAPY"],"itemData":{"id":507,"type":"paper-conference","abstract":"In this paper, we propose different linearization control algorithms to solve the stabilization problem of the quadrotor. First we introduce the nonlinear model of the quadrotor. Then using tangent linearization method, a linear model is generated of the system where decentralized and centralized LQR control methods are applied. The second strategy is based on exact feedback linearization of the nonlinear model of the quadrotor. The comparison between these methods is highlighted by simulations to show effectiveness of the proposed methods.","citation-key":"belkheiriDifferentLinearizationControl2012a","container-title":"CCCA12","DOI":"10.1109/CCCA.2012.6417914","event-title":"2012 2nd International Conference on Communications, Computing and Control Applications (CCCA)","ISBN":"978-1-4673-4695-5","language":"en","page":"1-6","publisher":"IEEE","publisher-place":"Marseilles, France","source":"DOI.org (Crossref)","title":"Different linearization control techniques for a quadrotor system","URL":"http://ieeexplore.ieee.org/document/6417914/","author":[{"family":"Belkheiri","given":"M."},{"family":"Rabhi","given":"A."},{"family":"Hajjaji","given":"A. El"},{"family":"Pegard","given":"C."}],"accessed":{"date-parts":[["2026",7,24]]},"issued":{"date-parts":[["2012",12]]}}}],"schema":"https://github.com/citation-style-language/schema/raw/master/csl-citation.json"} </w:instrText>
      </w:r>
      <w:r w:rsidR="00481770">
        <w:fldChar w:fldCharType="separate"/>
      </w:r>
      <w:r w:rsidR="007217BD" w:rsidRPr="007217BD">
        <w:rPr>
          <w:vertAlign w:val="superscript"/>
        </w:rPr>
        <w:t>4</w:t>
      </w:r>
      <w:r w:rsidR="00481770">
        <w:fldChar w:fldCharType="end"/>
      </w:r>
      <w:r>
        <w:t>. Both PID-LQR and PID-</w:t>
      </w:r>
      <m:oMath>
        <m:sSub>
          <m:sSubPr>
            <m:ctrlPr>
              <w:rPr>
                <w:rFonts w:ascii="Cambria Math" w:hAnsi="Cambria Math"/>
                <w:i/>
              </w:rPr>
            </m:ctrlPr>
          </m:sSubPr>
          <m:e>
            <m:r>
              <w:rPr>
                <w:rFonts w:ascii="Cambria Math" w:hAnsi="Cambria Math"/>
              </w:rPr>
              <m:t>H</m:t>
            </m:r>
          </m:e>
          <m:sub>
            <m:r>
              <w:rPr>
                <w:rFonts w:ascii="Cambria Math" w:hAnsi="Cambria Math"/>
              </w:rPr>
              <m:t>∞</m:t>
            </m:r>
          </m:sub>
        </m:sSub>
      </m:oMath>
      <w:r>
        <w:t xml:space="preserve"> share the identical cascaded topology, consisting of an outer position control loop (</w:t>
      </w:r>
      <m:oMath>
        <m:r>
          <w:rPr>
            <w:rFonts w:ascii="Cambria Math" w:hAnsi="Cambria Math" w:cs="Cambria Math"/>
          </w:rPr>
          <m:t>x</m:t>
        </m:r>
        <m:r>
          <w:rPr>
            <w:rFonts w:ascii="Cambria Math" w:hAnsi="Cambria Math"/>
          </w:rPr>
          <m:t xml:space="preserve">, </m:t>
        </m:r>
        <m:r>
          <w:rPr>
            <w:rFonts w:ascii="Cambria Math" w:hAnsi="Cambria Math" w:cs="Cambria Math"/>
          </w:rPr>
          <m:t>y</m:t>
        </m:r>
        <m:r>
          <w:rPr>
            <w:rFonts w:ascii="Cambria Math" w:hAnsi="Cambria Math"/>
          </w:rPr>
          <m:t xml:space="preserve">, </m:t>
        </m:r>
        <m:r>
          <w:rPr>
            <w:rFonts w:ascii="Cambria Math" w:hAnsi="Cambria Math" w:cs="Cambria Math"/>
          </w:rPr>
          <m:t>z</m:t>
        </m:r>
      </m:oMath>
      <w:r>
        <w:t>) generating reference attitude angles and an inner attitude control loop (</w:t>
      </w:r>
      <m:oMath>
        <m:r>
          <w:rPr>
            <w:rFonts w:ascii="Cambria Math" w:hAnsi="Cambria Math"/>
          </w:rPr>
          <m:t>ϕ, θ,ψ</m:t>
        </m:r>
      </m:oMath>
      <w:r>
        <w:t>) regulating quadrotor torques. The distinction lies in gain synthesis: PID-LQR solves the standard continuous Algebraic Riccati Equation (ARE), whereas PID-</w:t>
      </w:r>
      <m:oMath>
        <m:sSub>
          <m:sSubPr>
            <m:ctrlPr>
              <w:rPr>
                <w:rFonts w:ascii="Cambria Math" w:hAnsi="Cambria Math"/>
                <w:i/>
              </w:rPr>
            </m:ctrlPr>
          </m:sSubPr>
          <m:e>
            <m:r>
              <w:rPr>
                <w:rFonts w:ascii="Cambria Math" w:hAnsi="Cambria Math"/>
              </w:rPr>
              <m:t>H</m:t>
            </m:r>
          </m:e>
          <m:sub>
            <m:r>
              <w:rPr>
                <w:rFonts w:ascii="Cambria Math" w:hAnsi="Cambria Math"/>
              </w:rPr>
              <m:t>∞</m:t>
            </m:r>
          </m:sub>
        </m:sSub>
      </m:oMath>
      <w:r>
        <w:t xml:space="preserve"> solves the </w:t>
      </w:r>
      <m:oMath>
        <m:sSub>
          <m:sSubPr>
            <m:ctrlPr>
              <w:rPr>
                <w:rFonts w:ascii="Cambria Math" w:hAnsi="Cambria Math"/>
                <w:i/>
              </w:rPr>
            </m:ctrlPr>
          </m:sSubPr>
          <m:e>
            <m:r>
              <w:rPr>
                <w:rFonts w:ascii="Cambria Math" w:hAnsi="Cambria Math"/>
              </w:rPr>
              <m:t>H</m:t>
            </m:r>
          </m:e>
          <m:sub>
            <m:r>
              <w:rPr>
                <w:rFonts w:ascii="Cambria Math" w:hAnsi="Cambria Math"/>
              </w:rPr>
              <m:t>∞</m:t>
            </m:r>
          </m:sub>
        </m:sSub>
      </m:oMath>
      <w:r>
        <w:t xml:space="preserve"> Riccati Equation (HARE) incorporating an explicit </w:t>
      </w:r>
      <m:oMath>
        <m:sSub>
          <m:sSubPr>
            <m:ctrlPr>
              <w:rPr>
                <w:rFonts w:ascii="Cambria Math" w:hAnsi="Cambria Math"/>
                <w:i/>
              </w:rPr>
            </m:ctrlPr>
          </m:sSubPr>
          <m:e>
            <m:r>
              <w:rPr>
                <w:rFonts w:ascii="Cambria Math" w:hAnsi="Cambria Math"/>
              </w:rPr>
              <m:t>H</m:t>
            </m:r>
          </m:e>
          <m:sub>
            <m:r>
              <w:rPr>
                <w:rFonts w:ascii="Cambria Math" w:hAnsi="Cambria Math"/>
              </w:rPr>
              <m:t>∞</m:t>
            </m:r>
          </m:sub>
        </m:sSub>
      </m:oMath>
      <w:r>
        <w:t xml:space="preserve"> disturbance attenuation bound </w:t>
      </w:r>
      <m:oMath>
        <m:r>
          <w:rPr>
            <w:rFonts w:ascii="Cambria Math" w:hAnsi="Cambria Math" w:cs="Cambria Math"/>
          </w:rPr>
          <m:t>γ</m:t>
        </m:r>
      </m:oMath>
      <w:r>
        <w:t xml:space="preserve">. Control outputs are converted to motor PWM signals and applied to the quadrotor plant simulated in the Gazebo Harmonic physics engine running </w:t>
      </w:r>
      <w:r>
        <w:lastRenderedPageBreak/>
        <w:t>PX4 SITL firmware. State feedback (pose, velocity, IMU measurements) propagates upward through all layers, enabling ORCA to update collision avoidance decisions and FT-CC to detect faults and trigger coverage redistribution.</w:t>
      </w:r>
    </w:p>
    <w:p w14:paraId="3725A3F0" w14:textId="77777777" w:rsidR="0062503D" w:rsidRDefault="0062503D" w:rsidP="0062503D">
      <w:pPr>
        <w:pStyle w:val="Paragraph"/>
        <w:keepNext/>
        <w:ind w:firstLine="0"/>
        <w:jc w:val="center"/>
      </w:pPr>
      <w:r>
        <w:rPr>
          <w:noProof/>
        </w:rPr>
        <w:drawing>
          <wp:inline distT="0" distB="0" distL="0" distR="0" wp14:anchorId="35D1FBEC" wp14:editId="1311BE1D">
            <wp:extent cx="2340000" cy="2192347"/>
            <wp:effectExtent l="0" t="0" r="3175" b="0"/>
            <wp:docPr id="20530122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40000" cy="2192347"/>
                    </a:xfrm>
                    <a:prstGeom prst="rect">
                      <a:avLst/>
                    </a:prstGeom>
                    <a:noFill/>
                    <a:ln>
                      <a:noFill/>
                    </a:ln>
                  </pic:spPr>
                </pic:pic>
              </a:graphicData>
            </a:graphic>
          </wp:inline>
        </w:drawing>
      </w:r>
    </w:p>
    <w:p w14:paraId="2D4942EA" w14:textId="21AEF4CE" w:rsidR="0062503D" w:rsidRPr="0062503D" w:rsidRDefault="0062503D" w:rsidP="0062503D">
      <w:pPr>
        <w:pStyle w:val="Caption"/>
        <w:jc w:val="center"/>
        <w:rPr>
          <w:b w:val="0"/>
          <w:bCs/>
        </w:rPr>
      </w:pPr>
      <w:bookmarkStart w:id="0" w:name="_Ref235982751"/>
      <w:r>
        <w:t xml:space="preserve">Figure </w:t>
      </w:r>
      <w:r>
        <w:fldChar w:fldCharType="begin"/>
      </w:r>
      <w:r>
        <w:instrText xml:space="preserve"> SEQ Figure \* ARABIC </w:instrText>
      </w:r>
      <w:r>
        <w:fldChar w:fldCharType="separate"/>
      </w:r>
      <w:r>
        <w:rPr>
          <w:noProof/>
        </w:rPr>
        <w:t>1</w:t>
      </w:r>
      <w:r>
        <w:fldChar w:fldCharType="end"/>
      </w:r>
      <w:bookmarkEnd w:id="0"/>
      <w:r>
        <w:t xml:space="preserve">. </w:t>
      </w:r>
      <w:r w:rsidRPr="0062503D">
        <w:rPr>
          <w:b w:val="0"/>
          <w:bCs/>
        </w:rPr>
        <w:t>Proposed three-layer control architecture for resilient autonomous swarm quadrotor geode</w:t>
      </w:r>
      <w:r w:rsidR="000E0AFA">
        <w:rPr>
          <w:b w:val="0"/>
          <w:bCs/>
        </w:rPr>
        <w:t>t</w:t>
      </w:r>
      <w:r w:rsidRPr="0062503D">
        <w:rPr>
          <w:b w:val="0"/>
          <w:bCs/>
        </w:rPr>
        <w:t>ic mapping.</w:t>
      </w:r>
      <w:r w:rsidR="00AC04A2">
        <w:rPr>
          <w:b w:val="0"/>
          <w:bCs/>
        </w:rPr>
        <w:t xml:space="preserve"> (</w:t>
      </w:r>
      <w:hyperlink r:id="rId10" w:history="1">
        <w:r w:rsidR="00AC04A2" w:rsidRPr="00B64AEB">
          <w:rPr>
            <w:rStyle w:val="Hyperlink"/>
            <w:b w:val="0"/>
            <w:bCs/>
          </w:rPr>
          <w:t>https://github.com/izmaherdian/swarm-quadrotor-mapping/blob/main/docs/Diagram-Swarm-Quadrotor-Mapping.jpg</w:t>
        </w:r>
      </w:hyperlink>
      <w:r w:rsidR="00AC04A2">
        <w:rPr>
          <w:b w:val="0"/>
          <w:bCs/>
        </w:rPr>
        <w:t>)</w:t>
      </w:r>
    </w:p>
    <w:p w14:paraId="3018258E" w14:textId="1984215C" w:rsidR="003C535B" w:rsidRPr="003C535B" w:rsidRDefault="0083545C" w:rsidP="003C535B">
      <w:pPr>
        <w:pStyle w:val="Heading1"/>
        <w:rPr>
          <w:b w:val="0"/>
          <w:caps w:val="0"/>
          <w:sz w:val="20"/>
        </w:rPr>
      </w:pPr>
      <w:r>
        <w:t>PRELIMINARY</w:t>
      </w:r>
      <w:r w:rsidR="003C535B">
        <w:t xml:space="preserve"> </w:t>
      </w:r>
      <w:r>
        <w:t>RESULTS</w:t>
      </w:r>
    </w:p>
    <w:p w14:paraId="1FC7D645" w14:textId="6BB9D649" w:rsidR="003C535B" w:rsidRDefault="00FF34D8" w:rsidP="003C535B">
      <w:pPr>
        <w:pStyle w:val="Paragraph"/>
      </w:pPr>
      <w:r w:rsidRPr="00FF34D8">
        <w:t xml:space="preserve">Evaluated across non-convex obstacle environments, initial simulation results demonstrate that the framework successfully achieves 90–95% coverage completion with zero inter-robot collisions. Upon simulated agent failure, the FT-CC module maintains </w:t>
      </w:r>
      <m:oMath>
        <m:r>
          <w:rPr>
            <w:rFonts w:ascii="Cambria Math" w:hAnsi="Cambria Math"/>
          </w:rPr>
          <m:t>≥</m:t>
        </m:r>
      </m:oMath>
      <w:r>
        <w:t xml:space="preserve"> </w:t>
      </w:r>
      <w:r w:rsidRPr="00FF34D8">
        <w:t>85% fleet coverage via dynamic re-partitioning. Under Dryden wind turbulence, the robust PID-</w:t>
      </w:r>
      <m:oMath>
        <m:sSub>
          <m:sSubPr>
            <m:ctrlPr>
              <w:rPr>
                <w:rFonts w:ascii="Cambria Math" w:hAnsi="Cambria Math"/>
                <w:i/>
              </w:rPr>
            </m:ctrlPr>
          </m:sSubPr>
          <m:e>
            <m:r>
              <w:rPr>
                <w:rFonts w:ascii="Cambria Math" w:hAnsi="Cambria Math"/>
              </w:rPr>
              <m:t>H</m:t>
            </m:r>
          </m:e>
          <m:sub>
            <m:r>
              <w:rPr>
                <w:rFonts w:ascii="Cambria Math" w:hAnsi="Cambria Math"/>
              </w:rPr>
              <m:t>∞</m:t>
            </m:r>
          </m:sub>
        </m:sSub>
      </m:oMath>
      <w:r w:rsidRPr="00FF34D8">
        <w:t xml:space="preserve"> controller yields a 1</w:t>
      </w:r>
      <w:r>
        <w:t>0</w:t>
      </w:r>
      <w:r w:rsidRPr="00FF34D8">
        <w:t>–</w:t>
      </w:r>
      <w:r>
        <w:t>15</w:t>
      </w:r>
      <w:r w:rsidRPr="00FF34D8">
        <w:t>% reduction in trajectory tracking root-mean-square error (RMSE) compared to PID-LQR. Quantitative tracking plots and recovery times will be detailed in the full paper.</w:t>
      </w:r>
    </w:p>
    <w:p w14:paraId="602A8371" w14:textId="22F72B2E" w:rsidR="003C535B" w:rsidRPr="003C535B" w:rsidRDefault="0083545C" w:rsidP="003C535B">
      <w:pPr>
        <w:pStyle w:val="Heading1"/>
        <w:rPr>
          <w:b w:val="0"/>
          <w:caps w:val="0"/>
          <w:sz w:val="20"/>
        </w:rPr>
      </w:pPr>
      <w:r>
        <w:t>CONCLUSION</w:t>
      </w:r>
    </w:p>
    <w:p w14:paraId="0749377A" w14:textId="5231A442" w:rsidR="003C535B" w:rsidRDefault="00481770" w:rsidP="004B61DD">
      <w:pPr>
        <w:pStyle w:val="Paragraph"/>
      </w:pPr>
      <w:r w:rsidRPr="00481770">
        <w:t>This paper presents a three-layer control architecture for resilient, autonomous non-convex geodetic mapping by quadrotor swarms. It provides a comprehensive end-to-end pipeline integrating high-level non-convex planning (Voronoi/Boustrophedon/FT-CC), mid-level ORCA collision avoidance, and low-level PID-LQR/PID-</w:t>
      </w:r>
      <m:oMath>
        <m:sSub>
          <m:sSubPr>
            <m:ctrlPr>
              <w:rPr>
                <w:rFonts w:ascii="Cambria Math" w:hAnsi="Cambria Math"/>
                <w:i/>
              </w:rPr>
            </m:ctrlPr>
          </m:sSubPr>
          <m:e>
            <m:r>
              <w:rPr>
                <w:rFonts w:ascii="Cambria Math" w:hAnsi="Cambria Math"/>
              </w:rPr>
              <m:t>H</m:t>
            </m:r>
          </m:e>
          <m:sub>
            <m:r>
              <w:rPr>
                <w:rFonts w:ascii="Cambria Math" w:hAnsi="Cambria Math"/>
              </w:rPr>
              <m:t>∞</m:t>
            </m:r>
          </m:sub>
        </m:sSub>
      </m:oMath>
      <w:r w:rsidRPr="00481770">
        <w:t xml:space="preserve"> robust cascade control. Validated in high-fidelity ROS2-Gazebo-PX4 simulations, the framework effectively resolves critical integration and fault-tolerance gaps. Future work includes physical outdoor flight experiments and extension to heterogeneous multi-robot teams.</w:t>
      </w:r>
    </w:p>
    <w:p w14:paraId="010A0BA2" w14:textId="29D84EC7" w:rsidR="004B61DD" w:rsidRPr="003C535B" w:rsidRDefault="0083545C" w:rsidP="004B61DD">
      <w:pPr>
        <w:pStyle w:val="Heading1"/>
        <w:rPr>
          <w:b w:val="0"/>
          <w:caps w:val="0"/>
          <w:sz w:val="20"/>
        </w:rPr>
      </w:pPr>
      <w:r>
        <w:t>REFERENCES</w:t>
      </w:r>
    </w:p>
    <w:p w14:paraId="6231E30E" w14:textId="77777777" w:rsidR="007B2651" w:rsidRPr="007B2651" w:rsidRDefault="00481770" w:rsidP="007B2651">
      <w:pPr>
        <w:pStyle w:val="Bibliography"/>
        <w:jc w:val="both"/>
        <w:rPr>
          <w:sz w:val="20"/>
        </w:rPr>
      </w:pPr>
      <w:r w:rsidRPr="007B2651">
        <w:rPr>
          <w:sz w:val="20"/>
        </w:rPr>
        <w:fldChar w:fldCharType="begin"/>
      </w:r>
      <w:r w:rsidRPr="007B2651">
        <w:rPr>
          <w:sz w:val="20"/>
        </w:rPr>
        <w:instrText xml:space="preserve"> ADDIN ZOTERO_BIBL {"uncited":[],"omitted":[],"custom":[]} CSL_BIBLIOGRAPHY </w:instrText>
      </w:r>
      <w:r w:rsidRPr="007B2651">
        <w:rPr>
          <w:sz w:val="20"/>
        </w:rPr>
        <w:fldChar w:fldCharType="separate"/>
      </w:r>
      <w:r w:rsidR="007B2651" w:rsidRPr="007B2651">
        <w:rPr>
          <w:sz w:val="20"/>
          <w:vertAlign w:val="superscript"/>
        </w:rPr>
        <w:t>1</w:t>
      </w:r>
      <w:r w:rsidR="007B2651" w:rsidRPr="007B2651">
        <w:rPr>
          <w:sz w:val="20"/>
        </w:rPr>
        <w:t xml:space="preserve"> S. Papatheodorou, and A. Tzes, “Cooperative Visual Convex Area Coverage using a Tessellation-free Strategy,” in </w:t>
      </w:r>
      <w:r w:rsidR="007B2651" w:rsidRPr="007B2651">
        <w:rPr>
          <w:i/>
          <w:iCs/>
          <w:sz w:val="20"/>
        </w:rPr>
        <w:t>2017 IEEE 56th Annual Conference on Decision and Control (CDC)</w:t>
      </w:r>
      <w:r w:rsidR="007B2651" w:rsidRPr="007B2651">
        <w:rPr>
          <w:sz w:val="20"/>
        </w:rPr>
        <w:t>, (2017), pp. 4662–4667.</w:t>
      </w:r>
    </w:p>
    <w:p w14:paraId="2EE0704C" w14:textId="77777777" w:rsidR="007B2651" w:rsidRPr="007B2651" w:rsidRDefault="007B2651" w:rsidP="007B2651">
      <w:pPr>
        <w:pStyle w:val="Bibliography"/>
        <w:jc w:val="both"/>
        <w:rPr>
          <w:sz w:val="20"/>
        </w:rPr>
      </w:pPr>
      <w:r w:rsidRPr="007B2651">
        <w:rPr>
          <w:sz w:val="20"/>
          <w:vertAlign w:val="superscript"/>
        </w:rPr>
        <w:t>2</w:t>
      </w:r>
      <w:r w:rsidRPr="007B2651">
        <w:rPr>
          <w:sz w:val="20"/>
        </w:rPr>
        <w:t xml:space="preserve"> S. Hu, T. Xu, and B. Wang, “Route-Planning Method for Plant Protection Rotor Drones in Convex Polygon Regions,” Sensors </w:t>
      </w:r>
      <w:r w:rsidRPr="007B2651">
        <w:rPr>
          <w:b/>
          <w:bCs/>
          <w:sz w:val="20"/>
        </w:rPr>
        <w:t>21</w:t>
      </w:r>
      <w:r w:rsidRPr="007B2651">
        <w:rPr>
          <w:sz w:val="20"/>
        </w:rPr>
        <w:t>(6), 2221 (2021).</w:t>
      </w:r>
    </w:p>
    <w:p w14:paraId="7340CFC6" w14:textId="77777777" w:rsidR="007B2651" w:rsidRPr="007B2651" w:rsidRDefault="007B2651" w:rsidP="007B2651">
      <w:pPr>
        <w:pStyle w:val="Bibliography"/>
        <w:jc w:val="both"/>
        <w:rPr>
          <w:sz w:val="20"/>
        </w:rPr>
      </w:pPr>
      <w:r w:rsidRPr="007B2651">
        <w:rPr>
          <w:sz w:val="20"/>
          <w:vertAlign w:val="superscript"/>
        </w:rPr>
        <w:t>3</w:t>
      </w:r>
      <w:r w:rsidRPr="007B2651">
        <w:rPr>
          <w:sz w:val="20"/>
        </w:rPr>
        <w:t xml:space="preserve"> J. O’Keeffe, “Anticipating Degradation: A Predictive Approach to Fault Tolerance in Robot Swarms,” IEEE Robotics and Automation Letters </w:t>
      </w:r>
      <w:r w:rsidRPr="007B2651">
        <w:rPr>
          <w:b/>
          <w:bCs/>
          <w:sz w:val="20"/>
        </w:rPr>
        <w:t>10</w:t>
      </w:r>
      <w:r w:rsidRPr="007B2651">
        <w:rPr>
          <w:sz w:val="20"/>
        </w:rPr>
        <w:t>(9), 8954–8961 (2025).</w:t>
      </w:r>
    </w:p>
    <w:p w14:paraId="186FD9AA" w14:textId="77777777" w:rsidR="007B2651" w:rsidRPr="007B2651" w:rsidRDefault="007B2651" w:rsidP="007B2651">
      <w:pPr>
        <w:pStyle w:val="Bibliography"/>
        <w:jc w:val="both"/>
        <w:rPr>
          <w:sz w:val="20"/>
        </w:rPr>
      </w:pPr>
      <w:r w:rsidRPr="007B2651">
        <w:rPr>
          <w:sz w:val="20"/>
          <w:vertAlign w:val="superscript"/>
        </w:rPr>
        <w:t>4</w:t>
      </w:r>
      <w:r w:rsidRPr="007B2651">
        <w:rPr>
          <w:sz w:val="20"/>
        </w:rPr>
        <w:t xml:space="preserve"> M. Belkheiri, A. Rabhi, A.E. Hajjaji, and C. Pegard, “Different linearization control techniques for a quadrotor system,” in </w:t>
      </w:r>
      <w:r w:rsidRPr="007B2651">
        <w:rPr>
          <w:i/>
          <w:iCs/>
          <w:sz w:val="20"/>
        </w:rPr>
        <w:t>CCCA12</w:t>
      </w:r>
      <w:r w:rsidRPr="007B2651">
        <w:rPr>
          <w:sz w:val="20"/>
        </w:rPr>
        <w:t>, (IEEE, Marseilles, France, 2012), pp. 1–6.</w:t>
      </w:r>
    </w:p>
    <w:p w14:paraId="15FE169E" w14:textId="77777777" w:rsidR="007B2651" w:rsidRPr="007B2651" w:rsidRDefault="007B2651" w:rsidP="007B2651">
      <w:pPr>
        <w:pStyle w:val="Bibliography"/>
        <w:jc w:val="both"/>
        <w:rPr>
          <w:sz w:val="20"/>
        </w:rPr>
      </w:pPr>
      <w:r w:rsidRPr="007B2651">
        <w:rPr>
          <w:sz w:val="20"/>
          <w:vertAlign w:val="superscript"/>
        </w:rPr>
        <w:t>5</w:t>
      </w:r>
      <w:r w:rsidRPr="007B2651">
        <w:rPr>
          <w:sz w:val="20"/>
        </w:rPr>
        <w:t xml:space="preserve"> K. Lee, and K. Lee, “Adaptive Centroidal Voronoi Tessellation With Agent Dropout and Reinsertion for Multi-Agent Non-Convex Area Coverage,” IEEE Access </w:t>
      </w:r>
      <w:r w:rsidRPr="007B2651">
        <w:rPr>
          <w:b/>
          <w:bCs/>
          <w:sz w:val="20"/>
        </w:rPr>
        <w:t>12</w:t>
      </w:r>
      <w:r w:rsidRPr="007B2651">
        <w:rPr>
          <w:sz w:val="20"/>
        </w:rPr>
        <w:t>, 5503–5516 (2024).</w:t>
      </w:r>
    </w:p>
    <w:p w14:paraId="4FB6664B" w14:textId="77777777" w:rsidR="007B2651" w:rsidRPr="007B2651" w:rsidRDefault="007B2651" w:rsidP="007B2651">
      <w:pPr>
        <w:pStyle w:val="Bibliography"/>
        <w:jc w:val="both"/>
        <w:rPr>
          <w:sz w:val="20"/>
        </w:rPr>
      </w:pPr>
      <w:r w:rsidRPr="007B2651">
        <w:rPr>
          <w:sz w:val="20"/>
          <w:vertAlign w:val="superscript"/>
        </w:rPr>
        <w:t>6</w:t>
      </w:r>
      <w:r w:rsidRPr="007B2651">
        <w:rPr>
          <w:sz w:val="20"/>
        </w:rPr>
        <w:t xml:space="preserve"> A. Breitenmoser, M. Schwager, J.-C. Metzger, R. Siegwart, and D. Rus, “Voronoi coverage of non-convex environments with a group of networked robots,” in </w:t>
      </w:r>
      <w:r w:rsidRPr="007B2651">
        <w:rPr>
          <w:i/>
          <w:iCs/>
          <w:sz w:val="20"/>
        </w:rPr>
        <w:t>2010 IEEE International Conference on Robotics and Automation</w:t>
      </w:r>
      <w:r w:rsidRPr="007B2651">
        <w:rPr>
          <w:sz w:val="20"/>
        </w:rPr>
        <w:t>, (2010), pp. 4982–4989.</w:t>
      </w:r>
    </w:p>
    <w:p w14:paraId="237F1C3F" w14:textId="77777777" w:rsidR="007B2651" w:rsidRPr="007B2651" w:rsidRDefault="007B2651" w:rsidP="007B2651">
      <w:pPr>
        <w:pStyle w:val="Bibliography"/>
        <w:jc w:val="both"/>
        <w:rPr>
          <w:sz w:val="20"/>
        </w:rPr>
      </w:pPr>
      <w:r w:rsidRPr="007B2651">
        <w:rPr>
          <w:sz w:val="20"/>
          <w:vertAlign w:val="superscript"/>
        </w:rPr>
        <w:t>7</w:t>
      </w:r>
      <w:r w:rsidRPr="007B2651">
        <w:rPr>
          <w:sz w:val="20"/>
        </w:rPr>
        <w:t xml:space="preserve"> K. Cao, Y. Chen, S. Gao, H. Dang, and D. An, “Distributed Weighted Coverage for Multi-Robot Systems in Non-Convex Environment,” Applied Sciences </w:t>
      </w:r>
      <w:r w:rsidRPr="007B2651">
        <w:rPr>
          <w:b/>
          <w:bCs/>
          <w:sz w:val="20"/>
        </w:rPr>
        <w:t>13</w:t>
      </w:r>
      <w:r w:rsidRPr="007B2651">
        <w:rPr>
          <w:sz w:val="20"/>
        </w:rPr>
        <w:t>(14), 8530 (2023).</w:t>
      </w:r>
    </w:p>
    <w:p w14:paraId="5CBD4DAE" w14:textId="70972D1A" w:rsidR="003C535B" w:rsidRDefault="00481770" w:rsidP="00AC04A2">
      <w:pPr>
        <w:pStyle w:val="Paragraph"/>
        <w:ind w:firstLine="0"/>
      </w:pPr>
      <w:r w:rsidRPr="007B2651">
        <w:fldChar w:fldCharType="end"/>
      </w:r>
    </w:p>
    <w:sectPr w:rsidR="003C535B">
      <w:pgSz w:w="12240" w:h="15840"/>
      <w:pgMar w:top="1440" w:right="1440" w:bottom="1440" w:left="1440" w:header="0" w:footer="0" w:gutter="0"/>
      <w:cols w:space="720"/>
      <w:formProt w:val="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436C5"/>
    <w:multiLevelType w:val="multilevel"/>
    <w:tmpl w:val="B6988208"/>
    <w:lvl w:ilvl="0">
      <w:start w:val="1"/>
      <w:numFmt w:val="decimal"/>
      <w:lvlText w:val="%1."/>
      <w:lvlJc w:val="left"/>
      <w:pPr>
        <w:tabs>
          <w:tab w:val="num" w:pos="0"/>
        </w:tabs>
        <w:ind w:left="644"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179978EC"/>
    <w:multiLevelType w:val="multilevel"/>
    <w:tmpl w:val="7136B2B0"/>
    <w:lvl w:ilvl="0">
      <w:start w:val="1"/>
      <w:numFmt w:val="bullet"/>
      <w:pStyle w:val="Paragraphbulleted"/>
      <w:lvlText w:val=""/>
      <w:lvlJc w:val="left"/>
      <w:pPr>
        <w:tabs>
          <w:tab w:val="num" w:pos="0"/>
        </w:tabs>
        <w:ind w:left="1004" w:hanging="360"/>
      </w:pPr>
      <w:rPr>
        <w:rFonts w:ascii="Symbol" w:hAnsi="Symbol" w:cs="Symbol" w:hint="default"/>
      </w:rPr>
    </w:lvl>
    <w:lvl w:ilvl="1">
      <w:start w:val="1"/>
      <w:numFmt w:val="bullet"/>
      <w:lvlText w:val="o"/>
      <w:lvlJc w:val="left"/>
      <w:pPr>
        <w:tabs>
          <w:tab w:val="num" w:pos="0"/>
        </w:tabs>
        <w:ind w:left="1724" w:hanging="360"/>
      </w:pPr>
      <w:rPr>
        <w:rFonts w:ascii="Courier New" w:hAnsi="Courier New" w:cs="Courier New" w:hint="default"/>
      </w:rPr>
    </w:lvl>
    <w:lvl w:ilvl="2">
      <w:start w:val="1"/>
      <w:numFmt w:val="bullet"/>
      <w:lvlText w:val=""/>
      <w:lvlJc w:val="left"/>
      <w:pPr>
        <w:tabs>
          <w:tab w:val="num" w:pos="0"/>
        </w:tabs>
        <w:ind w:left="2444" w:hanging="360"/>
      </w:pPr>
      <w:rPr>
        <w:rFonts w:ascii="Wingdings" w:hAnsi="Wingdings" w:cs="Wingdings" w:hint="default"/>
      </w:rPr>
    </w:lvl>
    <w:lvl w:ilvl="3">
      <w:start w:val="1"/>
      <w:numFmt w:val="bullet"/>
      <w:lvlText w:val=""/>
      <w:lvlJc w:val="left"/>
      <w:pPr>
        <w:tabs>
          <w:tab w:val="num" w:pos="0"/>
        </w:tabs>
        <w:ind w:left="3164" w:hanging="360"/>
      </w:pPr>
      <w:rPr>
        <w:rFonts w:ascii="Symbol" w:hAnsi="Symbol" w:cs="Symbol" w:hint="default"/>
      </w:rPr>
    </w:lvl>
    <w:lvl w:ilvl="4">
      <w:start w:val="1"/>
      <w:numFmt w:val="bullet"/>
      <w:lvlText w:val="o"/>
      <w:lvlJc w:val="left"/>
      <w:pPr>
        <w:tabs>
          <w:tab w:val="num" w:pos="0"/>
        </w:tabs>
        <w:ind w:left="3884" w:hanging="360"/>
      </w:pPr>
      <w:rPr>
        <w:rFonts w:ascii="Courier New" w:hAnsi="Courier New" w:cs="Courier New" w:hint="default"/>
      </w:rPr>
    </w:lvl>
    <w:lvl w:ilvl="5">
      <w:start w:val="1"/>
      <w:numFmt w:val="bullet"/>
      <w:lvlText w:val=""/>
      <w:lvlJc w:val="left"/>
      <w:pPr>
        <w:tabs>
          <w:tab w:val="num" w:pos="0"/>
        </w:tabs>
        <w:ind w:left="4604" w:hanging="360"/>
      </w:pPr>
      <w:rPr>
        <w:rFonts w:ascii="Wingdings" w:hAnsi="Wingdings" w:cs="Wingdings" w:hint="default"/>
      </w:rPr>
    </w:lvl>
    <w:lvl w:ilvl="6">
      <w:start w:val="1"/>
      <w:numFmt w:val="bullet"/>
      <w:lvlText w:val=""/>
      <w:lvlJc w:val="left"/>
      <w:pPr>
        <w:tabs>
          <w:tab w:val="num" w:pos="0"/>
        </w:tabs>
        <w:ind w:left="5324" w:hanging="360"/>
      </w:pPr>
      <w:rPr>
        <w:rFonts w:ascii="Symbol" w:hAnsi="Symbol" w:cs="Symbol" w:hint="default"/>
      </w:rPr>
    </w:lvl>
    <w:lvl w:ilvl="7">
      <w:start w:val="1"/>
      <w:numFmt w:val="bullet"/>
      <w:lvlText w:val="o"/>
      <w:lvlJc w:val="left"/>
      <w:pPr>
        <w:tabs>
          <w:tab w:val="num" w:pos="0"/>
        </w:tabs>
        <w:ind w:left="6044" w:hanging="360"/>
      </w:pPr>
      <w:rPr>
        <w:rFonts w:ascii="Courier New" w:hAnsi="Courier New" w:cs="Courier New" w:hint="default"/>
      </w:rPr>
    </w:lvl>
    <w:lvl w:ilvl="8">
      <w:start w:val="1"/>
      <w:numFmt w:val="bullet"/>
      <w:lvlText w:val=""/>
      <w:lvlJc w:val="left"/>
      <w:pPr>
        <w:tabs>
          <w:tab w:val="num" w:pos="0"/>
        </w:tabs>
        <w:ind w:left="6764" w:hanging="360"/>
      </w:pPr>
      <w:rPr>
        <w:rFonts w:ascii="Wingdings" w:hAnsi="Wingdings" w:cs="Wingdings" w:hint="default"/>
      </w:rPr>
    </w:lvl>
  </w:abstractNum>
  <w:abstractNum w:abstractNumId="2" w15:restartNumberingAfterBreak="0">
    <w:nsid w:val="3C373FA3"/>
    <w:multiLevelType w:val="multilevel"/>
    <w:tmpl w:val="22C8CD4A"/>
    <w:lvl w:ilvl="0">
      <w:start w:val="1"/>
      <w:numFmt w:val="decimal"/>
      <w:pStyle w:val="Reference"/>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43A433F7"/>
    <w:multiLevelType w:val="multilevel"/>
    <w:tmpl w:val="A41098AA"/>
    <w:lvl w:ilvl="0">
      <w:start w:val="1"/>
      <w:numFmt w:val="bullet"/>
      <w:lvlText w:val=""/>
      <w:lvlJc w:val="left"/>
      <w:pPr>
        <w:tabs>
          <w:tab w:val="num" w:pos="0"/>
        </w:tabs>
        <w:ind w:left="1004" w:hanging="360"/>
      </w:pPr>
      <w:rPr>
        <w:rFonts w:ascii="Symbol" w:hAnsi="Symbol" w:cs="Symbol" w:hint="default"/>
      </w:rPr>
    </w:lvl>
    <w:lvl w:ilvl="1">
      <w:start w:val="1"/>
      <w:numFmt w:val="bullet"/>
      <w:lvlText w:val="o"/>
      <w:lvlJc w:val="left"/>
      <w:pPr>
        <w:tabs>
          <w:tab w:val="num" w:pos="0"/>
        </w:tabs>
        <w:ind w:left="1724" w:hanging="360"/>
      </w:pPr>
      <w:rPr>
        <w:rFonts w:ascii="Courier New" w:hAnsi="Courier New" w:cs="Courier New" w:hint="default"/>
      </w:rPr>
    </w:lvl>
    <w:lvl w:ilvl="2">
      <w:start w:val="1"/>
      <w:numFmt w:val="bullet"/>
      <w:lvlText w:val=""/>
      <w:lvlJc w:val="left"/>
      <w:pPr>
        <w:tabs>
          <w:tab w:val="num" w:pos="0"/>
        </w:tabs>
        <w:ind w:left="2444" w:hanging="360"/>
      </w:pPr>
      <w:rPr>
        <w:rFonts w:ascii="Wingdings" w:hAnsi="Wingdings" w:cs="Wingdings" w:hint="default"/>
      </w:rPr>
    </w:lvl>
    <w:lvl w:ilvl="3">
      <w:start w:val="1"/>
      <w:numFmt w:val="bullet"/>
      <w:lvlText w:val=""/>
      <w:lvlJc w:val="left"/>
      <w:pPr>
        <w:tabs>
          <w:tab w:val="num" w:pos="0"/>
        </w:tabs>
        <w:ind w:left="3164" w:hanging="360"/>
      </w:pPr>
      <w:rPr>
        <w:rFonts w:ascii="Symbol" w:hAnsi="Symbol" w:cs="Symbol" w:hint="default"/>
      </w:rPr>
    </w:lvl>
    <w:lvl w:ilvl="4">
      <w:start w:val="1"/>
      <w:numFmt w:val="bullet"/>
      <w:lvlText w:val="o"/>
      <w:lvlJc w:val="left"/>
      <w:pPr>
        <w:tabs>
          <w:tab w:val="num" w:pos="0"/>
        </w:tabs>
        <w:ind w:left="3884" w:hanging="360"/>
      </w:pPr>
      <w:rPr>
        <w:rFonts w:ascii="Courier New" w:hAnsi="Courier New" w:cs="Courier New" w:hint="default"/>
      </w:rPr>
    </w:lvl>
    <w:lvl w:ilvl="5">
      <w:start w:val="1"/>
      <w:numFmt w:val="bullet"/>
      <w:lvlText w:val=""/>
      <w:lvlJc w:val="left"/>
      <w:pPr>
        <w:tabs>
          <w:tab w:val="num" w:pos="0"/>
        </w:tabs>
        <w:ind w:left="4604" w:hanging="360"/>
      </w:pPr>
      <w:rPr>
        <w:rFonts w:ascii="Wingdings" w:hAnsi="Wingdings" w:cs="Wingdings" w:hint="default"/>
      </w:rPr>
    </w:lvl>
    <w:lvl w:ilvl="6">
      <w:start w:val="1"/>
      <w:numFmt w:val="bullet"/>
      <w:lvlText w:val=""/>
      <w:lvlJc w:val="left"/>
      <w:pPr>
        <w:tabs>
          <w:tab w:val="num" w:pos="0"/>
        </w:tabs>
        <w:ind w:left="5324" w:hanging="360"/>
      </w:pPr>
      <w:rPr>
        <w:rFonts w:ascii="Symbol" w:hAnsi="Symbol" w:cs="Symbol" w:hint="default"/>
      </w:rPr>
    </w:lvl>
    <w:lvl w:ilvl="7">
      <w:start w:val="1"/>
      <w:numFmt w:val="bullet"/>
      <w:lvlText w:val="o"/>
      <w:lvlJc w:val="left"/>
      <w:pPr>
        <w:tabs>
          <w:tab w:val="num" w:pos="0"/>
        </w:tabs>
        <w:ind w:left="6044" w:hanging="360"/>
      </w:pPr>
      <w:rPr>
        <w:rFonts w:ascii="Courier New" w:hAnsi="Courier New" w:cs="Courier New" w:hint="default"/>
      </w:rPr>
    </w:lvl>
    <w:lvl w:ilvl="8">
      <w:start w:val="1"/>
      <w:numFmt w:val="bullet"/>
      <w:lvlText w:val=""/>
      <w:lvlJc w:val="left"/>
      <w:pPr>
        <w:tabs>
          <w:tab w:val="num" w:pos="0"/>
        </w:tabs>
        <w:ind w:left="6764" w:hanging="360"/>
      </w:pPr>
      <w:rPr>
        <w:rFonts w:ascii="Wingdings" w:hAnsi="Wingdings" w:cs="Wingdings" w:hint="default"/>
      </w:rPr>
    </w:lvl>
  </w:abstractNum>
  <w:abstractNum w:abstractNumId="4" w15:restartNumberingAfterBreak="0">
    <w:nsid w:val="43D46D7A"/>
    <w:multiLevelType w:val="multilevel"/>
    <w:tmpl w:val="607A85F8"/>
    <w:lvl w:ilvl="0">
      <w:start w:val="1"/>
      <w:numFmt w:val="decimal"/>
      <w:pStyle w:val="Paragraphnumbered"/>
      <w:lvlText w:val="%1."/>
      <w:lvlJc w:val="left"/>
      <w:pPr>
        <w:tabs>
          <w:tab w:val="num" w:pos="0"/>
        </w:tabs>
        <w:ind w:left="644"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5" w15:restartNumberingAfterBreak="0">
    <w:nsid w:val="6778402D"/>
    <w:multiLevelType w:val="multilevel"/>
    <w:tmpl w:val="95123CF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005867663">
    <w:abstractNumId w:val="3"/>
  </w:num>
  <w:num w:numId="2" w16cid:durableId="341515099">
    <w:abstractNumId w:val="2"/>
  </w:num>
  <w:num w:numId="3" w16cid:durableId="966739800">
    <w:abstractNumId w:val="1"/>
  </w:num>
  <w:num w:numId="4" w16cid:durableId="1620990594">
    <w:abstractNumId w:val="0"/>
  </w:num>
  <w:num w:numId="5" w16cid:durableId="1962304058">
    <w:abstractNumId w:val="4"/>
  </w:num>
  <w:num w:numId="6" w16cid:durableId="1243221758">
    <w:abstractNumId w:val="5"/>
  </w:num>
  <w:num w:numId="7" w16cid:durableId="1080831132">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9C9"/>
    <w:rsid w:val="00022FC6"/>
    <w:rsid w:val="000E0AFA"/>
    <w:rsid w:val="00110F86"/>
    <w:rsid w:val="00182CFF"/>
    <w:rsid w:val="003C535B"/>
    <w:rsid w:val="00481770"/>
    <w:rsid w:val="004B61DD"/>
    <w:rsid w:val="00513E46"/>
    <w:rsid w:val="0062503D"/>
    <w:rsid w:val="00627D97"/>
    <w:rsid w:val="006C49C9"/>
    <w:rsid w:val="007217BD"/>
    <w:rsid w:val="00730D4D"/>
    <w:rsid w:val="007B2651"/>
    <w:rsid w:val="0083545C"/>
    <w:rsid w:val="00854A42"/>
    <w:rsid w:val="00927DA9"/>
    <w:rsid w:val="009A6B81"/>
    <w:rsid w:val="00A119A3"/>
    <w:rsid w:val="00AC04A2"/>
    <w:rsid w:val="00D86977"/>
    <w:rsid w:val="00EA3DE3"/>
    <w:rsid w:val="00FF34D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19FBD"/>
  <w15:docId w15:val="{F7DEC7FD-7DEE-4310-B2C5-12DE5E309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pPr>
        <w:suppressAutoHyphens/>
      </w:pPr>
    </w:pPrDefault>
  </w:docDefaults>
  <w:latentStyles w:defLockedState="0" w:defUIPriority="0" w:defSemiHidden="0" w:defUnhideWhenUsed="0" w:defQFormat="0" w:count="376">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E3CB2"/>
    <w:rPr>
      <w:sz w:val="24"/>
      <w:lang w:val="en-US" w:eastAsia="en-US"/>
    </w:rPr>
  </w:style>
  <w:style w:type="paragraph" w:styleId="Heading1">
    <w:name w:val="heading 1"/>
    <w:basedOn w:val="Normal"/>
    <w:next w:val="Paragraph"/>
    <w:link w:val="Heading1Char"/>
    <w:qFormat/>
    <w:pPr>
      <w:keepNext/>
      <w:spacing w:before="240" w:after="240"/>
      <w:jc w:val="center"/>
      <w:outlineLvl w:val="0"/>
    </w:pPr>
    <w:rPr>
      <w:b/>
      <w:caps/>
    </w:rPr>
  </w:style>
  <w:style w:type="paragraph" w:styleId="Heading2">
    <w:name w:val="heading 2"/>
    <w:basedOn w:val="Normal"/>
    <w:next w:val="Paragraph"/>
    <w:qFormat/>
    <w:pPr>
      <w:keepNext/>
      <w:spacing w:before="240" w:after="240"/>
      <w:jc w:val="center"/>
      <w:outlineLvl w:val="1"/>
    </w:pPr>
    <w:rPr>
      <w:b/>
    </w:rPr>
  </w:style>
  <w:style w:type="paragraph" w:styleId="Heading3">
    <w:name w:val="heading 3"/>
    <w:basedOn w:val="Normal"/>
    <w:next w:val="Normal"/>
    <w:qFormat/>
    <w:rsid w:val="005854B0"/>
    <w:pPr>
      <w:keepNext/>
      <w:spacing w:before="240" w:after="240"/>
      <w:jc w:val="center"/>
      <w:outlineLvl w:val="2"/>
    </w:pPr>
    <w:rPr>
      <w:i/>
      <w:iCs/>
      <w:sz w:val="20"/>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Characters">
    <w:name w:val="Footnote Characters"/>
    <w:semiHidden/>
    <w:qFormat/>
    <w:rPr>
      <w:vertAlign w:val="superscript"/>
    </w:rPr>
  </w:style>
  <w:style w:type="character" w:styleId="FootnoteReference">
    <w:name w:val="footnote reference"/>
    <w:rPr>
      <w:vertAlign w:val="superscript"/>
    </w:rPr>
  </w:style>
  <w:style w:type="character" w:customStyle="1" w:styleId="BalloonTextChar">
    <w:name w:val="Balloon Text Char"/>
    <w:basedOn w:val="DefaultParagraphFont"/>
    <w:link w:val="BalloonText"/>
    <w:qFormat/>
    <w:rsid w:val="00114AB1"/>
    <w:rPr>
      <w:rFonts w:ascii="Tahoma" w:hAnsi="Tahoma" w:cs="Tahoma"/>
      <w:sz w:val="16"/>
      <w:szCs w:val="16"/>
      <w:lang w:val="en-US" w:eastAsia="en-US"/>
    </w:rPr>
  </w:style>
  <w:style w:type="character" w:styleId="Hyperlink">
    <w:name w:val="Hyperlink"/>
    <w:rPr>
      <w:color w:val="0000FF"/>
      <w:u w:val="single"/>
    </w:rPr>
  </w:style>
  <w:style w:type="character" w:styleId="Strong">
    <w:name w:val="Strong"/>
    <w:basedOn w:val="DefaultParagraphFont"/>
    <w:uiPriority w:val="22"/>
    <w:qFormat/>
    <w:rsid w:val="005F7475"/>
    <w:rPr>
      <w:b/>
      <w:bCs/>
    </w:rPr>
  </w:style>
  <w:style w:type="character" w:styleId="Emphasis">
    <w:name w:val="Emphasis"/>
    <w:basedOn w:val="DefaultParagraphFont"/>
    <w:uiPriority w:val="20"/>
    <w:qFormat/>
    <w:rsid w:val="005F7475"/>
    <w:rPr>
      <w:i/>
      <w:iCs/>
    </w:rPr>
  </w:style>
  <w:style w:type="character" w:styleId="UnresolvedMention">
    <w:name w:val="Unresolved Mention"/>
    <w:basedOn w:val="DefaultParagraphFont"/>
    <w:uiPriority w:val="99"/>
    <w:semiHidden/>
    <w:unhideWhenUsed/>
    <w:qFormat/>
    <w:rsid w:val="00613B4D"/>
    <w:rPr>
      <w:color w:val="808080"/>
      <w:shd w:val="clear" w:color="auto" w:fill="E6E6E6"/>
    </w:rPr>
  </w:style>
  <w:style w:type="character" w:styleId="CommentReference">
    <w:name w:val="annotation reference"/>
    <w:basedOn w:val="DefaultParagraphFont"/>
    <w:semiHidden/>
    <w:unhideWhenUsed/>
    <w:qFormat/>
    <w:rsid w:val="005E71ED"/>
    <w:rPr>
      <w:sz w:val="16"/>
      <w:szCs w:val="16"/>
    </w:rPr>
  </w:style>
  <w:style w:type="character" w:customStyle="1" w:styleId="CommentTextChar">
    <w:name w:val="Comment Text Char"/>
    <w:basedOn w:val="DefaultParagraphFont"/>
    <w:link w:val="CommentText"/>
    <w:semiHidden/>
    <w:qFormat/>
    <w:rsid w:val="005E71ED"/>
    <w:rPr>
      <w:lang w:val="en-US" w:eastAsia="en-US"/>
    </w:rPr>
  </w:style>
  <w:style w:type="character" w:customStyle="1" w:styleId="CommentSubjectChar">
    <w:name w:val="Comment Subject Char"/>
    <w:basedOn w:val="CommentTextChar"/>
    <w:link w:val="CommentSubject"/>
    <w:semiHidden/>
    <w:qFormat/>
    <w:rsid w:val="005E71ED"/>
    <w:rPr>
      <w:b/>
      <w:bCs/>
      <w:lang w:val="en-US" w:eastAsia="en-US"/>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rsid w:val="0062503D"/>
    <w:pPr>
      <w:suppressLineNumbers/>
      <w:spacing w:before="120" w:after="120"/>
    </w:pPr>
    <w:rPr>
      <w:rFonts w:cs="Noto Sans Devanagari"/>
      <w:b/>
      <w:iCs/>
      <w:sz w:val="18"/>
      <w:szCs w:val="24"/>
    </w:rPr>
  </w:style>
  <w:style w:type="paragraph" w:customStyle="1" w:styleId="Index">
    <w:name w:val="Index"/>
    <w:basedOn w:val="Normal"/>
    <w:qFormat/>
    <w:pPr>
      <w:suppressLineNumbers/>
    </w:pPr>
    <w:rPr>
      <w:rFonts w:cs="Noto Sans Devanagari"/>
    </w:rPr>
  </w:style>
  <w:style w:type="paragraph" w:styleId="FootnoteText">
    <w:name w:val="footnote text"/>
    <w:basedOn w:val="Normal"/>
    <w:semiHidden/>
    <w:rPr>
      <w:sz w:val="16"/>
    </w:rPr>
  </w:style>
  <w:style w:type="paragraph" w:customStyle="1" w:styleId="PaperTitle">
    <w:name w:val="Paper Title"/>
    <w:basedOn w:val="Normal"/>
    <w:next w:val="AuthorName"/>
    <w:qFormat/>
    <w:pPr>
      <w:spacing w:before="1200"/>
      <w:jc w:val="center"/>
    </w:pPr>
    <w:rPr>
      <w:b/>
      <w:sz w:val="36"/>
    </w:rPr>
  </w:style>
  <w:style w:type="paragraph" w:customStyle="1" w:styleId="AuthorName">
    <w:name w:val="Author Name"/>
    <w:basedOn w:val="Normal"/>
    <w:next w:val="AuthorAffiliation"/>
    <w:qFormat/>
    <w:pPr>
      <w:spacing w:before="360" w:after="360"/>
      <w:jc w:val="center"/>
    </w:pPr>
    <w:rPr>
      <w:sz w:val="28"/>
    </w:rPr>
  </w:style>
  <w:style w:type="paragraph" w:customStyle="1" w:styleId="AuthorAffiliation">
    <w:name w:val="Author Affiliation"/>
    <w:basedOn w:val="Normal"/>
    <w:qFormat/>
    <w:pPr>
      <w:jc w:val="center"/>
    </w:pPr>
    <w:rPr>
      <w:i/>
      <w:sz w:val="20"/>
    </w:rPr>
  </w:style>
  <w:style w:type="paragraph" w:customStyle="1" w:styleId="Abstract">
    <w:name w:val="Abstract"/>
    <w:basedOn w:val="Normal"/>
    <w:next w:val="Heading1"/>
    <w:qFormat/>
    <w:rsid w:val="00F20BFC"/>
    <w:pPr>
      <w:spacing w:before="360" w:after="360"/>
      <w:ind w:left="289" w:right="289"/>
      <w:jc w:val="both"/>
    </w:pPr>
    <w:rPr>
      <w:sz w:val="18"/>
    </w:rPr>
  </w:style>
  <w:style w:type="paragraph" w:customStyle="1" w:styleId="Paragraph">
    <w:name w:val="Paragraph"/>
    <w:basedOn w:val="Normal"/>
    <w:qFormat/>
    <w:rsid w:val="005E415C"/>
    <w:pPr>
      <w:ind w:firstLine="284"/>
      <w:jc w:val="both"/>
    </w:pPr>
    <w:rPr>
      <w:sz w:val="20"/>
    </w:rPr>
  </w:style>
  <w:style w:type="paragraph" w:customStyle="1" w:styleId="Reference">
    <w:name w:val="Reference"/>
    <w:basedOn w:val="Paragraph"/>
    <w:qFormat/>
    <w:rsid w:val="00AE7500"/>
    <w:pPr>
      <w:numPr>
        <w:numId w:val="2"/>
      </w:numPr>
      <w:ind w:left="426" w:hanging="426"/>
    </w:pPr>
  </w:style>
  <w:style w:type="paragraph" w:customStyle="1" w:styleId="FigureCaption">
    <w:name w:val="Figure Caption"/>
    <w:next w:val="Paragraph"/>
    <w:qFormat/>
    <w:rsid w:val="00161A5B"/>
    <w:pPr>
      <w:spacing w:before="120"/>
      <w:jc w:val="center"/>
    </w:pPr>
    <w:rPr>
      <w:sz w:val="18"/>
      <w:lang w:val="en-US" w:eastAsia="en-US"/>
    </w:rPr>
  </w:style>
  <w:style w:type="paragraph" w:customStyle="1" w:styleId="Figure">
    <w:name w:val="Figure"/>
    <w:basedOn w:val="Paragraph"/>
    <w:qFormat/>
    <w:pPr>
      <w:keepNext/>
      <w:ind w:firstLine="0"/>
      <w:jc w:val="center"/>
    </w:pPr>
  </w:style>
  <w:style w:type="paragraph" w:customStyle="1" w:styleId="Equation">
    <w:name w:val="Equation"/>
    <w:basedOn w:val="Paragraph"/>
    <w:qFormat/>
    <w:rsid w:val="001146DC"/>
    <w:pPr>
      <w:tabs>
        <w:tab w:val="center" w:pos="4320"/>
        <w:tab w:val="right" w:pos="9242"/>
      </w:tabs>
      <w:ind w:firstLine="0"/>
      <w:jc w:val="center"/>
    </w:pPr>
  </w:style>
  <w:style w:type="paragraph" w:styleId="BalloonText">
    <w:name w:val="Balloon Text"/>
    <w:basedOn w:val="Normal"/>
    <w:link w:val="BalloonTextChar"/>
    <w:qFormat/>
    <w:rsid w:val="00114AB1"/>
    <w:rPr>
      <w:rFonts w:ascii="Tahoma" w:hAnsi="Tahoma" w:cs="Tahoma"/>
      <w:sz w:val="16"/>
      <w:szCs w:val="16"/>
    </w:rPr>
  </w:style>
  <w:style w:type="paragraph" w:customStyle="1" w:styleId="Paragraphbulleted">
    <w:name w:val="Paragraph (bulleted)"/>
    <w:basedOn w:val="Paragraph"/>
    <w:qFormat/>
    <w:rsid w:val="0040225B"/>
    <w:pPr>
      <w:numPr>
        <w:numId w:val="3"/>
      </w:numPr>
      <w:ind w:left="641" w:hanging="357"/>
    </w:pPr>
  </w:style>
  <w:style w:type="paragraph" w:customStyle="1" w:styleId="AuthorEmail">
    <w:name w:val="Author Email"/>
    <w:basedOn w:val="Normal"/>
    <w:qFormat/>
    <w:rsid w:val="001D469C"/>
    <w:pPr>
      <w:jc w:val="center"/>
    </w:pPr>
    <w:rPr>
      <w:sz w:val="20"/>
    </w:rPr>
  </w:style>
  <w:style w:type="paragraph" w:styleId="NormalWeb">
    <w:name w:val="Normal (Web)"/>
    <w:basedOn w:val="Normal"/>
    <w:uiPriority w:val="99"/>
    <w:unhideWhenUsed/>
    <w:qFormat/>
    <w:rsid w:val="005F7475"/>
    <w:pPr>
      <w:spacing w:beforeAutospacing="1" w:afterAutospacing="1"/>
    </w:pPr>
    <w:rPr>
      <w:szCs w:val="24"/>
      <w:lang w:val="en-GB" w:eastAsia="en-GB"/>
    </w:rPr>
  </w:style>
  <w:style w:type="paragraph" w:customStyle="1" w:styleId="TableCaption">
    <w:name w:val="Table Caption"/>
    <w:basedOn w:val="FigureCaption"/>
    <w:qFormat/>
    <w:rsid w:val="005A0E21"/>
    <w:rPr>
      <w:szCs w:val="18"/>
    </w:rPr>
  </w:style>
  <w:style w:type="paragraph" w:customStyle="1" w:styleId="Paragraphnumbered">
    <w:name w:val="Paragraph (numbered)"/>
    <w:qFormat/>
    <w:rsid w:val="000B49C0"/>
    <w:pPr>
      <w:numPr>
        <w:numId w:val="5"/>
      </w:numPr>
      <w:jc w:val="both"/>
    </w:pPr>
    <w:rPr>
      <w:lang w:val="en-US" w:eastAsia="en-US"/>
    </w:rPr>
  </w:style>
  <w:style w:type="paragraph" w:styleId="ListParagraph">
    <w:name w:val="List Paragraph"/>
    <w:basedOn w:val="Normal"/>
    <w:uiPriority w:val="34"/>
    <w:qFormat/>
    <w:rsid w:val="006E4474"/>
    <w:pPr>
      <w:ind w:left="720"/>
      <w:contextualSpacing/>
    </w:pPr>
  </w:style>
  <w:style w:type="paragraph" w:styleId="CommentText">
    <w:name w:val="annotation text"/>
    <w:basedOn w:val="Normal"/>
    <w:link w:val="CommentTextChar"/>
    <w:semiHidden/>
    <w:unhideWhenUsed/>
    <w:rsid w:val="005E71ED"/>
    <w:rPr>
      <w:sz w:val="20"/>
    </w:rPr>
  </w:style>
  <w:style w:type="paragraph" w:styleId="CommentSubject">
    <w:name w:val="annotation subject"/>
    <w:basedOn w:val="CommentText"/>
    <w:next w:val="CommentText"/>
    <w:link w:val="CommentSubjectChar"/>
    <w:semiHidden/>
    <w:unhideWhenUsed/>
    <w:qFormat/>
    <w:rsid w:val="005E71ED"/>
    <w:rPr>
      <w:b/>
      <w:bCs/>
    </w:rPr>
  </w:style>
  <w:style w:type="paragraph" w:customStyle="1" w:styleId="FrameContents">
    <w:name w:val="Frame Contents"/>
    <w:basedOn w:val="Normal"/>
    <w:qFormat/>
  </w:style>
  <w:style w:type="table" w:styleId="TableGrid">
    <w:name w:val="Table Grid"/>
    <w:basedOn w:val="TableNormal"/>
    <w:rsid w:val="006422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3C535B"/>
    <w:rPr>
      <w:b/>
      <w:caps/>
      <w:sz w:val="24"/>
      <w:lang w:val="en-US" w:eastAsia="en-US"/>
    </w:rPr>
  </w:style>
  <w:style w:type="character" w:styleId="PlaceholderText">
    <w:name w:val="Placeholder Text"/>
    <w:basedOn w:val="DefaultParagraphFont"/>
    <w:uiPriority w:val="99"/>
    <w:semiHidden/>
    <w:rsid w:val="003C535B"/>
    <w:rPr>
      <w:color w:val="666666"/>
    </w:rPr>
  </w:style>
  <w:style w:type="paragraph" w:styleId="Bibliography">
    <w:name w:val="Bibliography"/>
    <w:basedOn w:val="Normal"/>
    <w:next w:val="Normal"/>
    <w:uiPriority w:val="37"/>
    <w:unhideWhenUsed/>
    <w:rsid w:val="00182CFF"/>
  </w:style>
  <w:style w:type="character" w:styleId="FollowedHyperlink">
    <w:name w:val="FollowedHyperlink"/>
    <w:basedOn w:val="DefaultParagraphFont"/>
    <w:semiHidden/>
    <w:unhideWhenUsed/>
    <w:rsid w:val="00AC04A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https://github.com/izmaherdian/swarm-quadrotor-mapping/blob/main/docs/Diagram-Swarm-Quadrotor-Mapping.jpg" TargetMode="External"/><Relationship Id="rId4" Type="http://schemas.openxmlformats.org/officeDocument/2006/relationships/customXml" Target="../customXml/item4.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46995F60857E14C80FE53F9695AA2C6" ma:contentTypeVersion="7" ma:contentTypeDescription="Create a new document." ma:contentTypeScope="" ma:versionID="38c5f35686c3c4cec37769de32b93b97">
  <xsd:schema xmlns:xsd="http://www.w3.org/2001/XMLSchema" xmlns:xs="http://www.w3.org/2001/XMLSchema" xmlns:p="http://schemas.microsoft.com/office/2006/metadata/properties" xmlns:ns2="62f7b773-16dd-4b3c-b599-ed9bfcbd904f" xmlns:ns3="c3a8a8ca-00e5-416b-a184-163173e53f53" targetNamespace="http://schemas.microsoft.com/office/2006/metadata/properties" ma:root="true" ma:fieldsID="c7a00eb472d1264d625833f449ae8108" ns2:_="" ns3:_="">
    <xsd:import namespace="62f7b773-16dd-4b3c-b599-ed9bfcbd904f"/>
    <xsd:import namespace="c3a8a8ca-00e5-416b-a184-163173e53f5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f7b773-16dd-4b3c-b599-ed9bfcbd90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a8a8ca-00e5-416b-a184-163173e53f5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697ED27-AAD2-43E1-AA38-35C328735191}">
  <ds:schemaRefs>
    <ds:schemaRef ds:uri="http://schemas.openxmlformats.org/officeDocument/2006/bibliography"/>
  </ds:schemaRefs>
</ds:datastoreItem>
</file>

<file path=customXml/itemProps2.xml><?xml version="1.0" encoding="utf-8"?>
<ds:datastoreItem xmlns:ds="http://schemas.openxmlformats.org/officeDocument/2006/customXml" ds:itemID="{CF065601-3004-4BED-8BEF-2E59F4003D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f7b773-16dd-4b3c-b599-ed9bfcbd904f"/>
    <ds:schemaRef ds:uri="c3a8a8ca-00e5-416b-a184-163173e53f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844FC6D-7350-442F-8936-25B8D55E2C0C}">
  <ds:schemaRefs>
    <ds:schemaRef ds:uri="http://schemas.microsoft.com/sharepoint/v3/contenttype/forms"/>
  </ds:schemaRefs>
</ds:datastoreItem>
</file>

<file path=customXml/itemProps4.xml><?xml version="1.0" encoding="utf-8"?>
<ds:datastoreItem xmlns:ds="http://schemas.openxmlformats.org/officeDocument/2006/customXml" ds:itemID="{B23F62D3-EB58-423F-9DEC-FB3FD7A7276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2</Pages>
  <Words>3649</Words>
  <Characters>20803</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Title Goes Here</vt:lpstr>
    </vt:vector>
  </TitlesOfParts>
  <Company>PPI</Company>
  <LinksUpToDate>false</LinksUpToDate>
  <CharactersWithSpaces>24404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Goes Here</dc:title>
  <dc:subject/>
  <dc:creator>Ruth Levins</dc:creator>
  <dc:description/>
  <cp:lastModifiedBy>Izma Alhazmi Herdian</cp:lastModifiedBy>
  <cp:revision>14</cp:revision>
  <cp:lastPrinted>2011-03-03T08:29:00Z</cp:lastPrinted>
  <dcterms:created xsi:type="dcterms:W3CDTF">2026-06-12T04:33:00Z</dcterms:created>
  <dcterms:modified xsi:type="dcterms:W3CDTF">2026-09-21T20:55:00Z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0x010100846995F60857E14C80FE53F9695AA2C6</vt:lpwstr>
  </property>
  <property fmtid="{D5CDD505-2E9C-101B-9397-08002B2CF9AE}" pid="3" name="GrammarlyDocumentId">
    <vt:lpwstr>97d6fb94-979b-4f06-8913-db32815a5e28</vt:lpwstr>
  </property>
  <property fmtid="{D5CDD505-2E9C-101B-9397-08002B2CF9AE}" pid="4" name="MSIP_Label_38b525e5-f3da-4501-8f1e-526b6769fc56_ActionId">
    <vt:lpwstr>ee7bc1bf-6102-4480-b085-da681018c645</vt:lpwstr>
  </property>
  <property fmtid="{D5CDD505-2E9C-101B-9397-08002B2CF9AE}" pid="5" name="MSIP_Label_38b525e5-f3da-4501-8f1e-526b6769fc56_ContentBits">
    <vt:lpwstr>0</vt:lpwstr>
  </property>
  <property fmtid="{D5CDD505-2E9C-101B-9397-08002B2CF9AE}" pid="6" name="MSIP_Label_38b525e5-f3da-4501-8f1e-526b6769fc56_Enabled">
    <vt:lpwstr>true</vt:lpwstr>
  </property>
  <property fmtid="{D5CDD505-2E9C-101B-9397-08002B2CF9AE}" pid="7" name="MSIP_Label_38b525e5-f3da-4501-8f1e-526b6769fc56_Method">
    <vt:lpwstr>Standard</vt:lpwstr>
  </property>
  <property fmtid="{D5CDD505-2E9C-101B-9397-08002B2CF9AE}" pid="8" name="MSIP_Label_38b525e5-f3da-4501-8f1e-526b6769fc56_Name">
    <vt:lpwstr>defa4170-0d19-0005-0004-bc88714345d2</vt:lpwstr>
  </property>
  <property fmtid="{D5CDD505-2E9C-101B-9397-08002B2CF9AE}" pid="9" name="MSIP_Label_38b525e5-f3da-4501-8f1e-526b6769fc56_SetDate">
    <vt:lpwstr>2026-06-12T04:33:39Z</vt:lpwstr>
  </property>
  <property fmtid="{D5CDD505-2E9C-101B-9397-08002B2CF9AE}" pid="10" name="MSIP_Label_38b525e5-f3da-4501-8f1e-526b6769fc56_SiteId">
    <vt:lpwstr>db6e1183-4c65-405c-82ce-7cd53fa6e9dc</vt:lpwstr>
  </property>
  <property fmtid="{D5CDD505-2E9C-101B-9397-08002B2CF9AE}" pid="11" name="MSIP_Label_38b525e5-f3da-4501-8f1e-526b6769fc56_Tag">
    <vt:lpwstr>10, 3, 0, 1</vt:lpwstr>
  </property>
  <property fmtid="{D5CDD505-2E9C-101B-9397-08002B2CF9AE}" pid="12" name="ZOTERO_PREF_1">
    <vt:lpwstr>&lt;data data-version="3" zotero-version="9.0.6"&gt;&lt;session id="810xvcOR"/&gt;&lt;style id="http://www.zotero.org/styles/american-institute-of-physics" hasBibliography="1" bibliographyStyleHasBeenSet="1"/&gt;&lt;prefs&gt;&lt;pref name="fieldType" value="Field"/&gt;&lt;/prefs&gt;&lt;/data&gt;</vt:lpwstr>
  </property>
</Properties>
</file>