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940C" w14:textId="77777777" w:rsidR="00BD3578" w:rsidRDefault="00E51F8B">
      <w:pPr>
        <w:pStyle w:val="PaperTitle"/>
        <w:spacing w:before="0"/>
      </w:pPr>
      <w:r>
        <w:t>Fault-Tolerant Swarm Quadrotor Control for Non-Convex Geodetic Mapping</w:t>
      </w:r>
    </w:p>
    <w:p w14:paraId="550F91C2" w14:textId="1CA95519" w:rsidR="00BD3578" w:rsidRPr="00A765A2" w:rsidRDefault="00E51F8B">
      <w:pPr>
        <w:pStyle w:val="AuthorName"/>
        <w:rPr>
          <w:vertAlign w:val="superscript"/>
        </w:rPr>
      </w:pPr>
      <w:r>
        <w:t>Izma Alhazmi Herdian</w:t>
      </w:r>
      <w:r>
        <w:rPr>
          <w:vertAlign w:val="superscript"/>
        </w:rPr>
        <w:t>1, 2, a)</w:t>
      </w:r>
      <w:r>
        <w:t>, Sulthan Naufal Affan</w:t>
      </w:r>
      <w:r>
        <w:rPr>
          <w:vertAlign w:val="superscript"/>
        </w:rPr>
        <w:t>1, b)</w:t>
      </w:r>
      <w:r>
        <w:t>, Estiyanti Ekawati</w:t>
      </w:r>
      <w:r>
        <w:rPr>
          <w:vertAlign w:val="superscript"/>
        </w:rPr>
        <w:t>1, 2, c)</w:t>
      </w:r>
      <w:r w:rsidR="00A765A2">
        <w:t>, and Faqihza Mukhlish</w:t>
      </w:r>
      <w:r w:rsidR="00A765A2">
        <w:rPr>
          <w:vertAlign w:val="superscript"/>
        </w:rPr>
        <w:t>1, 2, d)</w:t>
      </w:r>
    </w:p>
    <w:p w14:paraId="5157B3FD" w14:textId="77777777" w:rsidR="00BD3578" w:rsidRDefault="00E51F8B">
      <w:pPr>
        <w:pStyle w:val="AuthorAffiliation"/>
      </w:pPr>
      <w:r>
        <w:rPr>
          <w:vertAlign w:val="superscript"/>
        </w:rPr>
        <w:t>1</w:t>
      </w:r>
      <w:r>
        <w:t>Engineering Physics Department, Institut Teknologi Bandung, Bandung 40132, Indonesia</w:t>
      </w:r>
    </w:p>
    <w:p w14:paraId="2CA0DC0F" w14:textId="77777777" w:rsidR="00BD3578" w:rsidRDefault="00E51F8B">
      <w:pPr>
        <w:pStyle w:val="AuthorAffiliation"/>
      </w:pPr>
      <w:r>
        <w:rPr>
          <w:vertAlign w:val="superscript"/>
        </w:rPr>
        <w:t>2</w:t>
      </w:r>
      <w:r>
        <w:t>Center for Instrumentation Technology and Automation, Institut Teknologi Bandung, Bandung 40132, Indonesia</w:t>
      </w:r>
    </w:p>
    <w:p w14:paraId="3226FB8C" w14:textId="77777777" w:rsidR="00BD3578" w:rsidRDefault="00E51F8B">
      <w:pPr>
        <w:pStyle w:val="AuthorEmail"/>
        <w:spacing w:before="60"/>
      </w:pPr>
      <w:r>
        <w:rPr>
          <w:i/>
          <w:vertAlign w:val="superscript"/>
        </w:rPr>
        <w:t>a)</w:t>
      </w:r>
      <w:r>
        <w:rPr>
          <w:i/>
        </w:rPr>
        <w:t>Corresponding author: izmaherdian@gmail.com</w:t>
      </w:r>
    </w:p>
    <w:p w14:paraId="419EF564" w14:textId="2A167D7A" w:rsidR="00A765A2" w:rsidRDefault="00E51F8B" w:rsidP="008F47E5">
      <w:pPr>
        <w:pStyle w:val="AuthorEmail"/>
      </w:pPr>
      <w:r>
        <w:rPr>
          <w:i/>
          <w:vertAlign w:val="superscript"/>
        </w:rPr>
        <w:t>b)</w:t>
      </w:r>
      <w:r>
        <w:rPr>
          <w:i/>
        </w:rPr>
        <w:t>sulthannaufal96@gmail.com</w:t>
      </w:r>
      <w:r w:rsidR="008F47E5">
        <w:rPr>
          <w:i/>
        </w:rPr>
        <w:t xml:space="preserve">    </w:t>
      </w:r>
      <w:r>
        <w:rPr>
          <w:i/>
          <w:vertAlign w:val="superscript"/>
        </w:rPr>
        <w:t>c)</w:t>
      </w:r>
      <w:r>
        <w:rPr>
          <w:i/>
        </w:rPr>
        <w:t>esti@itb.ac.id</w:t>
      </w:r>
      <w:r w:rsidR="008F47E5">
        <w:rPr>
          <w:i/>
        </w:rPr>
        <w:t xml:space="preserve">    </w:t>
      </w:r>
      <w:r w:rsidR="00A765A2">
        <w:rPr>
          <w:i/>
          <w:vertAlign w:val="superscript"/>
        </w:rPr>
        <w:t>d</w:t>
      </w:r>
      <w:r w:rsidR="00A765A2">
        <w:rPr>
          <w:i/>
          <w:vertAlign w:val="superscript"/>
        </w:rPr>
        <w:t>)</w:t>
      </w:r>
      <w:r w:rsidR="00A765A2">
        <w:rPr>
          <w:i/>
        </w:rPr>
        <w:t>faqihza.m</w:t>
      </w:r>
      <w:r w:rsidR="00A765A2">
        <w:rPr>
          <w:i/>
        </w:rPr>
        <w:t>@itb.ac.id</w:t>
      </w:r>
    </w:p>
    <w:p w14:paraId="69D39030" w14:textId="77777777" w:rsidR="00BD3578" w:rsidRDefault="00E51F8B">
      <w:pPr>
        <w:pStyle w:val="Abstract"/>
      </w:pPr>
      <w:r>
        <w:rPr>
          <w:b/>
        </w:rPr>
        <w:t>Abstract.</w:t>
      </w:r>
      <w:r>
        <w:t xml:space="preserve"> Surveying a non-convex site with a quadrotor swarm must remain safe and complete when the wind is strong, obstacles are unknown in advance, and agents fail in flight. We present a three-layer architecture for this task. The high level partitions the region by polygon-clipped centroidal Voronoi tessellation, plans boundary-following boustrophedon sweeps and reallocates the unswept lanes of failed agents. The mid level maps obstacles with on-board LiDAR and filters every velocity command through a control barrier function quadratic program whose admissible approach-speed function follows from the tilt limit and dead time of the vehicle. The low level is a cascaded PID with gains synthesised from the LQR or the </w:t>
      </w:r>
      <w:r>
        <w:rPr>
          <w:i/>
        </w:rPr>
        <w:t>H</w:t>
      </w:r>
      <w:r>
        <w:rPr>
          <w:vertAlign w:val="subscript"/>
        </w:rPr>
        <w:t>∞</w:t>
      </w:r>
      <w:r>
        <w:t xml:space="preserve"> Riccati equation. Seven quadrotors were flown in ROS 2/Gazebo over one convex and three non-convex regions under Gauss–Markov turbulence (</w:t>
      </w:r>
      <w:r>
        <w:rPr>
          <w:i/>
        </w:rPr>
        <w:t>σ</w:t>
      </w:r>
      <w:r>
        <w:t xml:space="preserve"> = 2.5 m/s) with a recorded mean wind of 3.0 m/s, nine unmapped static and two moving obstacles, and two scheduled agent losses. Seven of eight missions finished with 96.9–99.0% coverage despite losing 28.6% of the fleet. PID-</w:t>
      </w:r>
      <w:r>
        <w:rPr>
          <w:i/>
        </w:rPr>
        <w:t>H</w:t>
      </w:r>
      <w:r>
        <w:rPr>
          <w:vertAlign w:val="subscript"/>
        </w:rPr>
        <w:t>∞</w:t>
      </w:r>
      <w:r>
        <w:t xml:space="preserve"> completed all four regions; in the three regions where both controllers finished, it lowered the RMS lateral sweep error by 16–31%, mostly by rejecting the mean wind, and finished 11–15% sooner, at 3.9–5.6 times the torque effort of PID-LQR. One PID-LQR mission was stopped after an agent struck an obstacle, and in three other missions an agent passed within rotor reach of a cylinder. Each configuration was flown once, so these are single-run observations. The source code is available at </w:t>
      </w:r>
      <w:hyperlink r:id="rId9" w:history="1">
        <w:r>
          <w:t>https://github.com/izmaherdian/swarm-quadrotor-mapping</w:t>
        </w:r>
      </w:hyperlink>
      <w:r>
        <w:t>.</w:t>
      </w:r>
    </w:p>
    <w:p w14:paraId="744F6BAF" w14:textId="77777777" w:rsidR="00BD3578" w:rsidRDefault="00E51F8B">
      <w:pPr>
        <w:pStyle w:val="Heading1"/>
      </w:pPr>
      <w:r>
        <w:t>Introduction</w:t>
      </w:r>
    </w:p>
    <w:p w14:paraId="25E30825" w14:textId="1E5B1DE7" w:rsidR="00BD3578" w:rsidRDefault="00E51F8B">
      <w:pPr>
        <w:pStyle w:val="Paragraph"/>
      </w:pPr>
      <w:r>
        <w:t>Multi-rotor swarms shorten aerial surveys, but real sites are rarely rectangles: they have re-entrant corners, gusty wind, obstacles unknown before take-off, and vehicles that fail. Centroidal Voronoi tessellation (CVT) with Lloyd’s iteration [</w:t>
      </w:r>
      <w:hyperlink w:anchor="_Ref_bib1" w:history="1">
        <w:r>
          <w:t>1</w:t>
        </w:r>
      </w:hyperlink>
      <w:r>
        <w:t>] distributes agents over a region and has been combined with obstacles and actuator faults [</w:t>
      </w:r>
      <w:hyperlink w:anchor="_Ref_bib2" w:history="1">
        <w:r>
          <w:t>2</w:t>
        </w:r>
      </w:hyperlink>
      <w:r>
        <w:t>], safety constraints [</w:t>
      </w:r>
      <w:hyperlink w:anchor="_Ref_bib3" w:history="1">
        <w:r>
          <w:t>3</w:t>
        </w:r>
      </w:hyperlink>
      <w:r>
        <w:t>], non-convex domains [</w:t>
      </w:r>
      <w:hyperlink w:anchor="_Ref_bib4" w:history="1">
        <w:r>
          <w:t>4</w:t>
        </w:r>
      </w:hyperlink>
      <w:r>
        <w:t>] and agent dropout [</w:t>
      </w:r>
      <w:hyperlink w:anchor="_Ref_bib5" w:history="1">
        <w:r>
          <w:t>5</w:t>
        </w:r>
      </w:hyperlink>
      <w:r>
        <w:t>]; boustrophedon sweeps remain a standard way to cover a cell [</w:t>
      </w:r>
      <w:hyperlink w:anchor="_Ref_bib6" w:history="1">
        <w:r>
          <w:t>6</w:t>
        </w:r>
      </w:hyperlink>
      <w:r>
        <w:t xml:space="preserve">, </w:t>
      </w:r>
      <w:hyperlink w:anchor="_Ref_bib7" w:history="1">
        <w:r>
          <w:t>7</w:t>
        </w:r>
      </w:hyperlink>
      <w:r>
        <w:t>], including cooperative UAV surveys [</w:t>
      </w:r>
      <w:hyperlink w:anchor="_Ref_bib8" w:history="1">
        <w:r>
          <w:t>8</w:t>
        </w:r>
      </w:hyperlink>
      <w:r>
        <w:t>] with re-planning after failures [</w:t>
      </w:r>
      <w:hyperlink w:anchor="_Ref_bib9" w:history="1">
        <w:r>
          <w:t>9</w:t>
        </w:r>
      </w:hyperlink>
      <w:r>
        <w:t>]. Control barrier functions (CBF) enforce safety as a quadratic program (QP) on the input [</w:t>
      </w:r>
      <w:hyperlink w:anchor="_Ref_bib10" w:history="1">
        <w:r>
          <w:t>10</w:t>
        </w:r>
      </w:hyperlink>
      <w:r>
        <w:t xml:space="preserve">, </w:t>
      </w:r>
      <w:hyperlink w:anchor="_Ref_bib11" w:history="1">
        <w:r>
          <w:t>11</w:t>
        </w:r>
      </w:hyperlink>
      <w:r>
        <w:t>], with high-order [</w:t>
      </w:r>
      <w:hyperlink w:anchor="_Ref_bib12" w:history="1">
        <w:r>
          <w:t>12</w:t>
        </w:r>
      </w:hyperlink>
      <w:r>
        <w:t>], multi-robot [</w:t>
      </w:r>
      <w:hyperlink w:anchor="_Ref_bib13" w:history="1">
        <w:r>
          <w:t>13</w:t>
        </w:r>
      </w:hyperlink>
      <w:r>
        <w:t>] and quadrotor forms for moving obstacles [</w:t>
      </w:r>
      <w:hyperlink w:anchor="_Ref_bib14" w:history="1">
        <w:r>
          <w:t>14</w:t>
        </w:r>
      </w:hyperlink>
      <w:r>
        <w:t>] and wind gusts [</w:t>
      </w:r>
      <w:hyperlink w:anchor="_Ref_bib15" w:history="1">
        <w:r>
          <w:t>15</w:t>
        </w:r>
      </w:hyperlink>
      <w:r>
        <w:t xml:space="preserve">]; LQR and </w:t>
      </w:r>
      <w:r>
        <w:rPr>
          <w:i/>
        </w:rPr>
        <w:t>H</w:t>
      </w:r>
      <w:r>
        <w:rPr>
          <w:vertAlign w:val="subscript"/>
        </w:rPr>
        <w:t>∞</w:t>
      </w:r>
      <w:r>
        <w:t xml:space="preserve"> synthesis [</w:t>
      </w:r>
      <w:hyperlink w:anchor="_Ref_bib16" w:history="1">
        <w:r>
          <w:t>16</w:t>
        </w:r>
      </w:hyperlink>
      <w:r>
        <w:t>] remain common for multirotor control under wind [</w:t>
      </w:r>
      <w:hyperlink w:anchor="_Ref_bib17" w:history="1">
        <w:r>
          <w:t>17</w:t>
        </w:r>
      </w:hyperlink>
      <w:r>
        <w:t>], and swarm fault tolerance is an active topic [</w:t>
      </w:r>
      <w:hyperlink w:anchor="_Ref_bib18" w:history="1">
        <w:r>
          <w:t>18</w:t>
        </w:r>
      </w:hyperlink>
      <w:r>
        <w:t>]. Hierarchical quadcopter swarms with a reactive potential-field planner above cascaded PID loops fly formations through clutter and gusts, yet purely reactive planners remain prone to U-shaped traps [</w:t>
      </w:r>
      <w:hyperlink w:anchor="_Ref_bib19" w:history="1">
        <w:r>
          <w:t>19</w:t>
        </w:r>
      </w:hyperlink>
      <w:r>
        <w:t>].</w:t>
      </w:r>
    </w:p>
    <w:p w14:paraId="11BC38C1" w14:textId="77777777" w:rsidR="00BD3578" w:rsidRDefault="00E51F8B">
      <w:pPr>
        <w:pStyle w:val="Paragraph"/>
      </w:pPr>
      <w:r>
        <w:t xml:space="preserve">What is less reported is how these pieces behave </w:t>
      </w:r>
      <w:r>
        <w:rPr>
          <w:i/>
        </w:rPr>
        <w:t>together</w:t>
      </w:r>
      <w:r>
        <w:t xml:space="preserve"> on a physically simulated vehicle, where velocity commands are not realised instantly and wind drift costs coverage. This paper contributes (i) an architecture running polygon-aware CVT partitioning, boundary-following sweeps and lane-level fault reallocation above a LiDAR-mapped CBF-QP whose admissible approach speed is derived from the closed-loop model of the vehicle; (ii) a comparison of PID gains from the LQR and </w:t>
      </w:r>
      <w:r>
        <w:rPr>
          <w:i/>
        </w:rPr>
        <w:t>H</w:t>
      </w:r>
      <w:r>
        <w:rPr>
          <w:vertAlign w:val="subscript"/>
        </w:rPr>
        <w:t>∞</w:t>
      </w:r>
      <w:r>
        <w:t xml:space="preserve"> Riccati equations, on the linear model and inside the swarm; and (iii) an evaluation of eight missions under combined hazards, including their failures.</w:t>
      </w:r>
    </w:p>
    <w:p w14:paraId="7CD9F843" w14:textId="77777777" w:rsidR="00BD3578" w:rsidRDefault="00E51F8B">
      <w:pPr>
        <w:pStyle w:val="Heading1"/>
      </w:pPr>
      <w:r>
        <w:lastRenderedPageBreak/>
        <w:t>Methodology</w:t>
      </w:r>
    </w:p>
    <w:p w14:paraId="51160C5D" w14:textId="77777777" w:rsidR="00BD3578" w:rsidRDefault="00E51F8B">
      <w:pPr>
        <w:pStyle w:val="Heading2"/>
      </w:pPr>
      <w:r>
        <w:t>System Architecture</w:t>
      </w:r>
    </w:p>
    <w:p w14:paraId="55E52686" w14:textId="5FD07042" w:rsidR="00BD3578" w:rsidRDefault="00E51F8B">
      <w:pPr>
        <w:pStyle w:val="Paragraph"/>
      </w:pPr>
      <w:r>
        <w:t>Figure </w:t>
      </w:r>
      <w:r>
        <w:fldChar w:fldCharType="begin"/>
      </w:r>
      <w:r>
        <w:instrText xml:space="preserve"> REF _Ref_fig_arch \h \* MERGEFORMAT </w:instrText>
      </w:r>
      <w:r>
        <w:fldChar w:fldCharType="separate"/>
      </w:r>
      <w:r w:rsidR="00122361" w:rsidRPr="00122361">
        <w:t>1</w:t>
      </w:r>
      <w:r>
        <w:fldChar w:fldCharType="end"/>
      </w:r>
      <w:r>
        <w:t xml:space="preserve"> shows the three layers, defined per agent: a cell, a lane queue, a safety filter using neighbours within 6 m and obstacles within 10 m, and a flight controller. The upper layers of all agents run in one 20 Hz ROS 2 node [</w:t>
      </w:r>
      <w:hyperlink w:anchor="_Ref_bib20" w:history="1">
        <w:r>
          <w:t>20</w:t>
        </w:r>
      </w:hyperlink>
      <w:r>
        <w:t>], sharing the coverage grid, obstacle map and failure notices without delay, and each vehicle runs its own 250 Hz low level; distributing the upper layers is future work.</w:t>
      </w:r>
    </w:p>
    <w:p w14:paraId="5303BB3E" w14:textId="77777777" w:rsidR="00BD3578" w:rsidRDefault="00E51F8B">
      <w:pPr>
        <w:pStyle w:val="Figure"/>
      </w:pPr>
      <w:r>
        <w:rPr>
          <w:noProof/>
        </w:rPr>
        <w:drawing>
          <wp:inline distT="0" distB="0" distL="0" distR="0" wp14:anchorId="4F87216E" wp14:editId="0E1A6323">
            <wp:extent cx="5394960" cy="175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0"/>
                    <a:stretch>
                      <a:fillRect/>
                    </a:stretch>
                  </pic:blipFill>
                  <pic:spPr>
                    <a:xfrm>
                      <a:off x="0" y="0"/>
                      <a:ext cx="5394960" cy="1757685"/>
                    </a:xfrm>
                    <a:prstGeom prst="rect">
                      <a:avLst/>
                    </a:prstGeom>
                  </pic:spPr>
                </pic:pic>
              </a:graphicData>
            </a:graphic>
          </wp:inline>
        </w:drawing>
      </w:r>
    </w:p>
    <w:p w14:paraId="51332E30" w14:textId="428BE6DB" w:rsidR="00BD3578" w:rsidRDefault="00E51F8B">
      <w:pPr>
        <w:pStyle w:val="FigureCaption"/>
        <w:spacing w:before="40" w:after="60"/>
      </w:pPr>
      <w:r>
        <w:rPr>
          <w:b/>
        </w:rPr>
        <w:t xml:space="preserve">FIGURE </w:t>
      </w:r>
      <w:bookmarkStart w:id="0" w:name="_Ref_fig_arch"/>
      <w:r>
        <w:rPr>
          <w:b/>
        </w:rPr>
        <w:fldChar w:fldCharType="begin"/>
      </w:r>
      <w:r>
        <w:rPr>
          <w:b/>
        </w:rPr>
        <w:instrText xml:space="preserve"> SEQ Figure \* ARABIC </w:instrText>
      </w:r>
      <w:r>
        <w:rPr>
          <w:b/>
        </w:rPr>
        <w:fldChar w:fldCharType="separate"/>
      </w:r>
      <w:r w:rsidR="00122361">
        <w:rPr>
          <w:b/>
          <w:noProof/>
        </w:rPr>
        <w:t>1</w:t>
      </w:r>
      <w:r>
        <w:rPr>
          <w:b/>
        </w:rPr>
        <w:fldChar w:fldCharType="end"/>
      </w:r>
      <w:bookmarkEnd w:id="0"/>
      <w:r>
        <w:rPr>
          <w:b/>
        </w:rPr>
        <w:t>.</w:t>
      </w:r>
      <w:r>
        <w:t xml:space="preserve"> Three-layer architecture: per-agent layers, with the high and mid levels of all agents hosted in one ROS 2 node and one low-level controller per vehicle.</w:t>
      </w:r>
    </w:p>
    <w:p w14:paraId="337FBA29" w14:textId="77777777" w:rsidR="00BD3578" w:rsidRDefault="00E51F8B">
      <w:pPr>
        <w:pStyle w:val="Figure"/>
      </w:pPr>
      <w:r>
        <w:rPr>
          <w:noProof/>
        </w:rPr>
        <w:drawing>
          <wp:inline distT="0" distB="0" distL="0" distR="0" wp14:anchorId="2559F7F4" wp14:editId="078A1500">
            <wp:extent cx="5394960" cy="1968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high.png"/>
                    <pic:cNvPicPr/>
                  </pic:nvPicPr>
                  <pic:blipFill>
                    <a:blip r:embed="rId11"/>
                    <a:stretch>
                      <a:fillRect/>
                    </a:stretch>
                  </pic:blipFill>
                  <pic:spPr>
                    <a:xfrm>
                      <a:off x="0" y="0"/>
                      <a:ext cx="5394960" cy="1968687"/>
                    </a:xfrm>
                    <a:prstGeom prst="rect">
                      <a:avLst/>
                    </a:prstGeom>
                  </pic:spPr>
                </pic:pic>
              </a:graphicData>
            </a:graphic>
          </wp:inline>
        </w:drawing>
      </w:r>
    </w:p>
    <w:p w14:paraId="46157EC0" w14:textId="455DCF06" w:rsidR="00BD3578" w:rsidRDefault="00E51F8B">
      <w:pPr>
        <w:pStyle w:val="FigureCaption"/>
        <w:spacing w:before="40" w:after="60"/>
      </w:pPr>
      <w:r>
        <w:rPr>
          <w:b/>
        </w:rPr>
        <w:t xml:space="preserve">FIGURE </w:t>
      </w:r>
      <w:bookmarkStart w:id="1" w:name="_Ref_fig_concept_high"/>
      <w:r>
        <w:rPr>
          <w:b/>
        </w:rPr>
        <w:fldChar w:fldCharType="begin"/>
      </w:r>
      <w:r>
        <w:rPr>
          <w:b/>
        </w:rPr>
        <w:instrText xml:space="preserve"> SEQ Figure \* ARABIC </w:instrText>
      </w:r>
      <w:r>
        <w:rPr>
          <w:b/>
        </w:rPr>
        <w:fldChar w:fldCharType="separate"/>
      </w:r>
      <w:r w:rsidR="00122361">
        <w:rPr>
          <w:b/>
          <w:noProof/>
        </w:rPr>
        <w:t>2</w:t>
      </w:r>
      <w:r>
        <w:rPr>
          <w:b/>
        </w:rPr>
        <w:fldChar w:fldCharType="end"/>
      </w:r>
      <w:bookmarkEnd w:id="1"/>
      <w:r>
        <w:rPr>
          <w:b/>
        </w:rPr>
        <w:t>.</w:t>
      </w:r>
      <w:r>
        <w:t xml:space="preserve"> High-level planning in the PID-</w:t>
      </w:r>
      <w:r>
        <w:rPr>
          <w:i/>
        </w:rPr>
        <w:t>H</w:t>
      </w:r>
      <w:r>
        <w:rPr>
          <w:vertAlign w:val="subscript"/>
        </w:rPr>
        <w:t>∞</w:t>
      </w:r>
      <w:r>
        <w:t xml:space="preserve"> U-shape mission, reproduced with the planner code (centroids within 0.6 cm of the log, identical lane counts). (a) Cells and their 54 lanes; first and last lanes follow the cell boundary. (b) Agent 4 is lost; its cell yields 11 lanes for agents 5, 6. (c) Helper 5 is lost too; the merged cells yield 11 lanes, coloured by the agent that flew them.</w:t>
      </w:r>
    </w:p>
    <w:p w14:paraId="41AC6D02" w14:textId="77777777" w:rsidR="00BD3578" w:rsidRDefault="00E51F8B">
      <w:pPr>
        <w:pStyle w:val="Heading2"/>
      </w:pPr>
      <w:r>
        <w:t>High Level: Partition, Sweep and Fault-Tolerant Cooperative Coverage</w:t>
      </w:r>
    </w:p>
    <w:p w14:paraId="0EDEB6BA" w14:textId="77777777" w:rsidR="00BD3578" w:rsidRDefault="00E51F8B">
      <w:pPr>
        <w:pStyle w:val="Paragraph"/>
      </w:pPr>
      <w:r>
        <w:t xml:space="preserve">Given the region polygon 𝒬 and generators </w:t>
      </w:r>
      <w:r>
        <w:rPr>
          <w:b/>
        </w:rPr>
        <w:t>g</w:t>
      </w:r>
      <w:r>
        <w:rPr>
          <w:i/>
          <w:vertAlign w:val="subscript"/>
        </w:rPr>
        <w:t>i</w:t>
      </w:r>
      <w:r>
        <w:t xml:space="preserve">, the cell of agent </w:t>
      </w:r>
      <w:r>
        <w:rPr>
          <w:i/>
        </w:rPr>
        <w:t>i</w:t>
      </w:r>
      <w:r>
        <w:t xml:space="preserve"> is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27BEC589" w14:textId="77777777">
        <w:tc>
          <w:tcPr>
            <w:tcW w:w="720" w:type="dxa"/>
            <w:vAlign w:val="center"/>
          </w:tcPr>
          <w:p w14:paraId="1114BE9C" w14:textId="77777777" w:rsidR="00BD3578" w:rsidRDefault="00BD3578"/>
        </w:tc>
        <w:tc>
          <w:tcPr>
            <w:tcW w:w="7920" w:type="dxa"/>
            <w:vAlign w:val="center"/>
          </w:tcPr>
          <w:p w14:paraId="63E1339F" w14:textId="77777777" w:rsidR="00BD3578" w:rsidRDefault="00000000">
            <w:pPr>
              <w:pStyle w:val="Equation"/>
              <w:spacing w:before="20" w:after="20"/>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r>
                  <w:rPr>
                    <w:rFonts w:ascii="Cambria Math" w:hAnsi="Cambria Math"/>
                  </w:rPr>
                  <m:t>={q∈</m:t>
                </m:r>
                <m:r>
                  <m:rPr>
                    <m:scr m:val="script"/>
                  </m:rPr>
                  <w:rPr>
                    <w:rFonts w:ascii="Cambria Math" w:hAnsi="Cambria Math"/>
                  </w:rPr>
                  <m:t>Q:‖</m:t>
                </m:r>
                <m:r>
                  <w:rPr>
                    <w:rFonts w:ascii="Cambria Math" w:hAnsi="Cambria Math"/>
                  </w:rPr>
                  <m:t>q-</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‖≤‖q-</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r>
                  <m:rPr>
                    <m:nor/>
                  </m:rPr>
                  <m:t> </m:t>
                </m:r>
                <m:r>
                  <w:rPr>
                    <w:rFonts w:ascii="Cambria Math" w:hAnsi="Cambria Math"/>
                  </w:rPr>
                  <m:t>∀j≠i},</m:t>
                </m:r>
              </m:oMath>
            </m:oMathPara>
          </w:p>
        </w:tc>
        <w:tc>
          <w:tcPr>
            <w:tcW w:w="720" w:type="dxa"/>
            <w:vAlign w:val="center"/>
          </w:tcPr>
          <w:p w14:paraId="51864981" w14:textId="418ACBAA" w:rsidR="00BD3578" w:rsidRDefault="00E51F8B">
            <w:pPr>
              <w:pStyle w:val="Paragraph"/>
              <w:ind w:firstLine="0"/>
              <w:jc w:val="right"/>
            </w:pPr>
            <w:r>
              <w:t>(</w:t>
            </w:r>
            <w:bookmarkStart w:id="2" w:name="_Ref_eq_vor"/>
            <w:r>
              <w:fldChar w:fldCharType="begin"/>
            </w:r>
            <w:r>
              <w:instrText xml:space="preserve"> SEQ Equation \* ARABIC </w:instrText>
            </w:r>
            <w:r>
              <w:fldChar w:fldCharType="separate"/>
            </w:r>
            <w:r w:rsidR="00122361">
              <w:rPr>
                <w:noProof/>
              </w:rPr>
              <w:t>1</w:t>
            </w:r>
            <w:r>
              <w:fldChar w:fldCharType="end"/>
            </w:r>
            <w:bookmarkEnd w:id="2"/>
            <w:r>
              <w:t>)</w:t>
            </w:r>
          </w:p>
        </w:tc>
      </w:tr>
    </w:tbl>
    <w:p w14:paraId="5CACF348" w14:textId="230167CB" w:rsidR="00BD3578" w:rsidRDefault="00E51F8B">
      <w:pPr>
        <w:pStyle w:val="Paragraph"/>
        <w:ind w:firstLine="0"/>
      </w:pPr>
      <w:r>
        <w:t xml:space="preserve">computed by clipping bisector half-planes and intersecting the result with 𝒬. Lloyd’s iteration </w:t>
      </w:r>
      <w:r>
        <w:rPr>
          <w:b/>
        </w:rPr>
        <w:t>g</w:t>
      </w:r>
      <w:r>
        <w:rPr>
          <w:i/>
          <w:vertAlign w:val="subscript"/>
        </w:rPr>
        <w:t>i</w:t>
      </w:r>
      <w:r>
        <w:t xml:space="preserve"> ← centroid(𝒫</w:t>
      </w:r>
      <w:r>
        <w:rPr>
          <w:i/>
          <w:vertAlign w:val="subscript"/>
        </w:rPr>
        <w:t>i</w:t>
      </w:r>
      <w:r>
        <w:t xml:space="preserve">) (25 iterations from deterministic k-means++ seeds) minimises </w:t>
      </w:r>
      <m:oMath>
        <m:nary>
          <m:naryPr>
            <m:chr m:val="∑"/>
            <m:limLoc m:val="subSup"/>
            <m:grow m:val="1"/>
            <m:supHide m:val="1"/>
            <m:ctrlPr>
              <w:rPr>
                <w:rFonts w:ascii="Cambria Math" w:hAnsi="Cambria Math"/>
              </w:rPr>
            </m:ctrlPr>
          </m:naryPr>
          <m:sub>
            <m:r>
              <w:rPr>
                <w:rFonts w:ascii="Cambria Math" w:hAnsi="Cambria Math"/>
              </w:rPr>
              <m:t>i</m:t>
            </m:r>
          </m:sub>
          <m:sup/>
          <m:e>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sub>
              <m:sup/>
              <m:e>
                <m:r>
                  <w:rPr>
                    <w:rFonts w:ascii="Cambria Math" w:hAnsi="Cambria Math"/>
                  </w:rPr>
                  <m:t>‖q-</m:t>
                </m:r>
              </m:e>
            </m:nary>
          </m:e>
        </m:nary>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dq</m:t>
        </m:r>
      </m:oMath>
      <w:r>
        <w:t xml:space="preserve"> [</w:t>
      </w:r>
      <w:hyperlink w:anchor="_Ref_bib1" w:history="1">
        <w:r>
          <w:t>1</w:t>
        </w:r>
      </w:hyperlink>
      <w:r>
        <w:t>], and agents are assigned to cells by the Hungarian algorithm. Each cell is shrunk by 0.35 m and swept by east–west lanes at most 1.45 m apart; its first and last lanes follow the cell boundary, so the wedges that a fixed-pitch sweep leaves at slanted Voronoi edges are flown too (Fig. </w:t>
      </w:r>
      <w:r>
        <w:fldChar w:fldCharType="begin"/>
      </w:r>
      <w:r>
        <w:instrText xml:space="preserve"> REF _Ref_fig_concept_high \h \* MERGEFORMAT </w:instrText>
      </w:r>
      <w:r>
        <w:fldChar w:fldCharType="separate"/>
      </w:r>
      <w:r w:rsidR="00122361" w:rsidRPr="00122361">
        <w:t>2</w:t>
      </w:r>
      <w:r>
        <w:fldChar w:fldCharType="end"/>
      </w:r>
      <w:r>
        <w:t xml:space="preserve">a). With a sensing radius </w:t>
      </w:r>
      <w:r>
        <w:rPr>
          <w:i/>
        </w:rPr>
        <w:t>r</w:t>
      </w:r>
      <w:r>
        <w:rPr>
          <w:i/>
          <w:vertAlign w:val="subscript"/>
        </w:rPr>
        <w:t>s</w:t>
      </w:r>
      <w:r>
        <w:t xml:space="preserve"> = 0.95 m the swath is 1.90 m (overlap of at least 0.45 m). Coverage is scored on a 0.30 m grid: a grid cell inside 𝒬 counts once its centre has been within </w:t>
      </w:r>
      <w:r>
        <w:rPr>
          <w:i/>
        </w:rPr>
        <w:t>r</w:t>
      </w:r>
      <w:r>
        <w:rPr>
          <w:i/>
          <w:vertAlign w:val="subscript"/>
        </w:rPr>
        <w:t>s</w:t>
      </w:r>
      <w:r>
        <w:t xml:space="preserve"> of a live, sweeping agent flying above 0.8 m; grid cells under static obstacles are excluded.</w:t>
      </w:r>
    </w:p>
    <w:p w14:paraId="71FDFB2D" w14:textId="7526CD78" w:rsidR="00BD3578" w:rsidRDefault="00E51F8B">
      <w:pPr>
        <w:pStyle w:val="Paragraph"/>
      </w:pPr>
      <w:r>
        <w:t xml:space="preserve">When agent </w:t>
      </w:r>
      <w:r>
        <w:rPr>
          <w:i/>
        </w:rPr>
        <w:t>k</w:t>
      </w:r>
      <w:r>
        <w:t xml:space="preserve"> fails, Fault-Tolerant Cooperative Coverage (FT-CC) keeps the recovery lanes that </w:t>
      </w:r>
      <w:r>
        <w:rPr>
          <w:i/>
        </w:rPr>
        <w:t>k</w:t>
      </w:r>
      <w:r>
        <w:t xml:space="preserve"> still carried, erases the coverage recorded inside 𝒫</w:t>
      </w:r>
      <w:r>
        <w:rPr>
          <w:i/>
          <w:vertAlign w:val="subscript"/>
        </w:rPr>
        <w:t>k</w:t>
      </w:r>
      <w:r>
        <w:t xml:space="preserve"> (the data of the lost vehicle are treated as lost), merges all failed cells, re-plans </w:t>
      </w:r>
      <w:r>
        <w:lastRenderedPageBreak/>
        <w:t>lanes over their union and drops lanes that are already at least 80% covered. The helpers are the neighbours of the failed cells closest to the recovery centroid (one for a single loss with at most five lanes, otherwise two, and three after a second loss). They receive contiguous serpentine blocks, which they fly at once if their own cell is finished and append to their queue otherwise (Fig. </w:t>
      </w:r>
      <w:r>
        <w:fldChar w:fldCharType="begin"/>
      </w:r>
      <w:r>
        <w:instrText xml:space="preserve"> REF _Ref_fig_concept_high \h \* MERGEFORMAT </w:instrText>
      </w:r>
      <w:r>
        <w:fldChar w:fldCharType="separate"/>
      </w:r>
      <w:r w:rsidR="00122361" w:rsidRPr="00122361">
        <w:t>2</w:t>
      </w:r>
      <w:r>
        <w:fldChar w:fldCharType="end"/>
      </w:r>
      <w:r>
        <w:t>b,c).</w:t>
      </w:r>
    </w:p>
    <w:p w14:paraId="3799EE60" w14:textId="77777777" w:rsidR="00BD3578" w:rsidRDefault="00E51F8B">
      <w:pPr>
        <w:pStyle w:val="Heading2"/>
      </w:pPr>
      <w:r>
        <w:t>Mid Level: Obstacle Mapping and CBF-QP Safety Filter</w:t>
      </w:r>
    </w:p>
    <w:p w14:paraId="275AAAA0" w14:textId="77777777" w:rsidR="00BD3578" w:rsidRDefault="00E51F8B">
      <w:pPr>
        <w:pStyle w:val="Paragraph"/>
      </w:pPr>
      <w:r>
        <w:rPr>
          <w:i/>
        </w:rPr>
        <w:t>Obstacle map.</w:t>
      </w:r>
      <w:r>
        <w:t xml:space="preserve"> Each 360-ray scan is cleaned of returns within 0.55 m of other agents and 0.80 m of the arena boundary, clustered, and fitted with circles; detections form one swarm-wide track list, a track is confirmed after 12 hits and rejected if it moves, and only confirmed tracks enter the QP, so the swarm starts with an empty map. The planner deliberately ignores obstacles, leaving avoidance to the safety filter. The two moving obstacles are taken from simulator odometry, i.e. assumed perfectly tracked.</w:t>
      </w:r>
    </w:p>
    <w:p w14:paraId="5C50761E" w14:textId="77777777" w:rsidR="00BD3578" w:rsidRDefault="00E51F8B">
      <w:pPr>
        <w:pStyle w:val="Paragraph"/>
      </w:pPr>
      <w:r>
        <w:rPr>
          <w:i/>
        </w:rPr>
        <w:t>Actuator-consistent barrier.</w:t>
      </w:r>
      <w:r>
        <w:t xml:space="preserve"> With the reference rule </w:t>
      </w:r>
      <w:r>
        <w:rPr>
          <w:b/>
        </w:rPr>
        <w:t>p</w:t>
      </w:r>
      <w:r>
        <w:rPr>
          <w:vertAlign w:val="subscript"/>
        </w:rPr>
        <w:t>ref</w:t>
      </w:r>
      <w:r>
        <w:t xml:space="preserve"> = </w:t>
      </w:r>
      <w:r>
        <w:rPr>
          <w:b/>
        </w:rPr>
        <w:t>p</w:t>
      </w:r>
      <w:r>
        <w:t xml:space="preserve"> + </w:t>
      </w:r>
      <w:r>
        <w:rPr>
          <w:i/>
        </w:rPr>
        <w:t>T</w:t>
      </w:r>
      <w:r>
        <w:rPr>
          <w:vertAlign w:val="subscript"/>
        </w:rPr>
        <w:t>lead</w:t>
      </w:r>
      <w:r>
        <w:rPr>
          <w:b/>
        </w:rPr>
        <w:t>u</w:t>
      </w:r>
      <w:r>
        <w:t xml:space="preserve">, the outer PID makes the commanded-velocity response first order with an acceleration limit, </w:t>
      </w: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sat</m:t>
            </m:r>
          </m:e>
          <m: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(u-v))</m:t>
        </m:r>
      </m:oMath>
      <w:r>
        <w:t>, where</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4BCF929A" w14:textId="77777777">
        <w:tc>
          <w:tcPr>
            <w:tcW w:w="720" w:type="dxa"/>
            <w:vAlign w:val="center"/>
          </w:tcPr>
          <w:p w14:paraId="15D04D5E" w14:textId="77777777" w:rsidR="00BD3578" w:rsidRDefault="00BD3578"/>
        </w:tc>
        <w:tc>
          <w:tcPr>
            <w:tcW w:w="7920" w:type="dxa"/>
            <w:vAlign w:val="center"/>
          </w:tcPr>
          <w:p w14:paraId="7334DB46" w14:textId="77777777" w:rsidR="00BD3578" w:rsidRDefault="00000000">
            <w:pPr>
              <w:pStyle w:val="Equation"/>
              <w:spacing w:before="20" w:after="20"/>
            </w:pPr>
            <m:oMathPara>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w:rPr>
                    <w:rFonts w:ascii="Cambria Math" w:hAnsi="Cambria Math"/>
                  </w:rPr>
                  <m:t>=g</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m:t>
                </m:r>
                <m:r>
                  <m:rPr>
                    <m:nor/>
                  </m:rPr>
                  <m:t>  </m:t>
                </m:r>
                <m:sSub>
                  <m:sSubPr>
                    <m:ctrlPr>
                      <w:rPr>
                        <w:rFonts w:ascii="Cambria Math" w:hAnsi="Cambria Math"/>
                      </w:rPr>
                    </m:ctrlPr>
                  </m:sSubPr>
                  <m:e>
                    <m:r>
                      <w:rPr>
                        <w:rFonts w:ascii="Cambria Math" w:hAnsi="Cambria Math"/>
                      </w:rPr>
                      <m:t>T</m:t>
                    </m:r>
                  </m:e>
                  <m:sub>
                    <m:r>
                      <m:rPr>
                        <m:sty m:val="p"/>
                      </m:rPr>
                      <w:rPr>
                        <w:rFonts w:ascii="Cambria Math" w:hAnsi="Cambria Math"/>
                      </w:rPr>
                      <m:t>lead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ff</m:t>
                        </m:r>
                      </m:sub>
                    </m:sSub>
                  </m:num>
                  <m:den>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w:rPr>
                    <w:rFonts w:ascii="Cambria Math" w:hAnsi="Cambria Math"/>
                  </w:rPr>
                  <m:t>,</m:t>
                </m:r>
              </m:oMath>
            </m:oMathPara>
          </w:p>
        </w:tc>
        <w:tc>
          <w:tcPr>
            <w:tcW w:w="720" w:type="dxa"/>
            <w:vAlign w:val="center"/>
          </w:tcPr>
          <w:p w14:paraId="4DCCFB40" w14:textId="3809B224" w:rsidR="00BD3578" w:rsidRDefault="00E51F8B">
            <w:pPr>
              <w:pStyle w:val="Paragraph"/>
              <w:ind w:firstLine="0"/>
              <w:jc w:val="right"/>
            </w:pPr>
            <w:r>
              <w:t>(</w:t>
            </w:r>
            <w:bookmarkStart w:id="3" w:name="_Ref_eq_plant"/>
            <w:r>
              <w:fldChar w:fldCharType="begin"/>
            </w:r>
            <w:r>
              <w:instrText xml:space="preserve"> SEQ Equation \* ARABIC </w:instrText>
            </w:r>
            <w:r>
              <w:fldChar w:fldCharType="separate"/>
            </w:r>
            <w:r w:rsidR="00122361">
              <w:rPr>
                <w:noProof/>
              </w:rPr>
              <w:t>2</w:t>
            </w:r>
            <w:r>
              <w:fldChar w:fldCharType="end"/>
            </w:r>
            <w:bookmarkEnd w:id="3"/>
            <w:r>
              <w:t>)</w:t>
            </w:r>
          </w:p>
        </w:tc>
      </w:tr>
    </w:tbl>
    <w:p w14:paraId="7537FB4E" w14:textId="77777777" w:rsidR="00BD3578" w:rsidRDefault="00E51F8B">
      <w:pPr>
        <w:pStyle w:val="Paragraph"/>
        <w:ind w:firstLine="0"/>
      </w:pPr>
      <w:r>
        <w:t xml:space="preserve">with </w:t>
      </w:r>
      <w:r>
        <w:rPr>
          <w:i/>
        </w:rPr>
        <w:t>θ</w:t>
      </w:r>
      <w:r>
        <w:rPr>
          <w:vertAlign w:val="subscript"/>
        </w:rPr>
        <w:t>max</w:t>
      </w:r>
      <w:r>
        <w:t xml:space="preserve"> = 0.262 rad (15°) and </w:t>
      </w:r>
      <w:r>
        <w:rPr>
          <w:i/>
        </w:rPr>
        <w:t>k</w:t>
      </w:r>
      <w:r>
        <w:rPr>
          <w:vertAlign w:val="subscript"/>
        </w:rPr>
        <w:t>ff</w:t>
      </w:r>
      <w:r>
        <w:t xml:space="preserve"> = 0.15 rad s/m. With the LQR outer-loop gains (used for both controllers) </w:t>
      </w:r>
      <w:r>
        <w:rPr>
          <w:i/>
        </w:rPr>
        <w:t>k</w:t>
      </w:r>
      <w:r>
        <w:rPr>
          <w:i/>
          <w:vertAlign w:val="subscript"/>
        </w:rPr>
        <w:t>v</w:t>
      </w:r>
      <w:r>
        <w:t xml:space="preserve"> = 3.867 s</w:t>
      </w:r>
      <w:r>
        <w:rPr>
          <w:vertAlign w:val="superscript"/>
        </w:rPr>
        <w:t>−1</w:t>
      </w:r>
      <w:r>
        <w:t xml:space="preserve">, </w:t>
      </w:r>
      <w:r>
        <w:rPr>
          <w:i/>
        </w:rPr>
        <w:t>a</w:t>
      </w:r>
      <w:r>
        <w:rPr>
          <w:vertAlign w:val="subscript"/>
        </w:rPr>
        <w:t>max</w:t>
      </w:r>
      <w:r>
        <w:t xml:space="preserve"> = 2.631 m/s</w:t>
      </w:r>
      <w:r>
        <w:rPr>
          <w:vertAlign w:val="superscript"/>
        </w:rPr>
        <w:t>2</w:t>
      </w:r>
      <w:r>
        <w:t xml:space="preserve">, </w:t>
      </w:r>
      <w:r>
        <w:rPr>
          <w:i/>
        </w:rPr>
        <w:t>T</w:t>
      </w:r>
      <w:r>
        <w:rPr>
          <w:vertAlign w:val="subscript"/>
        </w:rPr>
        <w:t>lead</w:t>
      </w:r>
      <w:r>
        <w:t xml:space="preserve"> = 0.323 s and </w:t>
      </w:r>
      <w:r>
        <w:rPr>
          <w:i/>
        </w:rPr>
        <w:t>v</w:t>
      </w:r>
      <w:r>
        <w:rPr>
          <w:i/>
          <w:vertAlign w:val="subscript"/>
        </w:rPr>
        <w:t>c</w:t>
      </w:r>
      <w:r>
        <w:t xml:space="preserve"> = 0.680 m/s. The stopping distance from speed </w:t>
      </w:r>
      <w:r>
        <w:rPr>
          <w:i/>
        </w:rPr>
        <w:t>s</w:t>
      </w:r>
      <w:r>
        <w:t xml:space="preserve"> &gt; </w:t>
      </w:r>
      <w:r>
        <w:rPr>
          <w:i/>
        </w:rPr>
        <w:t>v</w:t>
      </w:r>
      <w:r>
        <w:rPr>
          <w:i/>
          <w:vertAlign w:val="subscript"/>
        </w:rPr>
        <w:t>c</w:t>
      </w:r>
      <w:r>
        <w:t xml:space="preserve"> is </w:t>
      </w:r>
      <w:r>
        <w:rPr>
          <w:i/>
        </w:rPr>
        <w:t>D</w:t>
      </w:r>
      <w:r>
        <w:t>(</w:t>
      </w:r>
      <w:r>
        <w:rPr>
          <w:i/>
        </w:rPr>
        <w:t>s</w:t>
      </w:r>
      <w:r>
        <w:t>) = (</w:t>
      </w:r>
      <w:r>
        <w:rPr>
          <w:i/>
        </w:rPr>
        <w:t>s</w:t>
      </w:r>
      <w:r>
        <w:rPr>
          <w:vertAlign w:val="superscript"/>
        </w:rPr>
        <w:t>2</w:t>
      </w:r>
      <w:r>
        <w:t xml:space="preserve"> + </w:t>
      </w:r>
      <w:r>
        <w:rPr>
          <w:i/>
        </w:rPr>
        <w:t>v</w:t>
      </w:r>
      <w:r>
        <w:rPr>
          <w:i/>
          <w:vertAlign w:val="subscript"/>
        </w:rPr>
        <w:t>c</w:t>
      </w:r>
      <w:r>
        <w:rPr>
          <w:vertAlign w:val="superscript"/>
        </w:rPr>
        <w:t>2</w:t>
      </w:r>
      <w:r>
        <w:t>)/2</w:t>
      </w:r>
      <w:r>
        <w:rPr>
          <w:i/>
        </w:rPr>
        <w:t>a</w:t>
      </w:r>
      <w:r>
        <w:t xml:space="preserve">; requiring that the distance travelled during a lumped dead time </w:t>
      </w:r>
      <w:r>
        <w:rPr>
          <w:i/>
        </w:rPr>
        <w:t>T</w:t>
      </w:r>
      <w:r>
        <w:rPr>
          <w:i/>
          <w:vertAlign w:val="subscript"/>
        </w:rPr>
        <w:t>d</w:t>
      </w:r>
      <w:r>
        <w:t xml:space="preserve"> = 0.40 s plus </w:t>
      </w:r>
      <w:r>
        <w:rPr>
          <w:i/>
        </w:rPr>
        <w:t>D</w:t>
      </w:r>
      <w:r>
        <w:t>(</w:t>
      </w:r>
      <w:r>
        <w:rPr>
          <w:i/>
        </w:rPr>
        <w:t>s</w:t>
      </w:r>
      <w:r>
        <w:t xml:space="preserve">) fit inside the clearance </w:t>
      </w:r>
      <w:r>
        <w:rPr>
          <w:i/>
        </w:rPr>
        <w:t>h</w:t>
      </w:r>
      <w:r>
        <w:t xml:space="preserve"> gives the admissible approach speed</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33284CE7" w14:textId="77777777">
        <w:tc>
          <w:tcPr>
            <w:tcW w:w="720" w:type="dxa"/>
            <w:vAlign w:val="center"/>
          </w:tcPr>
          <w:p w14:paraId="7FB0C59C" w14:textId="77777777" w:rsidR="00BD3578" w:rsidRDefault="00BD3578"/>
        </w:tc>
        <w:tc>
          <w:tcPr>
            <w:tcW w:w="7920" w:type="dxa"/>
            <w:vAlign w:val="center"/>
          </w:tcPr>
          <w:p w14:paraId="3B99EFA0" w14:textId="77777777" w:rsidR="00BD3578" w:rsidRDefault="00E51F8B">
            <w:pPr>
              <w:pStyle w:val="Equation"/>
              <w:spacing w:before="20" w:after="20"/>
            </w:pPr>
            <m:oMathPara>
              <m:oMath>
                <m:r>
                  <w:rPr>
                    <w:rFonts w:ascii="Cambria Math" w:hAnsi="Cambria Math"/>
                  </w:rPr>
                  <m:t>φ(h)=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max</m:t>
                          </m:r>
                          <m:r>
                            <w:rPr>
                              <w:rFonts w:ascii="Cambria Math" w:hAnsi="Cambria Math"/>
                            </w:rPr>
                            <m:t>(0,-a</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max</m:t>
                              </m:r>
                              <m:r>
                                <w:rPr>
                                  <w:rFonts w:ascii="Cambria Math" w:hAnsi="Cambria Math"/>
                                </w:rPr>
                                <m:t>(0,</m:t>
                              </m:r>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d</m:t>
                                  </m:r>
                                </m:sub>
                                <m:sup>
                                  <m:r>
                                    <w:rPr>
                                      <w:rFonts w:ascii="Cambria Math" w:hAnsi="Cambria Math"/>
                                    </w:rPr>
                                    <m:t>2</m:t>
                                  </m:r>
                                </m:sup>
                              </m:sSubSup>
                              <m:r>
                                <w:rPr>
                                  <w:rFonts w:ascii="Cambria Math" w:hAnsi="Cambria Math"/>
                                </w:rPr>
                                <m:t>+2ah-</m:t>
                              </m:r>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2</m:t>
                                  </m:r>
                                </m:sup>
                              </m:sSubSup>
                              <m:r>
                                <w:rPr>
                                  <w:rFonts w:ascii="Cambria Math" w:hAnsi="Cambria Math"/>
                                </w:rPr>
                                <m:t>)</m:t>
                              </m:r>
                            </m:e>
                          </m:rad>
                          <m:r>
                            <w:rPr>
                              <w:rFonts w:ascii="Cambria Math" w:hAnsi="Cambria Math"/>
                            </w:rPr>
                            <m:t>),</m:t>
                          </m:r>
                        </m:e>
                        <m:e>
                          <m:r>
                            <w:rPr>
                              <w:rFonts w:ascii="Cambria Math" w:hAnsi="Cambria Math"/>
                            </w:rPr>
                            <m:t>h≥</m:t>
                          </m:r>
                          <m:r>
                            <w:rPr>
                              <w:rFonts w:ascii="Cambria Math" w:hAnsi="Cambria Math"/>
                            </w:rPr>
                            <m:t>0,</m:t>
                          </m:r>
                        </m:e>
                      </m:mr>
                      <m:mr>
                        <m:e>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h,</m:t>
                          </m:r>
                        </m:e>
                        <m:e>
                          <m:r>
                            <w:rPr>
                              <w:rFonts w:ascii="Cambria Math" w:hAnsi="Cambria Math"/>
                            </w:rPr>
                            <m:t>h&lt;</m:t>
                          </m:r>
                          <m:r>
                            <w:rPr>
                              <w:rFonts w:ascii="Cambria Math" w:hAnsi="Cambria Math"/>
                            </w:rPr>
                            <m:t>0,</m:t>
                          </m:r>
                        </m:e>
                      </m:mr>
                    </m:m>
                  </m:e>
                </m:d>
              </m:oMath>
            </m:oMathPara>
          </w:p>
        </w:tc>
        <w:tc>
          <w:tcPr>
            <w:tcW w:w="720" w:type="dxa"/>
            <w:vAlign w:val="center"/>
          </w:tcPr>
          <w:p w14:paraId="1B8AB401" w14:textId="404543F8" w:rsidR="00BD3578" w:rsidRDefault="00E51F8B">
            <w:pPr>
              <w:pStyle w:val="Paragraph"/>
              <w:ind w:firstLine="0"/>
              <w:jc w:val="right"/>
            </w:pPr>
            <w:r>
              <w:t>(</w:t>
            </w:r>
            <w:bookmarkStart w:id="4" w:name="_Ref_eq_phi"/>
            <w:r>
              <w:fldChar w:fldCharType="begin"/>
            </w:r>
            <w:r>
              <w:instrText xml:space="preserve"> SEQ Equation \* ARABIC </w:instrText>
            </w:r>
            <w:r>
              <w:fldChar w:fldCharType="separate"/>
            </w:r>
            <w:r w:rsidR="00122361">
              <w:rPr>
                <w:noProof/>
              </w:rPr>
              <w:t>3</w:t>
            </w:r>
            <w:r>
              <w:fldChar w:fldCharType="end"/>
            </w:r>
            <w:bookmarkEnd w:id="4"/>
            <w:r>
              <w:t>)</w:t>
            </w:r>
          </w:p>
        </w:tc>
      </w:tr>
    </w:tbl>
    <w:p w14:paraId="2C1AF8C9" w14:textId="3751AAE8" w:rsidR="00BD3578" w:rsidRDefault="00E51F8B">
      <w:pPr>
        <w:pStyle w:val="Paragraph"/>
        <w:ind w:firstLine="0"/>
      </w:pPr>
      <w:r>
        <w:t xml:space="preserve">which is exactly zero for </w:t>
      </w:r>
      <w:r>
        <w:rPr>
          <w:i/>
        </w:rPr>
        <w:t>h</w:t>
      </w:r>
      <w:r>
        <w:t xml:space="preserve"> ≤ </w:t>
      </w:r>
      <w:r>
        <w:rPr>
          <w:i/>
        </w:rPr>
        <w:t>v</w:t>
      </w:r>
      <w:r>
        <w:rPr>
          <w:i/>
          <w:vertAlign w:val="subscript"/>
        </w:rPr>
        <w:t>c</w:t>
      </w:r>
      <w:r>
        <w:rPr>
          <w:vertAlign w:val="superscript"/>
        </w:rPr>
        <w:t>2</w:t>
      </w:r>
      <w:r>
        <w:t>/2</w:t>
      </w:r>
      <w:r>
        <w:rPr>
          <w:i/>
        </w:rPr>
        <w:t>a</w:t>
      </w:r>
      <w:r>
        <w:t xml:space="preserve">, unlike a linear </w:t>
      </w:r>
      <w:r>
        <w:rPr>
          <w:i/>
        </w:rPr>
        <w:t>γh</w:t>
      </w:r>
      <w:r>
        <w:t xml:space="preserve"> (Fig. </w:t>
      </w:r>
      <w:r>
        <w:fldChar w:fldCharType="begin"/>
      </w:r>
      <w:r>
        <w:instrText xml:space="preserve"> REF _Ref_fig_concept_cbf \h \* MERGEFORMAT </w:instrText>
      </w:r>
      <w:r>
        <w:fldChar w:fldCharType="separate"/>
      </w:r>
      <w:r w:rsidR="00122361" w:rsidRPr="00122361">
        <w:t>3</w:t>
      </w:r>
      <w:r>
        <w:fldChar w:fldCharType="end"/>
      </w:r>
      <w:r>
        <w:t xml:space="preserve">a). It is continuous and non-decreasing with </w:t>
      </w:r>
      <w:r>
        <w:rPr>
          <w:i/>
        </w:rPr>
        <w:t>φ</w:t>
      </w:r>
      <w:r>
        <w:t xml:space="preserve">(0) = 0, but because of this flat segment it is not strictly increasing and hence not a class-𝒦 function in the strict sense; the branch </w:t>
      </w:r>
      <w:r>
        <w:rPr>
          <w:i/>
        </w:rPr>
        <w:t>h</w:t>
      </w:r>
      <w:r>
        <w:t xml:space="preserve"> &lt; 0 (</w:t>
      </w:r>
      <w:r>
        <w:rPr>
          <w:i/>
        </w:rPr>
        <w:t>γ</w:t>
      </w:r>
      <w:r>
        <w:rPr>
          <w:i/>
          <w:vertAlign w:val="subscript"/>
        </w:rPr>
        <w:t>r</w:t>
      </w:r>
      <w:r>
        <w:t xml:space="preserve"> = 3.5 s</w:t>
      </w:r>
      <w:r>
        <w:rPr>
          <w:vertAlign w:val="superscript"/>
        </w:rPr>
        <w:t>−1</w:t>
      </w:r>
      <w:r>
        <w:t xml:space="preserve">) demands an outward velocity once the set has been left. The budget is </w:t>
      </w:r>
      <w:r>
        <w:rPr>
          <w:i/>
        </w:rPr>
        <w:t>a</w:t>
      </w:r>
      <w:r>
        <w:t xml:space="preserve"> = max(0.15</w:t>
      </w:r>
      <w:r>
        <w:rPr>
          <w:i/>
        </w:rPr>
        <w:t>a</w:t>
      </w:r>
      <w:r>
        <w:rPr>
          <w:vertAlign w:val="subscript"/>
        </w:rPr>
        <w:t>max</w:t>
      </w:r>
      <w:r>
        <w:t>, </w:t>
      </w:r>
      <w:r>
        <w:rPr>
          <w:i/>
        </w:rPr>
        <w:t>μa</w:t>
      </w:r>
      <w:r>
        <w:rPr>
          <w:vertAlign w:val="subscript"/>
        </w:rPr>
        <w:t>max</w:t>
      </w:r>
      <w:r>
        <w:t xml:space="preserve"> − |</w:t>
      </w:r>
      <w:r>
        <w:rPr>
          <w:i/>
        </w:rPr>
        <w:t>a</w:t>
      </w:r>
      <w:r>
        <w:rPr>
          <w:vertAlign w:val="subscript"/>
        </w:rPr>
        <w:t>obs</w:t>
      </w:r>
      <w:r>
        <w:t>| − |</w:t>
      </w:r>
      <w:r>
        <w:rPr>
          <w:i/>
        </w:rPr>
        <w:t>a</w:t>
      </w:r>
      <w:r>
        <w:rPr>
          <w:vertAlign w:val="subscript"/>
        </w:rPr>
        <w:t>wind</w:t>
      </w:r>
      <w:r>
        <w:t xml:space="preserve">|) with </w:t>
      </w:r>
      <w:r>
        <w:rPr>
          <w:i/>
        </w:rPr>
        <w:t>μ</w:t>
      </w:r>
      <w:r>
        <w:t xml:space="preserve"> = 0.75 (0.85 for walls) and a wind allowance of 0.5 m/s</w:t>
      </w:r>
      <w:r>
        <w:rPr>
          <w:vertAlign w:val="superscript"/>
        </w:rPr>
        <w:t>2</w:t>
      </w:r>
      <w:r>
        <w:t>.</w:t>
      </w:r>
    </w:p>
    <w:p w14:paraId="21C6F9B5" w14:textId="77777777" w:rsidR="00BD3578" w:rsidRDefault="00E51F8B">
      <w:pPr>
        <w:pStyle w:val="Paragraph"/>
      </w:pPr>
      <w:r>
        <w:rPr>
          <w:i/>
        </w:rPr>
        <w:t>Quadratic program.</w:t>
      </w:r>
      <w:r>
        <w:t xml:space="preserve"> For an obstacle or neighbour at </w:t>
      </w:r>
      <w:r>
        <w:rPr>
          <w:b/>
        </w:rPr>
        <w:t>o</w:t>
      </w:r>
      <w:r>
        <w:t xml:space="preserve"> with </w:t>
      </w:r>
      <w:r>
        <w:rPr>
          <w:b/>
        </w:rPr>
        <w:t>n̂</w:t>
      </w:r>
      <w:r>
        <w:t xml:space="preserve"> = (</w:t>
      </w:r>
      <w:r>
        <w:rPr>
          <w:b/>
        </w:rPr>
        <w:t>p</w:t>
      </w:r>
      <w:r>
        <w:t xml:space="preserve"> − </w:t>
      </w:r>
      <w:r>
        <w:rPr>
          <w:b/>
        </w:rPr>
        <w:t>o</w:t>
      </w:r>
      <w:r>
        <w:t>)/‖</w:t>
      </w:r>
      <w:r>
        <w:rPr>
          <w:b/>
        </w:rPr>
        <w:t>p</w:t>
      </w:r>
      <w:r>
        <w:t xml:space="preserve"> − </w:t>
      </w:r>
      <w:r>
        <w:rPr>
          <w:b/>
        </w:rPr>
        <w:t>o</w:t>
      </w:r>
      <w:r>
        <w:t xml:space="preserve">‖, the condition </w:t>
      </w:r>
      <w:r>
        <w:rPr>
          <w:i/>
        </w:rPr>
        <w:t>ḣ</w:t>
      </w:r>
      <w:r>
        <w:t xml:space="preserve"> ≥ −</w:t>
      </w:r>
      <w:r>
        <w:rPr>
          <w:i/>
        </w:rPr>
        <w:t>φ</w:t>
      </w:r>
      <w:r>
        <w:t>(</w:t>
      </w:r>
      <w:r>
        <w:rPr>
          <w:i/>
        </w:rPr>
        <w:t>h</w:t>
      </w:r>
      <w:r>
        <w:t>) is the linear row</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74FDA149" w14:textId="77777777">
        <w:tc>
          <w:tcPr>
            <w:tcW w:w="720" w:type="dxa"/>
            <w:vAlign w:val="center"/>
          </w:tcPr>
          <w:p w14:paraId="6966618E" w14:textId="77777777" w:rsidR="00BD3578" w:rsidRDefault="00BD3578"/>
        </w:tc>
        <w:tc>
          <w:tcPr>
            <w:tcW w:w="7920" w:type="dxa"/>
            <w:vAlign w:val="center"/>
          </w:tcPr>
          <w:p w14:paraId="17B96565" w14:textId="77777777" w:rsidR="00BD3578" w:rsidRDefault="00E51F8B">
            <w:pPr>
              <w:pStyle w:val="Equation"/>
              <w:spacing w:before="20" w:after="20"/>
            </w:pPr>
            <m:oMathPara>
              <m:oMath>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r>
                  <w:rPr>
                    <w:rFonts w:ascii="Cambria Math" w:hAnsi="Cambria Math"/>
                  </w:rPr>
                  <m:t>u≤λφ(h)-</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r>
                  <m:rPr>
                    <m:nor/>
                  </m:rPr>
                  <m:t>  </m:t>
                </m:r>
                <m:r>
                  <w:rPr>
                    <w:rFonts w:ascii="Cambria Math" w:hAnsi="Cambria Math"/>
                  </w:rPr>
                  <m:t>h=‖p-o‖-(ρ+</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+δ),</m:t>
                </m:r>
              </m:oMath>
            </m:oMathPara>
          </w:p>
        </w:tc>
        <w:tc>
          <w:tcPr>
            <w:tcW w:w="720" w:type="dxa"/>
            <w:vAlign w:val="center"/>
          </w:tcPr>
          <w:p w14:paraId="3E73A13E" w14:textId="71F69916" w:rsidR="00BD3578" w:rsidRDefault="00E51F8B">
            <w:pPr>
              <w:pStyle w:val="Paragraph"/>
              <w:ind w:firstLine="0"/>
              <w:jc w:val="right"/>
            </w:pPr>
            <w:r>
              <w:t>(</w:t>
            </w:r>
            <w:bookmarkStart w:id="5" w:name="_Ref_eq_row"/>
            <w:r>
              <w:fldChar w:fldCharType="begin"/>
            </w:r>
            <w:r>
              <w:instrText xml:space="preserve"> SEQ Equation \* ARABIC </w:instrText>
            </w:r>
            <w:r>
              <w:fldChar w:fldCharType="separate"/>
            </w:r>
            <w:r w:rsidR="00122361">
              <w:rPr>
                <w:noProof/>
              </w:rPr>
              <w:t>4</w:t>
            </w:r>
            <w:r>
              <w:fldChar w:fldCharType="end"/>
            </w:r>
            <w:bookmarkEnd w:id="5"/>
            <w:r>
              <w:t>)</w:t>
            </w:r>
          </w:p>
        </w:tc>
      </w:tr>
    </w:tbl>
    <w:p w14:paraId="41215E96" w14:textId="77777777" w:rsidR="00BD3578" w:rsidRDefault="00E51F8B">
      <w:pPr>
        <w:pStyle w:val="Paragraph"/>
        <w:ind w:firstLine="0"/>
      </w:pPr>
      <w:r>
        <w:t xml:space="preserve">with drone radius </w:t>
      </w:r>
      <w:r>
        <w:rPr>
          <w:i/>
        </w:rPr>
        <w:t>r</w:t>
      </w:r>
      <w:r>
        <w:rPr>
          <w:i/>
          <w:vertAlign w:val="subscript"/>
        </w:rPr>
        <w:t>d</w:t>
      </w:r>
      <w:r>
        <w:t xml:space="preserve"> = 0.22 m, obstacle radius </w:t>
      </w:r>
      <w:r>
        <w:rPr>
          <w:i/>
        </w:rPr>
        <w:t>ρ</w:t>
      </w:r>
      <w:r>
        <w:t xml:space="preserve"> (fitted radius +0.05 m for mapped cylinders, 0.50 m for moving ones), margins </w:t>
      </w:r>
      <w:r>
        <w:rPr>
          <w:i/>
        </w:rPr>
        <w:t>δ</w:t>
      </w:r>
      <w:r>
        <w:t xml:space="preserve"> = 0.35 m (static) and 0.75 m (moving), and </w:t>
      </w:r>
      <w:r>
        <w:rPr>
          <w:i/>
        </w:rPr>
        <w:t>λ</w:t>
      </w:r>
      <w:r>
        <w:t xml:space="preserve"> = 1 for obstacles. Neighbour rows are reciprocal (</w:t>
      </w:r>
      <w:r>
        <w:rPr>
          <w:i/>
        </w:rPr>
        <w:t>λ</w:t>
      </w:r>
      <w:r>
        <w:rPr>
          <w:i/>
          <w:vertAlign w:val="subscript"/>
        </w:rPr>
        <w:t>ij</w:t>
      </w:r>
      <w:r>
        <w:t xml:space="preserve"> + </w:t>
      </w:r>
      <w:r>
        <w:rPr>
          <w:i/>
        </w:rPr>
        <w:t>λ</w:t>
      </w:r>
      <w:r>
        <w:rPr>
          <w:i/>
          <w:vertAlign w:val="subscript"/>
        </w:rPr>
        <w:t>ji</w:t>
      </w:r>
      <w:r>
        <w:t xml:space="preserve"> = 1, weighted by mission state) at a hard radius of 0.70 m and a soft radius of 1.20 m; walls and the end of the current lane give half-plane rows, and inscribed polygons bound the speed (3 m/s) and the per-tick change of </w:t>
      </w:r>
      <w:r>
        <w:rPr>
          <w:b/>
        </w:rPr>
        <w:t>u</w:t>
      </w:r>
      <w:r>
        <w:t>. Each agent then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73C6B165" w14:textId="77777777">
        <w:tc>
          <w:tcPr>
            <w:tcW w:w="720" w:type="dxa"/>
            <w:vAlign w:val="center"/>
          </w:tcPr>
          <w:p w14:paraId="38367E14" w14:textId="77777777" w:rsidR="00BD3578" w:rsidRDefault="00BD3578"/>
        </w:tc>
        <w:tc>
          <w:tcPr>
            <w:tcW w:w="7920" w:type="dxa"/>
            <w:vAlign w:val="center"/>
          </w:tcPr>
          <w:p w14:paraId="1D8F9A16" w14:textId="77777777" w:rsidR="00BD3578" w:rsidRDefault="00000000">
            <w:pPr>
              <w:pStyle w:val="Equation"/>
              <w:spacing w:before="20" w:after="2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u∈</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lim>
                </m:limLow>
                <m:r>
                  <w:rPr>
                    <w:rFonts w:ascii="Cambria Math" w:hAnsi="Cambria Math"/>
                  </w:rPr>
                  <m:t>‖u-z</m:t>
                </m:r>
                <m:sSup>
                  <m:sSupPr>
                    <m:ctrlPr>
                      <w:rPr>
                        <w:rFonts w:ascii="Cambria Math" w:hAnsi="Cambria Math"/>
                      </w:rPr>
                    </m:ctrlPr>
                  </m:sSupPr>
                  <m:e>
                    <m:r>
                      <w:rPr>
                        <w:rFonts w:ascii="Cambria Math" w:hAnsi="Cambria Math"/>
                      </w:rPr>
                      <m:t>‖</m:t>
                    </m:r>
                  </m:e>
                  <m:sup>
                    <m:r>
                      <w:rPr>
                        <w:rFonts w:ascii="Cambria Math" w:hAnsi="Cambria Math"/>
                      </w:rPr>
                      <m:t>2</m:t>
                    </m:r>
                  </m:sup>
                </m:sSup>
                <m:r>
                  <m:rPr>
                    <m:nor/>
                  </m:rPr>
                  <m:t> s.t. </m:t>
                </m:r>
                <m:r>
                  <w:rPr>
                    <w:rFonts w:ascii="Cambria Math" w:hAnsi="Cambria Math"/>
                  </w:rPr>
                  <m:t>Au≤b,</m:t>
                </m:r>
                <m:r>
                  <m:rPr>
                    <m:nor/>
                  </m:rPr>
                  <m:t>  </m:t>
                </m:r>
                <m:r>
                  <w:rPr>
                    <w:rFonts w:ascii="Cambria Math" w:hAnsi="Cambria Math"/>
                  </w:rPr>
                  <m:t>z=</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des</m:t>
                        </m:r>
                      </m:sub>
                    </m:sSub>
                    <m:r>
                      <w:rPr>
                        <w:rFonts w:ascii="Cambria Math" w:hAnsi="Cambria Math"/>
                      </w:rPr>
                      <m:t>+t+w</m:t>
                    </m:r>
                    <m:sSub>
                      <m:sSubPr>
                        <m:ctrlPr>
                          <w:rPr>
                            <w:rFonts w:ascii="Cambria Math" w:hAnsi="Cambria Math"/>
                          </w:rPr>
                        </m:ctrlPr>
                      </m:sSubPr>
                      <m:e>
                        <m:r>
                          <w:rPr>
                            <w:rFonts w:ascii="Cambria Math" w:hAnsi="Cambria Math"/>
                          </w:rPr>
                          <m:t>u</m:t>
                        </m:r>
                      </m:e>
                      <m:sub>
                        <m:r>
                          <m:rPr>
                            <m:sty m:val="p"/>
                          </m:rPr>
                          <w:rPr>
                            <w:rFonts w:ascii="Cambria Math" w:hAnsi="Cambria Math"/>
                          </w:rPr>
                          <m:t>prev</m:t>
                        </m:r>
                      </m:sub>
                    </m:sSub>
                  </m:num>
                  <m:den>
                    <m:r>
                      <w:rPr>
                        <w:rFonts w:ascii="Cambria Math" w:hAnsi="Cambria Math"/>
                      </w:rPr>
                      <m:t>1+w</m:t>
                    </m:r>
                  </m:den>
                </m:f>
                <m:r>
                  <w:rPr>
                    <w:rFonts w:ascii="Cambria Math" w:hAnsi="Cambria Math"/>
                  </w:rPr>
                  <m:t>,</m:t>
                </m:r>
              </m:oMath>
            </m:oMathPara>
          </w:p>
        </w:tc>
        <w:tc>
          <w:tcPr>
            <w:tcW w:w="720" w:type="dxa"/>
            <w:vAlign w:val="center"/>
          </w:tcPr>
          <w:p w14:paraId="29170926" w14:textId="28CB07D0" w:rsidR="00BD3578" w:rsidRDefault="00E51F8B">
            <w:pPr>
              <w:pStyle w:val="Paragraph"/>
              <w:ind w:firstLine="0"/>
              <w:jc w:val="right"/>
            </w:pPr>
            <w:r>
              <w:t>(</w:t>
            </w:r>
            <w:bookmarkStart w:id="6" w:name="_Ref_eq_qp"/>
            <w:r>
              <w:fldChar w:fldCharType="begin"/>
            </w:r>
            <w:r>
              <w:instrText xml:space="preserve"> SEQ Equation \* ARABIC </w:instrText>
            </w:r>
            <w:r>
              <w:fldChar w:fldCharType="separate"/>
            </w:r>
            <w:r w:rsidR="00122361">
              <w:rPr>
                <w:noProof/>
              </w:rPr>
              <w:t>5</w:t>
            </w:r>
            <w:r>
              <w:fldChar w:fldCharType="end"/>
            </w:r>
            <w:bookmarkEnd w:id="6"/>
            <w:r>
              <w:t>)</w:t>
            </w:r>
          </w:p>
        </w:tc>
      </w:tr>
    </w:tbl>
    <w:p w14:paraId="2890718B" w14:textId="393274F3" w:rsidR="00BD3578" w:rsidRDefault="00E51F8B">
      <w:pPr>
        <w:pStyle w:val="Paragraph"/>
        <w:ind w:firstLine="0"/>
      </w:pPr>
      <w:r>
        <w:t>exactly, by enumerating the unconstrained point, the projections onto every row and the pairwise vertices (Fig. </w:t>
      </w:r>
      <w:r>
        <w:fldChar w:fldCharType="begin"/>
      </w:r>
      <w:r>
        <w:instrText xml:space="preserve"> REF _Ref_fig_concept_cbf \h \* MERGEFORMAT </w:instrText>
      </w:r>
      <w:r>
        <w:fldChar w:fldCharType="separate"/>
      </w:r>
      <w:r w:rsidR="00122361" w:rsidRPr="00122361">
        <w:t>3</w:t>
      </w:r>
      <w:r>
        <w:fldChar w:fldCharType="end"/>
      </w:r>
      <w:r>
        <w:t xml:space="preserve">b). A tangential bias </w:t>
      </w:r>
      <w:r>
        <w:rPr>
          <w:b/>
        </w:rPr>
        <w:t>t</w:t>
      </w:r>
      <w:r>
        <w:t xml:space="preserve">, applied within a 60° cone of a head-on approach, breaks symmetric deadlocks and enters only the objective; </w:t>
      </w:r>
      <w:r>
        <w:rPr>
          <w:i/>
        </w:rPr>
        <w:t>w</w:t>
      </w:r>
      <w:r>
        <w:t xml:space="preserve"> = 0.25 smooths successive commands. If the QP is infeasible, soft rows are released (tier 1), then the violation of the hard rows is minimised (tier 2), and a scaled previous command is the last resort (tier 3).</w:t>
      </w:r>
    </w:p>
    <w:p w14:paraId="4860B318" w14:textId="77777777" w:rsidR="00BD3578" w:rsidRDefault="00E51F8B">
      <w:pPr>
        <w:pStyle w:val="Heading2"/>
      </w:pPr>
      <w:r>
        <w:t xml:space="preserve">Low Level: LQR and </w:t>
      </w:r>
      <w:r>
        <w:rPr>
          <w:i/>
        </w:rPr>
        <w:t>H</w:t>
      </w:r>
      <w:r>
        <w:rPr>
          <w:vertAlign w:val="subscript"/>
        </w:rPr>
        <w:t>∞</w:t>
      </w:r>
      <w:r>
        <w:t xml:space="preserve"> Gain Synthesis</w:t>
      </w:r>
    </w:p>
    <w:p w14:paraId="40C37224" w14:textId="77777777" w:rsidR="00BD3578" w:rsidRDefault="00E51F8B">
      <w:pPr>
        <w:pStyle w:val="Paragraph"/>
      </w:pPr>
      <w:r>
        <w:t xml:space="preserve">Each axis is modelled about hover as a double integrator </w:t>
      </w:r>
      <w:r>
        <w:rPr>
          <w:b/>
        </w:rPr>
        <w:t>ẋ</w:t>
      </w:r>
      <w:r>
        <w:t xml:space="preserve"> = </w:t>
      </w:r>
      <w:r>
        <w:rPr>
          <w:i/>
        </w:rPr>
        <w:t>A</w:t>
      </w:r>
      <w:r>
        <w:rPr>
          <w:b/>
        </w:rPr>
        <w:t>x</w:t>
      </w:r>
      <w:r>
        <w:t xml:space="preserve"> + </w:t>
      </w:r>
      <w:r>
        <w:rPr>
          <w:i/>
        </w:rPr>
        <w:t>Bu</w:t>
      </w:r>
      <w:r>
        <w:t xml:space="preserve"> (e.g. </w:t>
      </w:r>
      <w:r>
        <w:rPr>
          <w:i/>
        </w:rPr>
        <w:t>B</w:t>
      </w:r>
      <w:r>
        <w:t xml:space="preserve"> = [0, </w:t>
      </w:r>
      <w:r>
        <w:rPr>
          <w:i/>
        </w:rPr>
        <w:t>g</w:t>
      </w:r>
      <w:r>
        <w:t>]</w:t>
      </w:r>
      <w:r>
        <w:rPr>
          <w:vertAlign w:val="superscript"/>
        </w:rPr>
        <w:t>⊤</w:t>
      </w:r>
      <w:r>
        <w:t xml:space="preserve"> from pitch to </w:t>
      </w:r>
      <w:r>
        <w:rPr>
          <w:i/>
        </w:rPr>
        <w:t>x</w:t>
      </w:r>
      <w:r>
        <w:t xml:space="preserve">, </w:t>
      </w:r>
      <w:r>
        <w:rPr>
          <w:i/>
        </w:rPr>
        <w:t>B</w:t>
      </w:r>
      <w:r>
        <w:t xml:space="preserve"> = [0, 1/</w:t>
      </w:r>
      <w:r>
        <w:rPr>
          <w:i/>
        </w:rPr>
        <w:t>I</w:t>
      </w:r>
      <w:r>
        <w:rPr>
          <w:i/>
          <w:vertAlign w:val="subscript"/>
        </w:rPr>
        <w:t>y</w:t>
      </w:r>
      <w:r>
        <w:t>]</w:t>
      </w:r>
      <w:r>
        <w:rPr>
          <w:vertAlign w:val="superscript"/>
        </w:rPr>
        <w:t>⊤</w:t>
      </w:r>
      <w:r>
        <w:t xml:space="preserve"> from torque to pitch) and augmented with an integrator on the input, </w:t>
      </w:r>
      <w:r>
        <w:rPr>
          <w:b/>
        </w:rPr>
        <w:t>x</w:t>
      </w:r>
      <w:r>
        <w:rPr>
          <w:i/>
          <w:vertAlign w:val="subscript"/>
        </w:rPr>
        <w:t>a</w:t>
      </w:r>
      <w:r>
        <w:t xml:space="preserve"> = [</w:t>
      </w:r>
      <w:r>
        <w:rPr>
          <w:b/>
        </w:rPr>
        <w:t>x</w:t>
      </w:r>
      <w:r>
        <w:rPr>
          <w:vertAlign w:val="superscript"/>
        </w:rPr>
        <w:t>⊤</w:t>
      </w:r>
      <w:r>
        <w:t>,</w:t>
      </w:r>
      <w:r>
        <w:rPr>
          <w:i/>
        </w:rPr>
        <w:t>u</w:t>
      </w:r>
      <w:r>
        <w:t>]</w:t>
      </w:r>
      <w:r>
        <w:rPr>
          <w:vertAlign w:val="superscript"/>
        </w:rPr>
        <w:t>⊤</w:t>
      </w:r>
      <w:r>
        <w:t xml:space="preserve">. The LQR design solves the algebraic Riccati equation (ARE) for </w:t>
      </w:r>
      <w:r>
        <w:rPr>
          <w:i/>
        </w:rPr>
        <w:t>K</w:t>
      </w:r>
      <w:r>
        <w:rPr>
          <w:i/>
          <w:vertAlign w:val="subscript"/>
        </w:rPr>
        <w:t>a</w:t>
      </w:r>
      <w:r>
        <w:t xml:space="preserve"> = </w:t>
      </w:r>
      <w:r>
        <w:rPr>
          <w:i/>
        </w:rPr>
        <w:t>R</w:t>
      </w:r>
      <w:r>
        <w:rPr>
          <w:vertAlign w:val="superscript"/>
        </w:rPr>
        <w:t>−1</w:t>
      </w:r>
      <w:r>
        <w:rPr>
          <w:i/>
        </w:rPr>
        <w:t>B</w:t>
      </w:r>
      <w:r>
        <w:rPr>
          <w:i/>
          <w:vertAlign w:val="subscript"/>
        </w:rPr>
        <w:t>a</w:t>
      </w:r>
      <w:r>
        <w:rPr>
          <w:vertAlign w:val="superscript"/>
        </w:rPr>
        <w:t>⊤</w:t>
      </w:r>
      <w:r>
        <w:rPr>
          <w:i/>
        </w:rPr>
        <w:t>P</w:t>
      </w:r>
      <w:r>
        <w:t xml:space="preserve">. The </w:t>
      </w:r>
      <w:r>
        <w:rPr>
          <w:i/>
        </w:rPr>
        <w:t>H</w:t>
      </w:r>
      <w:r>
        <w:rPr>
          <w:vertAlign w:val="subscript"/>
        </w:rPr>
        <w:t>∞</w:t>
      </w:r>
      <w:r>
        <w:t xml:space="preserve"> design treats a disturbance entering through the input channel, </w:t>
      </w:r>
      <w:r>
        <w:rPr>
          <w:i/>
        </w:rPr>
        <w:t>B</w:t>
      </w:r>
      <w:r>
        <w:rPr>
          <w:i/>
          <w:vertAlign w:val="subscript"/>
        </w:rPr>
        <w:t>w</w:t>
      </w:r>
      <w:r>
        <w:t xml:space="preserve"> = [</w:t>
      </w:r>
      <w:r>
        <w:rPr>
          <w:i/>
        </w:rPr>
        <w:t>B</w:t>
      </w:r>
      <w:r>
        <w:rPr>
          <w:vertAlign w:val="superscript"/>
        </w:rPr>
        <w:t>⊤</w:t>
      </w:r>
      <w:r>
        <w:t>,0]</w:t>
      </w:r>
      <w:r>
        <w:rPr>
          <w:vertAlign w:val="superscript"/>
        </w:rPr>
        <w:t>⊤</w:t>
      </w:r>
      <w:r>
        <w:t>, and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BD3578" w14:paraId="76FFCBE9" w14:textId="77777777">
        <w:tc>
          <w:tcPr>
            <w:tcW w:w="720" w:type="dxa"/>
            <w:vAlign w:val="center"/>
          </w:tcPr>
          <w:p w14:paraId="24FEA16D" w14:textId="77777777" w:rsidR="00BD3578" w:rsidRDefault="00BD3578"/>
        </w:tc>
        <w:tc>
          <w:tcPr>
            <w:tcW w:w="7920" w:type="dxa"/>
            <w:vAlign w:val="center"/>
          </w:tcPr>
          <w:p w14:paraId="57839DF9" w14:textId="77777777" w:rsidR="00BD3578" w:rsidRDefault="00000000">
            <w:pPr>
              <w:pStyle w:val="Equation"/>
              <w:spacing w:before="20" w:after="20"/>
            </w:pPr>
            <m:oMathPara>
              <m:oMath>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r>
                  <w:rPr>
                    <w:rFonts w:ascii="Cambria Math" w:hAnsi="Cambria Math"/>
                  </w:rPr>
                  <m:t>P+P</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-P(</m:t>
                </m:r>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w</m:t>
                    </m:r>
                  </m:sub>
                </m:sSub>
                <m:sSubSup>
                  <m:sSubSupPr>
                    <m:ctrlPr>
                      <w:rPr>
                        <w:rFonts w:ascii="Cambria Math" w:hAnsi="Cambria Math"/>
                      </w:rPr>
                    </m:ctrlPr>
                  </m:sSubSupPr>
                  <m:e>
                    <m:r>
                      <w:rPr>
                        <w:rFonts w:ascii="Cambria Math" w:hAnsi="Cambria Math"/>
                      </w:rPr>
                      <m:t>B</m:t>
                    </m:r>
                  </m:e>
                  <m:sub>
                    <m:r>
                      <w:rPr>
                        <w:rFonts w:ascii="Cambria Math" w:hAnsi="Cambria Math"/>
                      </w:rPr>
                      <m:t>w</m:t>
                    </m:r>
                  </m:sub>
                  <m:sup>
                    <m:r>
                      <w:rPr>
                        <w:rFonts w:ascii="Cambria Math" w:hAnsi="Cambria Math"/>
                      </w:rPr>
                      <m:t>⊤</m:t>
                    </m:r>
                  </m:sup>
                </m:sSubSup>
                <m:r>
                  <w:rPr>
                    <w:rFonts w:ascii="Cambria Math" w:hAnsi="Cambria Math"/>
                  </w:rPr>
                  <m:t>)P=0,</m:t>
                </m:r>
              </m:oMath>
            </m:oMathPara>
          </w:p>
        </w:tc>
        <w:tc>
          <w:tcPr>
            <w:tcW w:w="720" w:type="dxa"/>
            <w:vAlign w:val="center"/>
          </w:tcPr>
          <w:p w14:paraId="6F504F51" w14:textId="1F2E404C" w:rsidR="00BD3578" w:rsidRDefault="00E51F8B">
            <w:pPr>
              <w:pStyle w:val="Paragraph"/>
              <w:ind w:firstLine="0"/>
              <w:jc w:val="right"/>
            </w:pPr>
            <w:r>
              <w:t>(</w:t>
            </w:r>
            <w:bookmarkStart w:id="7" w:name="_Ref_eq_hare"/>
            <w:r>
              <w:fldChar w:fldCharType="begin"/>
            </w:r>
            <w:r>
              <w:instrText xml:space="preserve"> SEQ Equation \* ARABIC </w:instrText>
            </w:r>
            <w:r>
              <w:fldChar w:fldCharType="separate"/>
            </w:r>
            <w:r w:rsidR="00122361">
              <w:rPr>
                <w:noProof/>
              </w:rPr>
              <w:t>6</w:t>
            </w:r>
            <w:r>
              <w:fldChar w:fldCharType="end"/>
            </w:r>
            <w:bookmarkEnd w:id="7"/>
            <w:r>
              <w:t>)</w:t>
            </w:r>
          </w:p>
        </w:tc>
      </w:tr>
    </w:tbl>
    <w:p w14:paraId="4E3EA2A7" w14:textId="5EE0A0CA" w:rsidR="00BD3578" w:rsidRDefault="00E51F8B">
      <w:pPr>
        <w:pStyle w:val="Paragraph"/>
        <w:ind w:firstLine="0"/>
      </w:pPr>
      <w:r>
        <w:t xml:space="preserve">rejecting solutions for which </w:t>
      </w:r>
      <w:r>
        <w:rPr>
          <w:i/>
        </w:rPr>
        <w:t>A</w:t>
      </w:r>
      <w:r>
        <w:rPr>
          <w:i/>
          <w:vertAlign w:val="subscript"/>
        </w:rPr>
        <w:t>a</w:t>
      </w:r>
      <w:r>
        <w:t xml:space="preserve"> − </w:t>
      </w:r>
      <w:r>
        <w:rPr>
          <w:i/>
        </w:rPr>
        <w:t>B</w:t>
      </w:r>
      <w:r>
        <w:rPr>
          <w:i/>
          <w:vertAlign w:val="subscript"/>
        </w:rPr>
        <w:t>a</w:t>
      </w:r>
      <w:r>
        <w:rPr>
          <w:i/>
        </w:rPr>
        <w:t>K</w:t>
      </w:r>
      <w:r>
        <w:rPr>
          <w:i/>
          <w:vertAlign w:val="subscript"/>
        </w:rPr>
        <w:t>a</w:t>
      </w:r>
      <w:r>
        <w:t xml:space="preserve"> is not Hurwitz [</w:t>
      </w:r>
      <w:hyperlink w:anchor="_Ref_bib16" w:history="1">
        <w:r>
          <w:t>16</w:t>
        </w:r>
      </w:hyperlink>
      <w:r>
        <w:t xml:space="preserve">], with </w:t>
      </w:r>
      <w:r>
        <w:rPr>
          <w:i/>
        </w:rPr>
        <w:t>γ</w:t>
      </w:r>
      <w:r>
        <w:t xml:space="preserve"> = 1.3 </w:t>
      </w:r>
      <w:r>
        <w:rPr>
          <w:i/>
        </w:rPr>
        <w:t>γ</w:t>
      </w:r>
      <w:r>
        <w:rPr>
          <w:vertAlign w:val="subscript"/>
        </w:rPr>
        <w:t>min</w:t>
      </w:r>
      <w:r>
        <w:t xml:space="preserve"> and </w:t>
      </w:r>
      <w:r>
        <w:rPr>
          <w:i/>
        </w:rPr>
        <w:t>γ</w:t>
      </w:r>
      <w:r>
        <w:rPr>
          <w:vertAlign w:val="subscript"/>
        </w:rPr>
        <w:t>min</w:t>
      </w:r>
      <w:r>
        <w:t xml:space="preserve"> found by bisection. The state-feedback gain is mapped to PID form through the pseudo-inverse of Γ = [</w:t>
      </w:r>
      <w:r>
        <w:rPr>
          <w:i/>
        </w:rPr>
        <w:t>C</w:t>
      </w:r>
      <w:r>
        <w:rPr>
          <w:vertAlign w:val="superscript"/>
        </w:rPr>
        <w:t>⊤</w:t>
      </w:r>
      <w:r>
        <w:t>,(</w:t>
      </w:r>
      <w:r>
        <w:rPr>
          <w:i/>
        </w:rPr>
        <w:t>CA</w:t>
      </w:r>
      <w:r>
        <w:t>)</w:t>
      </w:r>
      <w:r>
        <w:rPr>
          <w:vertAlign w:val="superscript"/>
        </w:rPr>
        <w:t>⊤</w:t>
      </w:r>
      <w:r>
        <w:t>,(</w:t>
      </w:r>
      <w:r>
        <w:rPr>
          <w:i/>
        </w:rPr>
        <w:t>CA</w:t>
      </w:r>
      <w:r>
        <w:rPr>
          <w:vertAlign w:val="superscript"/>
        </w:rPr>
        <w:t>2</w:t>
      </w:r>
      <w:r>
        <w:t>)</w:t>
      </w:r>
      <w:r>
        <w:rPr>
          <w:vertAlign w:val="superscript"/>
        </w:rPr>
        <w:t>⊤</w:t>
      </w:r>
      <w:r>
        <w:t>; 0,(</w:t>
      </w:r>
      <w:r>
        <w:rPr>
          <w:i/>
        </w:rPr>
        <w:t>CB</w:t>
      </w:r>
      <w:r>
        <w:t>)</w:t>
      </w:r>
      <w:r>
        <w:rPr>
          <w:vertAlign w:val="superscript"/>
        </w:rPr>
        <w:t>⊤</w:t>
      </w:r>
      <w:r>
        <w:t>,(</w:t>
      </w:r>
      <w:r>
        <w:rPr>
          <w:i/>
        </w:rPr>
        <w:t>CAB</w:t>
      </w:r>
      <w:r>
        <w:t>)</w:t>
      </w:r>
      <w:r>
        <w:rPr>
          <w:vertAlign w:val="superscript"/>
        </w:rPr>
        <w:t>⊤</w:t>
      </w:r>
      <w:r>
        <w:t xml:space="preserve">]; the </w:t>
      </w:r>
      <w:r>
        <w:lastRenderedPageBreak/>
        <w:t>synthesised inner integral gain is not used. Figure </w:t>
      </w:r>
      <w:r>
        <w:fldChar w:fldCharType="begin"/>
      </w:r>
      <w:r>
        <w:instrText xml:space="preserve"> REF _Ref_fig_tick \h \* MERGEFORMAT </w:instrText>
      </w:r>
      <w:r>
        <w:fldChar w:fldCharType="separate"/>
      </w:r>
      <w:r w:rsidR="00122361" w:rsidRPr="00122361">
        <w:t>4</w:t>
      </w:r>
      <w:r>
        <w:fldChar w:fldCharType="end"/>
      </w:r>
      <w:r>
        <w:t xml:space="preserve"> shows where the gains enter the signal path of one control step, and Table </w:t>
      </w:r>
      <w:r>
        <w:fldChar w:fldCharType="begin"/>
      </w:r>
      <w:r>
        <w:instrText xml:space="preserve"> REF _Ref_tab_gains \h \* MERGEFORMAT </w:instrText>
      </w:r>
      <w:r>
        <w:fldChar w:fldCharType="separate"/>
      </w:r>
      <w:r w:rsidR="00122361" w:rsidRPr="00122361">
        <w:t>1</w:t>
      </w:r>
      <w:r>
        <w:fldChar w:fldCharType="end"/>
      </w:r>
      <w:r>
        <w:t xml:space="preserve"> lists weights, attenuation levels and gains.</w:t>
      </w:r>
    </w:p>
    <w:p w14:paraId="53F2C7FE" w14:textId="77777777" w:rsidR="00BD3578" w:rsidRDefault="00E51F8B">
      <w:pPr>
        <w:pStyle w:val="Figure"/>
      </w:pPr>
      <w:r>
        <w:rPr>
          <w:noProof/>
        </w:rPr>
        <w:drawing>
          <wp:inline distT="0" distB="0" distL="0" distR="0" wp14:anchorId="57544DCE" wp14:editId="14469C7D">
            <wp:extent cx="5203044" cy="195471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cbf.png"/>
                    <pic:cNvPicPr/>
                  </pic:nvPicPr>
                  <pic:blipFill>
                    <a:blip r:embed="rId12"/>
                    <a:stretch>
                      <a:fillRect/>
                    </a:stretch>
                  </pic:blipFill>
                  <pic:spPr>
                    <a:xfrm>
                      <a:off x="0" y="0"/>
                      <a:ext cx="5213351" cy="1958589"/>
                    </a:xfrm>
                    <a:prstGeom prst="rect">
                      <a:avLst/>
                    </a:prstGeom>
                  </pic:spPr>
                </pic:pic>
              </a:graphicData>
            </a:graphic>
          </wp:inline>
        </w:drawing>
      </w:r>
    </w:p>
    <w:p w14:paraId="23EF479F" w14:textId="50636F8F" w:rsidR="00BD3578" w:rsidRDefault="00E51F8B">
      <w:pPr>
        <w:pStyle w:val="FigureCaption"/>
        <w:spacing w:before="40" w:after="60"/>
      </w:pPr>
      <w:r>
        <w:rPr>
          <w:b/>
        </w:rPr>
        <w:t xml:space="preserve">FIGURE </w:t>
      </w:r>
      <w:bookmarkStart w:id="8" w:name="_Ref_fig_concept_cbf"/>
      <w:r>
        <w:rPr>
          <w:b/>
        </w:rPr>
        <w:fldChar w:fldCharType="begin"/>
      </w:r>
      <w:r>
        <w:rPr>
          <w:b/>
        </w:rPr>
        <w:instrText xml:space="preserve"> SEQ Figure \* ARABIC </w:instrText>
      </w:r>
      <w:r>
        <w:rPr>
          <w:b/>
        </w:rPr>
        <w:fldChar w:fldCharType="separate"/>
      </w:r>
      <w:r w:rsidR="00122361">
        <w:rPr>
          <w:b/>
          <w:noProof/>
        </w:rPr>
        <w:t>3</w:t>
      </w:r>
      <w:r>
        <w:rPr>
          <w:b/>
        </w:rPr>
        <w:fldChar w:fldCharType="end"/>
      </w:r>
      <w:bookmarkEnd w:id="8"/>
      <w:r>
        <w:rPr>
          <w:b/>
        </w:rPr>
        <w:t>.</w:t>
      </w:r>
      <w:r>
        <w:t xml:space="preserve"> Mid-level safety filter with mission parameters. (a) </w:t>
      </w:r>
      <w:r>
        <w:rPr>
          <w:i/>
        </w:rPr>
        <w:t>φ</w:t>
      </w:r>
      <w:r>
        <w:t>(</w:t>
      </w:r>
      <w:r>
        <w:rPr>
          <w:i/>
        </w:rPr>
        <w:t>h</w:t>
      </w:r>
      <w:r>
        <w:t>) of Eq. (</w:t>
      </w:r>
      <w:r>
        <w:fldChar w:fldCharType="begin"/>
      </w:r>
      <w:r>
        <w:instrText xml:space="preserve"> REF _Ref_eq_phi \h \* MERGEFORMAT </w:instrText>
      </w:r>
      <w:r>
        <w:fldChar w:fldCharType="separate"/>
      </w:r>
      <w:r w:rsidR="00122361">
        <w:t>3</w:t>
      </w:r>
      <w:r>
        <w:fldChar w:fldCharType="end"/>
      </w:r>
      <w:r>
        <w:t xml:space="preserve">) for static rows: zero below </w:t>
      </w:r>
      <w:r>
        <w:rPr>
          <w:i/>
        </w:rPr>
        <w:t>h</w:t>
      </w:r>
      <w:r>
        <w:t xml:space="preserve"> = 0.16 m, </w:t>
      </w:r>
      <w:r>
        <w:rPr>
          <w:i/>
        </w:rPr>
        <w:t>h</w:t>
      </w:r>
      <w:r>
        <w:t xml:space="preserve"> ≥ 1.67 m needed at 1.6 m/s; a linear </w:t>
      </w:r>
      <w:r>
        <w:rPr>
          <w:i/>
        </w:rPr>
        <w:t>γh</w:t>
      </w:r>
      <w:r>
        <w:t xml:space="preserve"> permits approach where </w:t>
      </w:r>
      <w:r>
        <w:rPr>
          <w:i/>
        </w:rPr>
        <w:t>φ</w:t>
      </w:r>
      <w:r>
        <w:t xml:space="preserve"> demands a stop. (b) One QP solve by the flight code for an illustrative case (cylinder 2.51 m ahead): the closing speed drops from 1.56 to 1.48 m/s.</w:t>
      </w:r>
    </w:p>
    <w:p w14:paraId="2D9B6B44" w14:textId="77777777" w:rsidR="00BD3578" w:rsidRDefault="00E51F8B">
      <w:pPr>
        <w:pStyle w:val="Figure"/>
      </w:pPr>
      <w:r>
        <w:rPr>
          <w:noProof/>
        </w:rPr>
        <w:drawing>
          <wp:inline distT="0" distB="0" distL="0" distR="0" wp14:anchorId="3BF42265" wp14:editId="1FD84FF0">
            <wp:extent cx="5394960" cy="1650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png"/>
                    <pic:cNvPicPr/>
                  </pic:nvPicPr>
                  <pic:blipFill>
                    <a:blip r:embed="rId13"/>
                    <a:stretch>
                      <a:fillRect/>
                    </a:stretch>
                  </pic:blipFill>
                  <pic:spPr>
                    <a:xfrm>
                      <a:off x="0" y="0"/>
                      <a:ext cx="5394960" cy="1650614"/>
                    </a:xfrm>
                    <a:prstGeom prst="rect">
                      <a:avLst/>
                    </a:prstGeom>
                  </pic:spPr>
                </pic:pic>
              </a:graphicData>
            </a:graphic>
          </wp:inline>
        </w:drawing>
      </w:r>
    </w:p>
    <w:p w14:paraId="3E6ED4A3" w14:textId="71E9D860" w:rsidR="00BD3578" w:rsidRDefault="00E51F8B">
      <w:pPr>
        <w:pStyle w:val="FigureCaption"/>
        <w:spacing w:before="40" w:after="60"/>
      </w:pPr>
      <w:r>
        <w:rPr>
          <w:b/>
        </w:rPr>
        <w:t xml:space="preserve">FIGURE </w:t>
      </w:r>
      <w:bookmarkStart w:id="9" w:name="_Ref_fig_tick"/>
      <w:r>
        <w:rPr>
          <w:b/>
        </w:rPr>
        <w:fldChar w:fldCharType="begin"/>
      </w:r>
      <w:r>
        <w:rPr>
          <w:b/>
        </w:rPr>
        <w:instrText xml:space="preserve"> SEQ Figure \* ARABIC </w:instrText>
      </w:r>
      <w:r>
        <w:rPr>
          <w:b/>
        </w:rPr>
        <w:fldChar w:fldCharType="separate"/>
      </w:r>
      <w:r w:rsidR="00122361">
        <w:rPr>
          <w:b/>
          <w:noProof/>
        </w:rPr>
        <w:t>4</w:t>
      </w:r>
      <w:r>
        <w:rPr>
          <w:b/>
        </w:rPr>
        <w:fldChar w:fldCharType="end"/>
      </w:r>
      <w:bookmarkEnd w:id="9"/>
      <w:r>
        <w:rPr>
          <w:b/>
        </w:rPr>
        <w:t>.</w:t>
      </w:r>
      <w:r>
        <w:t xml:space="preserve"> Signal path of one control step. The coordinator (1)–(3) publishes a set-point and a velocity feed-forward every 50 ms; the flight controller (4)–(7) runs on each 4 ms odometry message. The controllers differ only in the gains of (5)–(6) and in the position integrator (PID-</w:t>
      </w:r>
      <w:r>
        <w:rPr>
          <w:i/>
        </w:rPr>
        <w:t>H</w:t>
      </w:r>
      <w:r>
        <w:rPr>
          <w:vertAlign w:val="subscript"/>
        </w:rPr>
        <w:t>∞</w:t>
      </w:r>
      <w:r>
        <w:t>: always active, clipped to ±0.6; PID-LQR: active within 0.25 m, clipped to ±0.4).</w:t>
      </w:r>
    </w:p>
    <w:p w14:paraId="3CE04F40" w14:textId="0357F447" w:rsidR="00BD3578" w:rsidRDefault="00E51F8B">
      <w:pPr>
        <w:pStyle w:val="TableCaption"/>
        <w:keepNext/>
        <w:spacing w:before="40" w:after="60"/>
      </w:pPr>
      <w:r>
        <w:rPr>
          <w:b/>
        </w:rPr>
        <w:t xml:space="preserve">TABLE </w:t>
      </w:r>
      <w:bookmarkStart w:id="10" w:name="_Ref_tab_gains"/>
      <w:r>
        <w:rPr>
          <w:b/>
        </w:rPr>
        <w:fldChar w:fldCharType="begin"/>
      </w:r>
      <w:r>
        <w:rPr>
          <w:b/>
        </w:rPr>
        <w:instrText xml:space="preserve"> SEQ Table \* ARABIC </w:instrText>
      </w:r>
      <w:r>
        <w:rPr>
          <w:b/>
        </w:rPr>
        <w:fldChar w:fldCharType="separate"/>
      </w:r>
      <w:r w:rsidR="00122361">
        <w:rPr>
          <w:b/>
          <w:noProof/>
        </w:rPr>
        <w:t>1</w:t>
      </w:r>
      <w:r>
        <w:rPr>
          <w:b/>
        </w:rPr>
        <w:fldChar w:fldCharType="end"/>
      </w:r>
      <w:bookmarkEnd w:id="10"/>
      <w:r>
        <w:rPr>
          <w:b/>
        </w:rPr>
        <w:t>.</w:t>
      </w:r>
      <w:r>
        <w:t xml:space="preserve"> Gain synthesis (outer </w:t>
      </w:r>
      <w:r>
        <w:rPr>
          <w:i/>
        </w:rPr>
        <w:t>x</w:t>
      </w:r>
      <w:r>
        <w:t>/</w:t>
      </w:r>
      <w:r>
        <w:rPr>
          <w:i/>
        </w:rPr>
        <w:t>y</w:t>
      </w:r>
      <w:r>
        <w:t xml:space="preserve"> and inner roll/pitch loops) and linear analysis of the outer loop with the inner loop closed. ‖</w:t>
      </w:r>
      <w:r>
        <w:rPr>
          <w:i/>
        </w:rPr>
        <w:t>G</w:t>
      </w:r>
      <w:r>
        <w:t>‖</w:t>
      </w:r>
      <w:r>
        <w:rPr>
          <w:vertAlign w:val="subscript"/>
        </w:rPr>
        <w:t>∞</w:t>
      </w:r>
      <w:r>
        <w:t>: peak gain from a disturbance acceleration to position; PM/GM: outer-loop phase and gain margins (implemented inner PD gains).</w:t>
      </w:r>
    </w:p>
    <w:tbl>
      <w:tblPr>
        <w:tblW w:w="0" w:type="auto"/>
        <w:jc w:val="center"/>
        <w:tblCellMar>
          <w:left w:w="50" w:type="dxa"/>
          <w:right w:w="50" w:type="dxa"/>
        </w:tblCellMar>
        <w:tblLook w:val="04A0" w:firstRow="1" w:lastRow="0" w:firstColumn="1" w:lastColumn="0" w:noHBand="0" w:noVBand="1"/>
      </w:tblPr>
      <w:tblGrid>
        <w:gridCol w:w="732"/>
        <w:gridCol w:w="438"/>
        <w:gridCol w:w="1283"/>
        <w:gridCol w:w="820"/>
        <w:gridCol w:w="540"/>
        <w:gridCol w:w="460"/>
        <w:gridCol w:w="460"/>
        <w:gridCol w:w="636"/>
        <w:gridCol w:w="444"/>
        <w:gridCol w:w="607"/>
      </w:tblGrid>
      <w:tr w:rsidR="00BD3578" w14:paraId="7F5BB07F" w14:textId="77777777" w:rsidTr="00122361">
        <w:trPr>
          <w:cantSplit/>
          <w:jc w:val="center"/>
        </w:trPr>
        <w:tc>
          <w:tcPr>
            <w:tcW w:w="0" w:type="auto"/>
            <w:tcBorders>
              <w:top w:val="single" w:sz="8" w:space="0" w:color="000000"/>
              <w:bottom w:val="single" w:sz="4" w:space="0" w:color="000000"/>
            </w:tcBorders>
            <w:vAlign w:val="center"/>
          </w:tcPr>
          <w:p w14:paraId="044D2285" w14:textId="77777777" w:rsidR="00BD3578" w:rsidRDefault="00E51F8B">
            <w:pPr>
              <w:pStyle w:val="Paragraph"/>
              <w:ind w:firstLine="0"/>
              <w:jc w:val="left"/>
            </w:pPr>
            <w:r>
              <w:rPr>
                <w:sz w:val="16"/>
              </w:rPr>
              <w:t>Design</w:t>
            </w:r>
          </w:p>
        </w:tc>
        <w:tc>
          <w:tcPr>
            <w:tcW w:w="0" w:type="auto"/>
            <w:tcBorders>
              <w:top w:val="single" w:sz="8" w:space="0" w:color="000000"/>
              <w:bottom w:val="single" w:sz="4" w:space="0" w:color="000000"/>
            </w:tcBorders>
            <w:vAlign w:val="center"/>
          </w:tcPr>
          <w:p w14:paraId="1E31FABF" w14:textId="77777777" w:rsidR="00BD3578" w:rsidRDefault="00E51F8B">
            <w:pPr>
              <w:pStyle w:val="Paragraph"/>
              <w:ind w:firstLine="0"/>
              <w:jc w:val="left"/>
            </w:pPr>
            <w:r>
              <w:rPr>
                <w:sz w:val="16"/>
              </w:rPr>
              <w:t>Loop</w:t>
            </w:r>
          </w:p>
        </w:tc>
        <w:tc>
          <w:tcPr>
            <w:tcW w:w="0" w:type="auto"/>
            <w:tcBorders>
              <w:top w:val="single" w:sz="8" w:space="0" w:color="000000"/>
              <w:bottom w:val="single" w:sz="4" w:space="0" w:color="000000"/>
            </w:tcBorders>
            <w:vAlign w:val="center"/>
          </w:tcPr>
          <w:p w14:paraId="7E6D2E3A" w14:textId="77777777" w:rsidR="00BD3578" w:rsidRDefault="00E51F8B">
            <w:pPr>
              <w:pStyle w:val="Paragraph"/>
              <w:ind w:firstLine="0"/>
              <w:jc w:val="left"/>
            </w:pPr>
            <w:r>
              <w:rPr>
                <w:i/>
                <w:sz w:val="16"/>
              </w:rPr>
              <w:t>Q</w:t>
            </w:r>
            <w:r>
              <w:rPr>
                <w:sz w:val="16"/>
              </w:rPr>
              <w:t xml:space="preserve">, </w:t>
            </w:r>
            <w:r>
              <w:rPr>
                <w:i/>
                <w:sz w:val="16"/>
              </w:rPr>
              <w:t>R</w:t>
            </w:r>
          </w:p>
        </w:tc>
        <w:tc>
          <w:tcPr>
            <w:tcW w:w="0" w:type="auto"/>
            <w:tcBorders>
              <w:top w:val="single" w:sz="8" w:space="0" w:color="000000"/>
              <w:bottom w:val="single" w:sz="4" w:space="0" w:color="000000"/>
            </w:tcBorders>
            <w:vAlign w:val="center"/>
          </w:tcPr>
          <w:p w14:paraId="3D9353CB" w14:textId="77777777" w:rsidR="00BD3578" w:rsidRDefault="00E51F8B">
            <w:pPr>
              <w:pStyle w:val="Paragraph"/>
              <w:ind w:firstLine="0"/>
              <w:jc w:val="center"/>
            </w:pPr>
            <w:r>
              <w:rPr>
                <w:i/>
                <w:sz w:val="16"/>
              </w:rPr>
              <w:t>γ</w:t>
            </w:r>
            <w:r>
              <w:rPr>
                <w:sz w:val="16"/>
                <w:vertAlign w:val="subscript"/>
              </w:rPr>
              <w:t>min</w:t>
            </w:r>
            <w:r>
              <w:rPr>
                <w:sz w:val="16"/>
              </w:rPr>
              <w:t xml:space="preserve"> → </w:t>
            </w:r>
            <w:r>
              <w:rPr>
                <w:i/>
                <w:sz w:val="16"/>
              </w:rPr>
              <w:t>γ</w:t>
            </w:r>
          </w:p>
        </w:tc>
        <w:tc>
          <w:tcPr>
            <w:tcW w:w="0" w:type="auto"/>
            <w:tcBorders>
              <w:top w:val="single" w:sz="8" w:space="0" w:color="000000"/>
              <w:bottom w:val="single" w:sz="4" w:space="0" w:color="000000"/>
            </w:tcBorders>
            <w:vAlign w:val="center"/>
          </w:tcPr>
          <w:p w14:paraId="58025BCD" w14:textId="77777777" w:rsidR="00BD3578" w:rsidRDefault="00E51F8B">
            <w:pPr>
              <w:pStyle w:val="Paragraph"/>
              <w:ind w:firstLine="0"/>
              <w:jc w:val="center"/>
            </w:pPr>
            <w:r>
              <w:rPr>
                <w:i/>
                <w:sz w:val="16"/>
              </w:rPr>
              <w:t>K</w:t>
            </w:r>
            <w:r>
              <w:rPr>
                <w:i/>
                <w:sz w:val="16"/>
                <w:vertAlign w:val="subscript"/>
              </w:rPr>
              <w:t>p</w:t>
            </w:r>
          </w:p>
        </w:tc>
        <w:tc>
          <w:tcPr>
            <w:tcW w:w="0" w:type="auto"/>
            <w:tcBorders>
              <w:top w:val="single" w:sz="8" w:space="0" w:color="000000"/>
              <w:bottom w:val="single" w:sz="4" w:space="0" w:color="000000"/>
            </w:tcBorders>
            <w:vAlign w:val="center"/>
          </w:tcPr>
          <w:p w14:paraId="6D88A521" w14:textId="77777777" w:rsidR="00BD3578" w:rsidRDefault="00E51F8B">
            <w:pPr>
              <w:pStyle w:val="Paragraph"/>
              <w:ind w:firstLine="0"/>
              <w:jc w:val="center"/>
            </w:pPr>
            <w:r>
              <w:rPr>
                <w:i/>
                <w:sz w:val="16"/>
              </w:rPr>
              <w:t>K</w:t>
            </w:r>
            <w:r>
              <w:rPr>
                <w:i/>
                <w:sz w:val="16"/>
                <w:vertAlign w:val="subscript"/>
              </w:rPr>
              <w:t>i</w:t>
            </w:r>
          </w:p>
        </w:tc>
        <w:tc>
          <w:tcPr>
            <w:tcW w:w="0" w:type="auto"/>
            <w:tcBorders>
              <w:top w:val="single" w:sz="8" w:space="0" w:color="000000"/>
              <w:bottom w:val="single" w:sz="4" w:space="0" w:color="000000"/>
            </w:tcBorders>
            <w:vAlign w:val="center"/>
          </w:tcPr>
          <w:p w14:paraId="2E33E524" w14:textId="77777777" w:rsidR="00BD3578" w:rsidRDefault="00E51F8B">
            <w:pPr>
              <w:pStyle w:val="Paragraph"/>
              <w:ind w:firstLine="0"/>
              <w:jc w:val="center"/>
            </w:pPr>
            <w:r>
              <w:rPr>
                <w:i/>
                <w:sz w:val="16"/>
              </w:rPr>
              <w:t>K</w:t>
            </w:r>
            <w:r>
              <w:rPr>
                <w:i/>
                <w:sz w:val="16"/>
                <w:vertAlign w:val="subscript"/>
              </w:rPr>
              <w:t>d</w:t>
            </w:r>
          </w:p>
        </w:tc>
        <w:tc>
          <w:tcPr>
            <w:tcW w:w="0" w:type="auto"/>
            <w:tcBorders>
              <w:top w:val="single" w:sz="8" w:space="0" w:color="000000"/>
              <w:bottom w:val="single" w:sz="4" w:space="0" w:color="000000"/>
            </w:tcBorders>
            <w:vAlign w:val="center"/>
          </w:tcPr>
          <w:p w14:paraId="17EA5D30" w14:textId="77777777" w:rsidR="00BD3578" w:rsidRDefault="00E51F8B">
            <w:pPr>
              <w:pStyle w:val="Paragraph"/>
              <w:ind w:firstLine="0"/>
              <w:jc w:val="center"/>
            </w:pPr>
            <w:r>
              <w:rPr>
                <w:sz w:val="16"/>
              </w:rPr>
              <w:t>‖</w:t>
            </w:r>
            <w:r>
              <w:rPr>
                <w:i/>
                <w:sz w:val="16"/>
              </w:rPr>
              <w:t>G</w:t>
            </w:r>
            <w:r>
              <w:rPr>
                <w:sz w:val="16"/>
              </w:rPr>
              <w:t>‖</w:t>
            </w:r>
            <w:r>
              <w:rPr>
                <w:sz w:val="16"/>
                <w:vertAlign w:val="subscript"/>
              </w:rPr>
              <w:t>∞</w:t>
            </w:r>
            <w:r>
              <w:rPr>
                <w:sz w:val="16"/>
              </w:rPr>
              <w:t xml:space="preserve"> (s</w:t>
            </w:r>
            <w:r>
              <w:rPr>
                <w:sz w:val="16"/>
                <w:vertAlign w:val="superscript"/>
              </w:rPr>
              <w:t>2</w:t>
            </w:r>
            <w:r>
              <w:rPr>
                <w:sz w:val="16"/>
              </w:rPr>
              <w:t>)</w:t>
            </w:r>
          </w:p>
        </w:tc>
        <w:tc>
          <w:tcPr>
            <w:tcW w:w="0" w:type="auto"/>
            <w:tcBorders>
              <w:top w:val="single" w:sz="8" w:space="0" w:color="000000"/>
              <w:bottom w:val="single" w:sz="4" w:space="0" w:color="000000"/>
            </w:tcBorders>
            <w:vAlign w:val="center"/>
          </w:tcPr>
          <w:p w14:paraId="1505BC61" w14:textId="77777777" w:rsidR="00BD3578" w:rsidRDefault="00E51F8B">
            <w:pPr>
              <w:pStyle w:val="Paragraph"/>
              <w:ind w:firstLine="0"/>
              <w:jc w:val="center"/>
            </w:pPr>
            <w:r>
              <w:rPr>
                <w:sz w:val="16"/>
              </w:rPr>
              <w:t>PM</w:t>
            </w:r>
          </w:p>
        </w:tc>
        <w:tc>
          <w:tcPr>
            <w:tcW w:w="0" w:type="auto"/>
            <w:tcBorders>
              <w:top w:val="single" w:sz="8" w:space="0" w:color="000000"/>
              <w:bottom w:val="single" w:sz="4" w:space="0" w:color="000000"/>
            </w:tcBorders>
            <w:vAlign w:val="center"/>
          </w:tcPr>
          <w:p w14:paraId="181882B9" w14:textId="77777777" w:rsidR="00BD3578" w:rsidRDefault="00E51F8B">
            <w:pPr>
              <w:pStyle w:val="Paragraph"/>
              <w:ind w:firstLine="0"/>
              <w:jc w:val="center"/>
            </w:pPr>
            <w:r>
              <w:rPr>
                <w:sz w:val="16"/>
              </w:rPr>
              <w:t>GM</w:t>
            </w:r>
          </w:p>
        </w:tc>
      </w:tr>
      <w:tr w:rsidR="00BD3578" w14:paraId="5BF6067A" w14:textId="77777777" w:rsidTr="00122361">
        <w:trPr>
          <w:cantSplit/>
          <w:jc w:val="center"/>
        </w:trPr>
        <w:tc>
          <w:tcPr>
            <w:tcW w:w="0" w:type="auto"/>
            <w:vMerge w:val="restart"/>
            <w:tcBorders>
              <w:top w:val="single" w:sz="4" w:space="0" w:color="000000"/>
            </w:tcBorders>
            <w:vAlign w:val="center"/>
          </w:tcPr>
          <w:p w14:paraId="7B8EE84D" w14:textId="77777777" w:rsidR="00BD3578" w:rsidRDefault="00E51F8B">
            <w:pPr>
              <w:pStyle w:val="Paragraph"/>
              <w:ind w:firstLine="0"/>
              <w:jc w:val="left"/>
            </w:pPr>
            <w:r>
              <w:rPr>
                <w:sz w:val="16"/>
              </w:rPr>
              <w:t>PID-LQR</w:t>
            </w:r>
          </w:p>
        </w:tc>
        <w:tc>
          <w:tcPr>
            <w:tcW w:w="0" w:type="auto"/>
            <w:tcBorders>
              <w:top w:val="single" w:sz="4" w:space="0" w:color="000000"/>
            </w:tcBorders>
            <w:vAlign w:val="center"/>
          </w:tcPr>
          <w:p w14:paraId="3472CF07" w14:textId="77777777" w:rsidR="00BD3578" w:rsidRDefault="00E51F8B">
            <w:pPr>
              <w:pStyle w:val="Paragraph"/>
              <w:ind w:firstLine="0"/>
              <w:jc w:val="left"/>
            </w:pPr>
            <w:r>
              <w:rPr>
                <w:sz w:val="16"/>
              </w:rPr>
              <w:t>outer</w:t>
            </w:r>
          </w:p>
        </w:tc>
        <w:tc>
          <w:tcPr>
            <w:tcW w:w="0" w:type="auto"/>
            <w:tcBorders>
              <w:top w:val="single" w:sz="4" w:space="0" w:color="000000"/>
            </w:tcBorders>
            <w:vAlign w:val="center"/>
          </w:tcPr>
          <w:p w14:paraId="337D1F87" w14:textId="77777777" w:rsidR="00BD3578" w:rsidRDefault="00E51F8B">
            <w:pPr>
              <w:pStyle w:val="Paragraph"/>
              <w:ind w:firstLine="0"/>
              <w:jc w:val="left"/>
            </w:pPr>
            <w:r>
              <w:rPr>
                <w:sz w:val="16"/>
              </w:rPr>
              <w:t>diag(0.08, 0.35), 1</w:t>
            </w:r>
          </w:p>
        </w:tc>
        <w:tc>
          <w:tcPr>
            <w:tcW w:w="0" w:type="auto"/>
            <w:tcBorders>
              <w:top w:val="single" w:sz="4" w:space="0" w:color="000000"/>
            </w:tcBorders>
            <w:vAlign w:val="center"/>
          </w:tcPr>
          <w:p w14:paraId="622F4BAB" w14:textId="77777777" w:rsidR="00BD3578" w:rsidRDefault="00E51F8B">
            <w:pPr>
              <w:pStyle w:val="Paragraph"/>
              <w:ind w:firstLine="0"/>
              <w:jc w:val="center"/>
            </w:pPr>
            <w:r>
              <w:rPr>
                <w:sz w:val="16"/>
              </w:rPr>
              <w:t>–</w:t>
            </w:r>
          </w:p>
        </w:tc>
        <w:tc>
          <w:tcPr>
            <w:tcW w:w="0" w:type="auto"/>
            <w:tcBorders>
              <w:top w:val="single" w:sz="4" w:space="0" w:color="000000"/>
            </w:tcBorders>
            <w:vAlign w:val="center"/>
          </w:tcPr>
          <w:p w14:paraId="4B76BFDA" w14:textId="77777777" w:rsidR="00BD3578" w:rsidRDefault="00E51F8B">
            <w:pPr>
              <w:pStyle w:val="Paragraph"/>
              <w:ind w:firstLine="0"/>
              <w:jc w:val="center"/>
            </w:pPr>
            <w:r>
              <w:rPr>
                <w:sz w:val="16"/>
              </w:rPr>
              <w:t>0.757</w:t>
            </w:r>
          </w:p>
        </w:tc>
        <w:tc>
          <w:tcPr>
            <w:tcW w:w="0" w:type="auto"/>
            <w:tcBorders>
              <w:top w:val="single" w:sz="4" w:space="0" w:color="000000"/>
            </w:tcBorders>
            <w:vAlign w:val="center"/>
          </w:tcPr>
          <w:p w14:paraId="25AAFB25" w14:textId="77777777" w:rsidR="00BD3578" w:rsidRDefault="00E51F8B">
            <w:pPr>
              <w:pStyle w:val="Paragraph"/>
              <w:ind w:firstLine="0"/>
              <w:jc w:val="center"/>
            </w:pPr>
            <w:r>
              <w:rPr>
                <w:sz w:val="16"/>
              </w:rPr>
              <w:t>0.283</w:t>
            </w:r>
          </w:p>
        </w:tc>
        <w:tc>
          <w:tcPr>
            <w:tcW w:w="0" w:type="auto"/>
            <w:tcBorders>
              <w:top w:val="single" w:sz="4" w:space="0" w:color="000000"/>
            </w:tcBorders>
            <w:vAlign w:val="center"/>
          </w:tcPr>
          <w:p w14:paraId="2B7171F7" w14:textId="77777777" w:rsidR="00BD3578" w:rsidRDefault="00E51F8B">
            <w:pPr>
              <w:pStyle w:val="Paragraph"/>
              <w:ind w:firstLine="0"/>
              <w:jc w:val="center"/>
            </w:pPr>
            <w:r>
              <w:rPr>
                <w:sz w:val="16"/>
              </w:rPr>
              <w:t>0.394</w:t>
            </w:r>
          </w:p>
        </w:tc>
        <w:tc>
          <w:tcPr>
            <w:tcW w:w="0" w:type="auto"/>
            <w:vMerge w:val="restart"/>
            <w:tcBorders>
              <w:top w:val="single" w:sz="4" w:space="0" w:color="000000"/>
            </w:tcBorders>
            <w:vAlign w:val="center"/>
          </w:tcPr>
          <w:p w14:paraId="3A2DDB0F" w14:textId="77777777" w:rsidR="00BD3578" w:rsidRDefault="00E51F8B">
            <w:pPr>
              <w:pStyle w:val="Paragraph"/>
              <w:ind w:firstLine="0"/>
              <w:jc w:val="center"/>
            </w:pPr>
            <w:r>
              <w:rPr>
                <w:sz w:val="16"/>
              </w:rPr>
              <w:t>0.158</w:t>
            </w:r>
          </w:p>
        </w:tc>
        <w:tc>
          <w:tcPr>
            <w:tcW w:w="0" w:type="auto"/>
            <w:vMerge w:val="restart"/>
            <w:tcBorders>
              <w:top w:val="single" w:sz="4" w:space="0" w:color="000000"/>
            </w:tcBorders>
            <w:vAlign w:val="center"/>
          </w:tcPr>
          <w:p w14:paraId="0C39AF7C" w14:textId="77777777" w:rsidR="00BD3578" w:rsidRDefault="00E51F8B">
            <w:pPr>
              <w:pStyle w:val="Paragraph"/>
              <w:ind w:firstLine="0"/>
              <w:jc w:val="center"/>
            </w:pPr>
            <w:r>
              <w:rPr>
                <w:sz w:val="16"/>
              </w:rPr>
              <w:t>37.4°</w:t>
            </w:r>
          </w:p>
        </w:tc>
        <w:tc>
          <w:tcPr>
            <w:tcW w:w="0" w:type="auto"/>
            <w:vMerge w:val="restart"/>
            <w:tcBorders>
              <w:top w:val="single" w:sz="4" w:space="0" w:color="000000"/>
            </w:tcBorders>
            <w:vAlign w:val="center"/>
          </w:tcPr>
          <w:p w14:paraId="1C0DE424" w14:textId="77777777" w:rsidR="00BD3578" w:rsidRDefault="00E51F8B">
            <w:pPr>
              <w:pStyle w:val="Paragraph"/>
              <w:ind w:firstLine="0"/>
              <w:jc w:val="center"/>
            </w:pPr>
            <w:r>
              <w:rPr>
                <w:sz w:val="16"/>
              </w:rPr>
              <w:t>11.5 dB</w:t>
            </w:r>
          </w:p>
        </w:tc>
      </w:tr>
      <w:tr w:rsidR="00BD3578" w14:paraId="3DFE15A6" w14:textId="77777777" w:rsidTr="00122361">
        <w:trPr>
          <w:cantSplit/>
          <w:jc w:val="center"/>
        </w:trPr>
        <w:tc>
          <w:tcPr>
            <w:tcW w:w="0" w:type="auto"/>
            <w:vMerge/>
            <w:vAlign w:val="center"/>
          </w:tcPr>
          <w:p w14:paraId="08636884" w14:textId="77777777" w:rsidR="00BD3578" w:rsidRDefault="00BD3578">
            <w:pPr>
              <w:pStyle w:val="Paragraph"/>
              <w:ind w:firstLine="0"/>
              <w:jc w:val="left"/>
            </w:pPr>
          </w:p>
        </w:tc>
        <w:tc>
          <w:tcPr>
            <w:tcW w:w="0" w:type="auto"/>
            <w:vAlign w:val="center"/>
          </w:tcPr>
          <w:p w14:paraId="68AD3C89" w14:textId="77777777" w:rsidR="00BD3578" w:rsidRDefault="00E51F8B">
            <w:pPr>
              <w:pStyle w:val="Paragraph"/>
              <w:ind w:firstLine="0"/>
              <w:jc w:val="left"/>
            </w:pPr>
            <w:r>
              <w:rPr>
                <w:sz w:val="16"/>
              </w:rPr>
              <w:t>inner</w:t>
            </w:r>
          </w:p>
        </w:tc>
        <w:tc>
          <w:tcPr>
            <w:tcW w:w="0" w:type="auto"/>
            <w:vAlign w:val="center"/>
          </w:tcPr>
          <w:p w14:paraId="58F83088" w14:textId="77777777" w:rsidR="00BD3578" w:rsidRDefault="00E51F8B">
            <w:pPr>
              <w:pStyle w:val="Paragraph"/>
              <w:ind w:firstLine="0"/>
              <w:jc w:val="left"/>
            </w:pPr>
            <w:r>
              <w:rPr>
                <w:sz w:val="16"/>
              </w:rPr>
              <w:t>diag(6, 0.6), 0.05</w:t>
            </w:r>
          </w:p>
        </w:tc>
        <w:tc>
          <w:tcPr>
            <w:tcW w:w="0" w:type="auto"/>
            <w:vAlign w:val="center"/>
          </w:tcPr>
          <w:p w14:paraId="446AA64D" w14:textId="77777777" w:rsidR="00BD3578" w:rsidRDefault="00E51F8B">
            <w:pPr>
              <w:pStyle w:val="Paragraph"/>
              <w:ind w:firstLine="0"/>
              <w:jc w:val="center"/>
            </w:pPr>
            <w:r>
              <w:rPr>
                <w:sz w:val="16"/>
              </w:rPr>
              <w:t>–</w:t>
            </w:r>
          </w:p>
        </w:tc>
        <w:tc>
          <w:tcPr>
            <w:tcW w:w="0" w:type="auto"/>
            <w:vAlign w:val="center"/>
          </w:tcPr>
          <w:p w14:paraId="4A7AAA18" w14:textId="77777777" w:rsidR="00BD3578" w:rsidRDefault="00E51F8B">
            <w:pPr>
              <w:pStyle w:val="Paragraph"/>
              <w:ind w:firstLine="0"/>
              <w:jc w:val="center"/>
            </w:pPr>
            <w:r>
              <w:rPr>
                <w:sz w:val="16"/>
              </w:rPr>
              <w:t>4.868</w:t>
            </w:r>
          </w:p>
        </w:tc>
        <w:tc>
          <w:tcPr>
            <w:tcW w:w="0" w:type="auto"/>
            <w:vAlign w:val="center"/>
          </w:tcPr>
          <w:p w14:paraId="5EDC378E" w14:textId="77777777" w:rsidR="00BD3578" w:rsidRDefault="00E51F8B">
            <w:pPr>
              <w:pStyle w:val="Paragraph"/>
              <w:ind w:firstLine="0"/>
              <w:jc w:val="center"/>
            </w:pPr>
            <w:r>
              <w:rPr>
                <w:sz w:val="16"/>
              </w:rPr>
              <w:t>–</w:t>
            </w:r>
          </w:p>
        </w:tc>
        <w:tc>
          <w:tcPr>
            <w:tcW w:w="0" w:type="auto"/>
            <w:vAlign w:val="center"/>
          </w:tcPr>
          <w:p w14:paraId="414C1E73" w14:textId="77777777" w:rsidR="00BD3578" w:rsidRDefault="00E51F8B">
            <w:pPr>
              <w:pStyle w:val="Paragraph"/>
              <w:ind w:firstLine="0"/>
              <w:jc w:val="center"/>
            </w:pPr>
            <w:r>
              <w:rPr>
                <w:sz w:val="16"/>
              </w:rPr>
              <w:t>0.534</w:t>
            </w:r>
          </w:p>
        </w:tc>
        <w:tc>
          <w:tcPr>
            <w:tcW w:w="0" w:type="auto"/>
            <w:vMerge/>
            <w:vAlign w:val="center"/>
          </w:tcPr>
          <w:p w14:paraId="2038EFC8" w14:textId="77777777" w:rsidR="00BD3578" w:rsidRDefault="00BD3578">
            <w:pPr>
              <w:pStyle w:val="Paragraph"/>
              <w:ind w:firstLine="0"/>
              <w:jc w:val="center"/>
            </w:pPr>
          </w:p>
        </w:tc>
        <w:tc>
          <w:tcPr>
            <w:tcW w:w="0" w:type="auto"/>
            <w:vMerge/>
            <w:vAlign w:val="center"/>
          </w:tcPr>
          <w:p w14:paraId="43538281" w14:textId="77777777" w:rsidR="00BD3578" w:rsidRDefault="00BD3578">
            <w:pPr>
              <w:pStyle w:val="Paragraph"/>
              <w:ind w:firstLine="0"/>
              <w:jc w:val="center"/>
            </w:pPr>
          </w:p>
        </w:tc>
        <w:tc>
          <w:tcPr>
            <w:tcW w:w="0" w:type="auto"/>
            <w:vMerge/>
            <w:vAlign w:val="center"/>
          </w:tcPr>
          <w:p w14:paraId="75C26733" w14:textId="77777777" w:rsidR="00BD3578" w:rsidRDefault="00BD3578">
            <w:pPr>
              <w:pStyle w:val="Paragraph"/>
              <w:ind w:firstLine="0"/>
              <w:jc w:val="center"/>
            </w:pPr>
          </w:p>
        </w:tc>
      </w:tr>
      <w:tr w:rsidR="00BD3578" w14:paraId="233E8174" w14:textId="77777777" w:rsidTr="00122361">
        <w:trPr>
          <w:cantSplit/>
          <w:jc w:val="center"/>
        </w:trPr>
        <w:tc>
          <w:tcPr>
            <w:tcW w:w="0" w:type="auto"/>
            <w:vMerge w:val="restart"/>
            <w:vAlign w:val="center"/>
          </w:tcPr>
          <w:p w14:paraId="5791608A"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7F3162CC" w14:textId="77777777" w:rsidR="00BD3578" w:rsidRDefault="00E51F8B">
            <w:pPr>
              <w:pStyle w:val="Paragraph"/>
              <w:ind w:firstLine="0"/>
              <w:jc w:val="left"/>
            </w:pPr>
            <w:r>
              <w:rPr>
                <w:sz w:val="16"/>
              </w:rPr>
              <w:t>outer</w:t>
            </w:r>
          </w:p>
        </w:tc>
        <w:tc>
          <w:tcPr>
            <w:tcW w:w="0" w:type="auto"/>
            <w:vAlign w:val="center"/>
          </w:tcPr>
          <w:p w14:paraId="24A8360E" w14:textId="77777777" w:rsidR="00BD3578" w:rsidRDefault="00E51F8B">
            <w:pPr>
              <w:pStyle w:val="Paragraph"/>
              <w:ind w:firstLine="0"/>
              <w:jc w:val="left"/>
            </w:pPr>
            <w:r>
              <w:rPr>
                <w:sz w:val="16"/>
              </w:rPr>
              <w:t>diag(0.10, 0.40), 1</w:t>
            </w:r>
          </w:p>
        </w:tc>
        <w:tc>
          <w:tcPr>
            <w:tcW w:w="0" w:type="auto"/>
            <w:vAlign w:val="center"/>
          </w:tcPr>
          <w:p w14:paraId="642E79FF" w14:textId="77777777" w:rsidR="00BD3578" w:rsidRDefault="00E51F8B">
            <w:pPr>
              <w:pStyle w:val="Paragraph"/>
              <w:ind w:firstLine="0"/>
              <w:jc w:val="center"/>
            </w:pPr>
            <w:r>
              <w:rPr>
                <w:sz w:val="16"/>
              </w:rPr>
              <w:t>2.54→3.30</w:t>
            </w:r>
          </w:p>
        </w:tc>
        <w:tc>
          <w:tcPr>
            <w:tcW w:w="0" w:type="auto"/>
            <w:vAlign w:val="center"/>
          </w:tcPr>
          <w:p w14:paraId="660B0D57" w14:textId="77777777" w:rsidR="00BD3578" w:rsidRDefault="00E51F8B">
            <w:pPr>
              <w:pStyle w:val="Paragraph"/>
              <w:ind w:firstLine="0"/>
              <w:jc w:val="center"/>
            </w:pPr>
            <w:r>
              <w:rPr>
                <w:sz w:val="16"/>
              </w:rPr>
              <w:t>2.705</w:t>
            </w:r>
          </w:p>
        </w:tc>
        <w:tc>
          <w:tcPr>
            <w:tcW w:w="0" w:type="auto"/>
            <w:vAlign w:val="center"/>
          </w:tcPr>
          <w:p w14:paraId="510BBD6A" w14:textId="77777777" w:rsidR="00BD3578" w:rsidRDefault="00E51F8B">
            <w:pPr>
              <w:pStyle w:val="Paragraph"/>
              <w:ind w:firstLine="0"/>
              <w:jc w:val="center"/>
            </w:pPr>
            <w:r>
              <w:rPr>
                <w:sz w:val="16"/>
              </w:rPr>
              <w:t>1.092</w:t>
            </w:r>
          </w:p>
        </w:tc>
        <w:tc>
          <w:tcPr>
            <w:tcW w:w="0" w:type="auto"/>
            <w:vAlign w:val="center"/>
          </w:tcPr>
          <w:p w14:paraId="4A6E5A2F" w14:textId="77777777" w:rsidR="00BD3578" w:rsidRDefault="00E51F8B">
            <w:pPr>
              <w:pStyle w:val="Paragraph"/>
              <w:ind w:firstLine="0"/>
              <w:jc w:val="center"/>
            </w:pPr>
            <w:r>
              <w:rPr>
                <w:sz w:val="16"/>
              </w:rPr>
              <w:t>1.107</w:t>
            </w:r>
          </w:p>
        </w:tc>
        <w:tc>
          <w:tcPr>
            <w:tcW w:w="0" w:type="auto"/>
            <w:vMerge w:val="restart"/>
            <w:vAlign w:val="center"/>
          </w:tcPr>
          <w:p w14:paraId="06868C47" w14:textId="77777777" w:rsidR="00BD3578" w:rsidRDefault="00E51F8B">
            <w:pPr>
              <w:pStyle w:val="Paragraph"/>
              <w:ind w:firstLine="0"/>
              <w:jc w:val="center"/>
            </w:pPr>
            <w:r>
              <w:rPr>
                <w:sz w:val="16"/>
              </w:rPr>
              <w:t>0.040</w:t>
            </w:r>
          </w:p>
        </w:tc>
        <w:tc>
          <w:tcPr>
            <w:tcW w:w="0" w:type="auto"/>
            <w:vMerge w:val="restart"/>
            <w:vAlign w:val="center"/>
          </w:tcPr>
          <w:p w14:paraId="72C0330B" w14:textId="77777777" w:rsidR="00BD3578" w:rsidRDefault="00E51F8B">
            <w:pPr>
              <w:pStyle w:val="Paragraph"/>
              <w:ind w:firstLine="0"/>
              <w:jc w:val="center"/>
            </w:pPr>
            <w:r>
              <w:rPr>
                <w:sz w:val="16"/>
              </w:rPr>
              <w:t>25.2°</w:t>
            </w:r>
          </w:p>
        </w:tc>
        <w:tc>
          <w:tcPr>
            <w:tcW w:w="0" w:type="auto"/>
            <w:vMerge w:val="restart"/>
            <w:vAlign w:val="center"/>
          </w:tcPr>
          <w:p w14:paraId="52731020" w14:textId="77777777" w:rsidR="00BD3578" w:rsidRDefault="00E51F8B">
            <w:pPr>
              <w:pStyle w:val="Paragraph"/>
              <w:ind w:firstLine="0"/>
              <w:jc w:val="center"/>
            </w:pPr>
            <w:r>
              <w:rPr>
                <w:sz w:val="16"/>
              </w:rPr>
              <w:t>9.0 dB</w:t>
            </w:r>
          </w:p>
        </w:tc>
      </w:tr>
      <w:tr w:rsidR="00BD3578" w14:paraId="0381DD19" w14:textId="77777777" w:rsidTr="00122361">
        <w:trPr>
          <w:cantSplit/>
          <w:jc w:val="center"/>
        </w:trPr>
        <w:tc>
          <w:tcPr>
            <w:tcW w:w="0" w:type="auto"/>
            <w:vMerge/>
            <w:tcBorders>
              <w:bottom w:val="single" w:sz="8" w:space="0" w:color="000000"/>
            </w:tcBorders>
            <w:vAlign w:val="center"/>
          </w:tcPr>
          <w:p w14:paraId="2FF91336" w14:textId="77777777" w:rsidR="00BD3578" w:rsidRDefault="00BD3578">
            <w:pPr>
              <w:pStyle w:val="Paragraph"/>
              <w:ind w:firstLine="0"/>
              <w:jc w:val="left"/>
            </w:pPr>
          </w:p>
        </w:tc>
        <w:tc>
          <w:tcPr>
            <w:tcW w:w="0" w:type="auto"/>
            <w:tcBorders>
              <w:bottom w:val="single" w:sz="8" w:space="0" w:color="000000"/>
            </w:tcBorders>
            <w:vAlign w:val="center"/>
          </w:tcPr>
          <w:p w14:paraId="0162D0D1" w14:textId="77777777" w:rsidR="00BD3578" w:rsidRDefault="00E51F8B">
            <w:pPr>
              <w:pStyle w:val="Paragraph"/>
              <w:ind w:firstLine="0"/>
              <w:jc w:val="left"/>
            </w:pPr>
            <w:r>
              <w:rPr>
                <w:sz w:val="16"/>
              </w:rPr>
              <w:t>inner</w:t>
            </w:r>
          </w:p>
        </w:tc>
        <w:tc>
          <w:tcPr>
            <w:tcW w:w="0" w:type="auto"/>
            <w:tcBorders>
              <w:bottom w:val="single" w:sz="8" w:space="0" w:color="000000"/>
            </w:tcBorders>
            <w:vAlign w:val="center"/>
          </w:tcPr>
          <w:p w14:paraId="46F19F5E" w14:textId="77777777" w:rsidR="00BD3578" w:rsidRDefault="00E51F8B">
            <w:pPr>
              <w:pStyle w:val="Paragraph"/>
              <w:ind w:firstLine="0"/>
              <w:jc w:val="left"/>
            </w:pPr>
            <w:r>
              <w:rPr>
                <w:sz w:val="16"/>
              </w:rPr>
              <w:t>diag(4, 0.4), 0.06</w:t>
            </w:r>
          </w:p>
        </w:tc>
        <w:tc>
          <w:tcPr>
            <w:tcW w:w="0" w:type="auto"/>
            <w:tcBorders>
              <w:bottom w:val="single" w:sz="8" w:space="0" w:color="000000"/>
            </w:tcBorders>
            <w:vAlign w:val="center"/>
          </w:tcPr>
          <w:p w14:paraId="3E7BB0E4" w14:textId="77777777" w:rsidR="00BD3578" w:rsidRDefault="00E51F8B">
            <w:pPr>
              <w:pStyle w:val="Paragraph"/>
              <w:ind w:firstLine="0"/>
              <w:jc w:val="center"/>
            </w:pPr>
            <w:r>
              <w:rPr>
                <w:sz w:val="16"/>
              </w:rPr>
              <w:t>2.54→3.31</w:t>
            </w:r>
          </w:p>
        </w:tc>
        <w:tc>
          <w:tcPr>
            <w:tcW w:w="0" w:type="auto"/>
            <w:tcBorders>
              <w:bottom w:val="single" w:sz="8" w:space="0" w:color="000000"/>
            </w:tcBorders>
            <w:vAlign w:val="center"/>
          </w:tcPr>
          <w:p w14:paraId="2A3DF4AB" w14:textId="77777777" w:rsidR="00BD3578" w:rsidRDefault="00E51F8B">
            <w:pPr>
              <w:pStyle w:val="Paragraph"/>
              <w:ind w:firstLine="0"/>
              <w:jc w:val="center"/>
            </w:pPr>
            <w:r>
              <w:rPr>
                <w:sz w:val="16"/>
              </w:rPr>
              <w:t>11.604</w:t>
            </w:r>
          </w:p>
        </w:tc>
        <w:tc>
          <w:tcPr>
            <w:tcW w:w="0" w:type="auto"/>
            <w:tcBorders>
              <w:bottom w:val="single" w:sz="8" w:space="0" w:color="000000"/>
            </w:tcBorders>
            <w:vAlign w:val="center"/>
          </w:tcPr>
          <w:p w14:paraId="25E015CB" w14:textId="77777777" w:rsidR="00BD3578" w:rsidRDefault="00E51F8B">
            <w:pPr>
              <w:pStyle w:val="Paragraph"/>
              <w:ind w:firstLine="0"/>
              <w:jc w:val="center"/>
            </w:pPr>
            <w:r>
              <w:rPr>
                <w:sz w:val="16"/>
              </w:rPr>
              <w:t>–</w:t>
            </w:r>
          </w:p>
        </w:tc>
        <w:tc>
          <w:tcPr>
            <w:tcW w:w="0" w:type="auto"/>
            <w:tcBorders>
              <w:bottom w:val="single" w:sz="8" w:space="0" w:color="000000"/>
            </w:tcBorders>
            <w:vAlign w:val="center"/>
          </w:tcPr>
          <w:p w14:paraId="20B0E623" w14:textId="77777777" w:rsidR="00BD3578" w:rsidRDefault="00E51F8B">
            <w:pPr>
              <w:pStyle w:val="Paragraph"/>
              <w:ind w:firstLine="0"/>
              <w:jc w:val="center"/>
            </w:pPr>
            <w:r>
              <w:rPr>
                <w:sz w:val="16"/>
              </w:rPr>
              <w:t>1.189</w:t>
            </w:r>
          </w:p>
        </w:tc>
        <w:tc>
          <w:tcPr>
            <w:tcW w:w="0" w:type="auto"/>
            <w:vMerge/>
            <w:tcBorders>
              <w:bottom w:val="single" w:sz="8" w:space="0" w:color="000000"/>
            </w:tcBorders>
            <w:vAlign w:val="center"/>
          </w:tcPr>
          <w:p w14:paraId="3D799AF1" w14:textId="77777777" w:rsidR="00BD3578" w:rsidRDefault="00BD3578">
            <w:pPr>
              <w:pStyle w:val="Paragraph"/>
              <w:ind w:firstLine="0"/>
              <w:jc w:val="center"/>
            </w:pPr>
          </w:p>
        </w:tc>
        <w:tc>
          <w:tcPr>
            <w:tcW w:w="0" w:type="auto"/>
            <w:vMerge/>
            <w:tcBorders>
              <w:bottom w:val="single" w:sz="8" w:space="0" w:color="000000"/>
            </w:tcBorders>
            <w:vAlign w:val="center"/>
          </w:tcPr>
          <w:p w14:paraId="7D39DB4D" w14:textId="77777777" w:rsidR="00BD3578" w:rsidRDefault="00BD3578">
            <w:pPr>
              <w:pStyle w:val="Paragraph"/>
              <w:ind w:firstLine="0"/>
              <w:jc w:val="center"/>
            </w:pPr>
          </w:p>
        </w:tc>
        <w:tc>
          <w:tcPr>
            <w:tcW w:w="0" w:type="auto"/>
            <w:vMerge/>
            <w:tcBorders>
              <w:bottom w:val="single" w:sz="8" w:space="0" w:color="000000"/>
            </w:tcBorders>
            <w:vAlign w:val="center"/>
          </w:tcPr>
          <w:p w14:paraId="2F9F0B51" w14:textId="77777777" w:rsidR="00BD3578" w:rsidRDefault="00BD3578">
            <w:pPr>
              <w:pStyle w:val="Paragraph"/>
              <w:ind w:firstLine="0"/>
              <w:jc w:val="center"/>
            </w:pPr>
          </w:p>
        </w:tc>
      </w:tr>
    </w:tbl>
    <w:p w14:paraId="280BC42D" w14:textId="77777777" w:rsidR="00BD3578" w:rsidRDefault="00BD3578">
      <w:pPr>
        <w:pStyle w:val="Paragraph"/>
        <w:spacing w:line="80" w:lineRule="exact"/>
      </w:pPr>
    </w:p>
    <w:p w14:paraId="6671BFBF" w14:textId="77777777" w:rsidR="00BD3578" w:rsidRDefault="00E51F8B">
      <w:pPr>
        <w:pStyle w:val="Heading2"/>
      </w:pPr>
      <w:r>
        <w:t>Simulation Setup</w:t>
      </w:r>
    </w:p>
    <w:p w14:paraId="34D5F494" w14:textId="2EC00DDD" w:rsidR="00BD3578" w:rsidRDefault="00E51F8B">
      <w:pPr>
        <w:pStyle w:val="Paragraph"/>
      </w:pPr>
      <w:r>
        <w:t>Seven 3DR Iris quadrotors (</w:t>
      </w:r>
      <w:r>
        <w:rPr>
          <w:i/>
        </w:rPr>
        <w:t>m</w:t>
      </w:r>
      <w:r>
        <w:t xml:space="preserve"> = 1.50 kg, </w:t>
      </w:r>
      <w:r>
        <w:rPr>
          <w:i/>
        </w:rPr>
        <w:t>I</w:t>
      </w:r>
      <w:r>
        <w:rPr>
          <w:i/>
          <w:vertAlign w:val="subscript"/>
        </w:rPr>
        <w:t>xx</w:t>
      </w:r>
      <w:r>
        <w:t xml:space="preserve"> = </w:t>
      </w:r>
      <w:r>
        <w:rPr>
          <w:i/>
        </w:rPr>
        <w:t>I</w:t>
      </w:r>
      <w:r>
        <w:rPr>
          <w:i/>
          <w:vertAlign w:val="subscript"/>
        </w:rPr>
        <w:t>yy</w:t>
      </w:r>
      <w:r>
        <w:t xml:space="preserve"> = 0.0291, </w:t>
      </w:r>
      <w:r>
        <w:rPr>
          <w:i/>
        </w:rPr>
        <w:t>I</w:t>
      </w:r>
      <w:r>
        <w:rPr>
          <w:i/>
          <w:vertAlign w:val="subscript"/>
        </w:rPr>
        <w:t>zz</w:t>
      </w:r>
      <w:r>
        <w:t xml:space="preserve"> = 0.0552 kg m</w:t>
      </w:r>
      <w:r>
        <w:rPr>
          <w:vertAlign w:val="superscript"/>
        </w:rPr>
        <w:t>2</w:t>
      </w:r>
      <w:r>
        <w:t xml:space="preserve">, arm 0.22 m, </w:t>
      </w:r>
      <w:r>
        <w:rPr>
          <w:i/>
        </w:rPr>
        <w:t>k</w:t>
      </w:r>
      <w:r>
        <w:rPr>
          <w:i/>
          <w:vertAlign w:val="subscript"/>
        </w:rPr>
        <w:t>f</w:t>
      </w:r>
      <w:r>
        <w:t xml:space="preserve"> = 8.549×10</w:t>
      </w:r>
      <w:r>
        <w:rPr>
          <w:vertAlign w:val="superscript"/>
        </w:rPr>
        <w:t>−6</w:t>
      </w:r>
      <w:r>
        <w:t> N s</w:t>
      </w:r>
      <w:r>
        <w:rPr>
          <w:vertAlign w:val="superscript"/>
        </w:rPr>
        <w:t>2</w:t>
      </w:r>
      <w:r>
        <w:t>, rotor speed ≤ 1100 rad/s) are simulated in Gazebo [</w:t>
      </w:r>
      <w:hyperlink w:anchor="_Ref_bib21" w:history="1">
        <w:r>
          <w:t>21</w:t>
        </w:r>
      </w:hyperlink>
      <w:r>
        <w:t>] with ROS 2. Controllers read ground-truth odometry; no state estimator is in the loop. Missions start from a launch pad south of the region, cruise at 2.0 m and sweep at 1.6 m/s. Four regions inside a 28×28 m box are used (Fig. </w:t>
      </w:r>
      <w:r>
        <w:fldChar w:fldCharType="begin"/>
      </w:r>
      <w:r>
        <w:instrText xml:space="preserve"> REF _Ref_fig_traj \h \* MERGEFORMAT </w:instrText>
      </w:r>
      <w:r>
        <w:fldChar w:fldCharType="separate"/>
      </w:r>
      <w:r w:rsidR="00122361" w:rsidRPr="00122361">
        <w:t>5</w:t>
      </w:r>
      <w:r>
        <w:fldChar w:fldCharType="end"/>
      </w:r>
      <w:r>
        <w:t xml:space="preserve">): </w:t>
      </w:r>
      <w:r>
        <w:rPr>
          <w:i/>
        </w:rPr>
        <w:t>rect</w:t>
      </w:r>
      <w:r>
        <w:t xml:space="preserve"> (784 m</w:t>
      </w:r>
      <w:r>
        <w:rPr>
          <w:vertAlign w:val="superscript"/>
        </w:rPr>
        <w:t>2</w:t>
      </w:r>
      <w:r>
        <w:t xml:space="preserve">), </w:t>
      </w:r>
      <w:r>
        <w:rPr>
          <w:i/>
        </w:rPr>
        <w:t>L-shape</w:t>
      </w:r>
      <w:r>
        <w:t xml:space="preserve"> (588 m</w:t>
      </w:r>
      <w:r>
        <w:rPr>
          <w:vertAlign w:val="superscript"/>
        </w:rPr>
        <w:t>2</w:t>
      </w:r>
      <w:r>
        <w:t xml:space="preserve">), </w:t>
      </w:r>
      <w:r>
        <w:rPr>
          <w:i/>
        </w:rPr>
        <w:t>U-shape</w:t>
      </w:r>
      <w:r>
        <w:t xml:space="preserve"> (624 m</w:t>
      </w:r>
      <w:r>
        <w:rPr>
          <w:vertAlign w:val="superscript"/>
        </w:rPr>
        <w:t>2</w:t>
      </w:r>
      <w:r>
        <w:t xml:space="preserve">, 10 m wide notch) and </w:t>
      </w:r>
      <w:r>
        <w:rPr>
          <w:i/>
        </w:rPr>
        <w:t>plus</w:t>
      </w:r>
      <w:r>
        <w:t xml:space="preserve"> (460 m</w:t>
      </w:r>
      <w:r>
        <w:rPr>
          <w:vertAlign w:val="superscript"/>
        </w:rPr>
        <w:t>2</w:t>
      </w:r>
      <w:r>
        <w:t>, 10 m wide arms), each with nine vertical cylinders (</w:t>
      </w:r>
      <w:r>
        <w:rPr>
          <w:i/>
        </w:rPr>
        <w:t>r</w:t>
      </w:r>
      <w:r>
        <w:t xml:space="preserve"> = 0.40 m, 4 m tall) placed inside the region. All missions use the same combined-hazard scheme:</w:t>
      </w:r>
    </w:p>
    <w:p w14:paraId="0F14A4B7" w14:textId="7D09808A" w:rsidR="00BD3578" w:rsidRDefault="00E51F8B">
      <w:pPr>
        <w:pStyle w:val="Paragraphbulleted"/>
      </w:pPr>
      <w:r>
        <w:rPr>
          <w:i/>
        </w:rPr>
        <w:t>Wind.</w:t>
      </w:r>
      <w:r>
        <w:t xml:space="preserve"> A first-order Gauss–Markov process per horizontal axis (</w:t>
      </w:r>
      <w:r>
        <w:rPr>
          <w:i/>
        </w:rPr>
        <w:t>σ</w:t>
      </w:r>
      <w:r>
        <w:t xml:space="preserve"> = 2.5 m/s, correlation time 0.5 s, seed 42), a surrogate for the Dryden and von Kármán models used in quadrotor studies [</w:t>
      </w:r>
      <w:hyperlink w:anchor="_Ref_bib22" w:history="1">
        <w:r>
          <w:t>22</w:t>
        </w:r>
      </w:hyperlink>
      <w:r>
        <w:t xml:space="preserve">], plus a constant −2 m/s mean on each axis (2.8 m/s horizontally) from </w:t>
      </w:r>
      <w:r>
        <w:rPr>
          <w:i/>
        </w:rPr>
        <w:t>t</w:t>
      </w:r>
      <w:r>
        <w:t xml:space="preserve"> = 5 s, uniform in space and applied through the Gazebo wind-effects plugin (vertical component scaled by 0.4). Recorded mean (−2.34,−1.95) m/s, standard deviation (2.45,2.51) m/s, horizontal peaks 12.0 m/s.</w:t>
      </w:r>
    </w:p>
    <w:p w14:paraId="25FFB6E1" w14:textId="77777777" w:rsidR="00BD3578" w:rsidRDefault="00E51F8B">
      <w:pPr>
        <w:pStyle w:val="Paragraphbulleted"/>
      </w:pPr>
      <w:r>
        <w:rPr>
          <w:i/>
        </w:rPr>
        <w:lastRenderedPageBreak/>
        <w:t>Moving obstacles.</w:t>
      </w:r>
      <w:r>
        <w:t xml:space="preserve"> Two kinematic cylinders (</w:t>
      </w:r>
      <w:r>
        <w:rPr>
          <w:i/>
        </w:rPr>
        <w:t>r</w:t>
      </w:r>
      <w:r>
        <w:t xml:space="preserve"> = 0.45 m) oscillate along the region diagonals with amplitude 10 m on each axis (12 m, offset by 1 m, in </w:t>
      </w:r>
      <w:r>
        <w:rPr>
          <w:i/>
        </w:rPr>
        <w:t>plus</w:t>
      </w:r>
      <w:r>
        <w:t>) at 0.15 and 0.11 rad/s, i.e. peak speeds along the diagonal of 1.6–2.5 m/s.</w:t>
      </w:r>
    </w:p>
    <w:p w14:paraId="5E17AAA1" w14:textId="276F5D9C" w:rsidR="00BD3578" w:rsidRDefault="00E51F8B">
      <w:pPr>
        <w:pStyle w:val="Paragraphbulleted"/>
      </w:pPr>
      <w:r>
        <w:rPr>
          <w:i/>
        </w:rPr>
        <w:t>Agent loss.</w:t>
      </w:r>
      <w:r>
        <w:t xml:space="preserve"> When coverage first reaches 18% and 32%, one pre-selected agent is killed (rotor speeds set to zero, fail-stop) and the coordinator is notified at once. Victims were chosen to own comparable cells next to the launch pad (Table </w:t>
      </w:r>
      <w:r>
        <w:fldChar w:fldCharType="begin"/>
      </w:r>
      <w:r>
        <w:instrText xml:space="preserve"> REF _Ref_tab_results \h \* MERGEFORMAT </w:instrText>
      </w:r>
      <w:r>
        <w:fldChar w:fldCharType="separate"/>
      </w:r>
      <w:r w:rsidR="00122361" w:rsidRPr="00122361">
        <w:t>2</w:t>
      </w:r>
      <w:r>
        <w:fldChar w:fldCharType="end"/>
      </w:r>
      <w:r>
        <w:t xml:space="preserve">); in </w:t>
      </w:r>
      <w:r>
        <w:rPr>
          <w:i/>
        </w:rPr>
        <w:t>rect</w:t>
      </w:r>
      <w:r>
        <w:t xml:space="preserve"> the first victim differed (4 vs. 7), so that pair is not like-for-like.</w:t>
      </w:r>
    </w:p>
    <w:p w14:paraId="4CF9DAF9" w14:textId="34C7C57C" w:rsidR="00BD3578" w:rsidRDefault="00E51F8B">
      <w:pPr>
        <w:pStyle w:val="TableCaption"/>
        <w:keepNext/>
        <w:spacing w:before="40" w:after="60"/>
      </w:pPr>
      <w:r>
        <w:rPr>
          <w:b/>
        </w:rPr>
        <w:t xml:space="preserve">TABLE </w:t>
      </w:r>
      <w:bookmarkStart w:id="11" w:name="_Ref_tab_results"/>
      <w:r>
        <w:rPr>
          <w:b/>
        </w:rPr>
        <w:fldChar w:fldCharType="begin"/>
      </w:r>
      <w:r>
        <w:rPr>
          <w:b/>
        </w:rPr>
        <w:instrText xml:space="preserve"> SEQ Table \* ARABIC </w:instrText>
      </w:r>
      <w:r>
        <w:rPr>
          <w:b/>
        </w:rPr>
        <w:fldChar w:fldCharType="separate"/>
      </w:r>
      <w:r w:rsidR="00122361">
        <w:rPr>
          <w:b/>
          <w:noProof/>
        </w:rPr>
        <w:t>2</w:t>
      </w:r>
      <w:r>
        <w:rPr>
          <w:b/>
        </w:rPr>
        <w:fldChar w:fldCharType="end"/>
      </w:r>
      <w:bookmarkEnd w:id="11"/>
      <w:r>
        <w:rPr>
          <w:b/>
        </w:rPr>
        <w:t>.</w:t>
      </w:r>
      <w:r>
        <w:t xml:space="preserve"> Mission results. </w:t>
      </w:r>
      <w:r>
        <w:rPr>
          <w:i/>
        </w:rPr>
        <w:t>T</w:t>
      </w:r>
      <w:r>
        <w:t xml:space="preserve">: mission time; lat.: RMS lateral sweep error; </w:t>
      </w:r>
      <w:r>
        <w:rPr>
          <w:i/>
        </w:rPr>
        <w:t>v̄</w:t>
      </w:r>
      <w:r>
        <w:t xml:space="preserve">: mean sweep speed; alt.: RMS altitude error; tilt: 95th percentile while sweeping, and maximum; effort: mean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xml:space="preserve"> (N</w:t>
      </w:r>
      <w:r>
        <w:rPr>
          <w:vertAlign w:val="superscript"/>
        </w:rPr>
        <w:t>2</w:t>
      </w:r>
      <w:r>
        <w:t>m</w:t>
      </w:r>
      <w:r>
        <w:rPr>
          <w:vertAlign w:val="superscript"/>
        </w:rPr>
        <w:t>2</w:t>
      </w:r>
      <w:r>
        <w:t xml:space="preserve">); </w:t>
      </w:r>
      <w:r>
        <w:rPr>
          <w:i/>
        </w:rPr>
        <w:t>d</w:t>
      </w:r>
      <w:r>
        <w:rPr>
          <w:vertAlign w:val="subscript"/>
        </w:rPr>
        <w:t>obs</w:t>
      </w:r>
      <w:r>
        <w:t xml:space="preserve">, </w:t>
      </w:r>
      <w:r>
        <w:rPr>
          <w:i/>
        </w:rPr>
        <w:t>d</w:t>
      </w:r>
      <w:r>
        <w:rPr>
          <w:vertAlign w:val="subscript"/>
        </w:rPr>
        <w:t>v2v</w:t>
      </w:r>
      <w:r>
        <w:t>: minimum surface distance to a static cylinder and inter-agent distance; tier: solves needing tier 1–2. Killed: rect 4, 7 (</w:t>
      </w:r>
      <w:r>
        <w:rPr>
          <w:i/>
        </w:rPr>
        <w:t>H</w:t>
      </w:r>
      <w:r>
        <w:rPr>
          <w:vertAlign w:val="subscript"/>
        </w:rPr>
        <w:t>∞</w:t>
      </w:r>
      <w:r>
        <w:t xml:space="preserve">), 7 (LQR); L 4, 7; U 4, 5; plus 1, 7. The </w:t>
      </w:r>
      <w:r>
        <w:rPr>
          <w:i/>
        </w:rPr>
        <w:t>plus</w:t>
      </w:r>
      <w:r>
        <w:t xml:space="preserve"> missions use three extra transit guards.</w:t>
      </w:r>
    </w:p>
    <w:tbl>
      <w:tblPr>
        <w:tblW w:w="0" w:type="auto"/>
        <w:jc w:val="center"/>
        <w:tblCellMar>
          <w:left w:w="50" w:type="dxa"/>
          <w:right w:w="50" w:type="dxa"/>
        </w:tblCellMar>
        <w:tblLook w:val="04A0" w:firstRow="1" w:lastRow="0" w:firstColumn="1" w:lastColumn="0" w:noHBand="0" w:noVBand="1"/>
      </w:tblPr>
      <w:tblGrid>
        <w:gridCol w:w="634"/>
        <w:gridCol w:w="758"/>
        <w:gridCol w:w="959"/>
        <w:gridCol w:w="687"/>
        <w:gridCol w:w="398"/>
        <w:gridCol w:w="642"/>
        <w:gridCol w:w="549"/>
        <w:gridCol w:w="642"/>
        <w:gridCol w:w="589"/>
        <w:gridCol w:w="661"/>
        <w:gridCol w:w="460"/>
        <w:gridCol w:w="590"/>
        <w:gridCol w:w="602"/>
        <w:gridCol w:w="594"/>
      </w:tblGrid>
      <w:tr w:rsidR="00BD3578" w14:paraId="79D02249" w14:textId="77777777" w:rsidTr="00122361">
        <w:trPr>
          <w:cantSplit/>
          <w:jc w:val="center"/>
        </w:trPr>
        <w:tc>
          <w:tcPr>
            <w:tcW w:w="0" w:type="auto"/>
            <w:tcBorders>
              <w:top w:val="single" w:sz="8" w:space="0" w:color="000000"/>
              <w:bottom w:val="single" w:sz="4" w:space="0" w:color="000000"/>
            </w:tcBorders>
            <w:vAlign w:val="center"/>
          </w:tcPr>
          <w:p w14:paraId="28525F4C" w14:textId="77777777" w:rsidR="00BD3578" w:rsidRDefault="00E51F8B">
            <w:pPr>
              <w:pStyle w:val="Paragraph"/>
              <w:ind w:firstLine="0"/>
              <w:jc w:val="left"/>
            </w:pPr>
            <w:r>
              <w:rPr>
                <w:sz w:val="16"/>
              </w:rPr>
              <w:t>Region</w:t>
            </w:r>
          </w:p>
        </w:tc>
        <w:tc>
          <w:tcPr>
            <w:tcW w:w="0" w:type="auto"/>
            <w:tcBorders>
              <w:top w:val="single" w:sz="8" w:space="0" w:color="000000"/>
              <w:bottom w:val="single" w:sz="4" w:space="0" w:color="000000"/>
            </w:tcBorders>
            <w:vAlign w:val="center"/>
          </w:tcPr>
          <w:p w14:paraId="7B1E9C1B" w14:textId="77777777" w:rsidR="00BD3578" w:rsidRDefault="00E51F8B">
            <w:pPr>
              <w:pStyle w:val="Paragraph"/>
              <w:ind w:firstLine="0"/>
              <w:jc w:val="left"/>
            </w:pPr>
            <w:r>
              <w:rPr>
                <w:sz w:val="16"/>
              </w:rPr>
              <w:t>Controller</w:t>
            </w:r>
          </w:p>
        </w:tc>
        <w:tc>
          <w:tcPr>
            <w:tcW w:w="0" w:type="auto"/>
            <w:tcBorders>
              <w:top w:val="single" w:sz="8" w:space="0" w:color="000000"/>
              <w:bottom w:val="single" w:sz="4" w:space="0" w:color="000000"/>
            </w:tcBorders>
            <w:vAlign w:val="center"/>
          </w:tcPr>
          <w:p w14:paraId="6057AC2C" w14:textId="77777777" w:rsidR="00BD3578" w:rsidRDefault="00E51F8B">
            <w:pPr>
              <w:pStyle w:val="Paragraph"/>
              <w:ind w:firstLine="0"/>
              <w:jc w:val="center"/>
            </w:pPr>
            <w:r>
              <w:rPr>
                <w:sz w:val="16"/>
              </w:rPr>
              <w:t>Status</w:t>
            </w:r>
          </w:p>
        </w:tc>
        <w:tc>
          <w:tcPr>
            <w:tcW w:w="0" w:type="auto"/>
            <w:tcBorders>
              <w:top w:val="single" w:sz="8" w:space="0" w:color="000000"/>
              <w:bottom w:val="single" w:sz="4" w:space="0" w:color="000000"/>
            </w:tcBorders>
            <w:vAlign w:val="center"/>
          </w:tcPr>
          <w:p w14:paraId="1E74F146" w14:textId="77777777" w:rsidR="00BD3578" w:rsidRDefault="00E51F8B">
            <w:pPr>
              <w:pStyle w:val="Paragraph"/>
              <w:ind w:firstLine="0"/>
              <w:jc w:val="center"/>
            </w:pPr>
            <w:r>
              <w:rPr>
                <w:sz w:val="16"/>
              </w:rPr>
              <w:t>Cov. (%)</w:t>
            </w:r>
          </w:p>
        </w:tc>
        <w:tc>
          <w:tcPr>
            <w:tcW w:w="0" w:type="auto"/>
            <w:tcBorders>
              <w:top w:val="single" w:sz="8" w:space="0" w:color="000000"/>
              <w:bottom w:val="single" w:sz="4" w:space="0" w:color="000000"/>
            </w:tcBorders>
            <w:vAlign w:val="center"/>
          </w:tcPr>
          <w:p w14:paraId="0758C361" w14:textId="77777777" w:rsidR="00BD3578" w:rsidRDefault="00E51F8B">
            <w:pPr>
              <w:pStyle w:val="Paragraph"/>
              <w:ind w:firstLine="0"/>
              <w:jc w:val="center"/>
            </w:pPr>
            <w:r>
              <w:rPr>
                <w:i/>
                <w:sz w:val="16"/>
              </w:rPr>
              <w:t>T</w:t>
            </w:r>
            <w:r>
              <w:rPr>
                <w:sz w:val="16"/>
              </w:rPr>
              <w:t xml:space="preserve"> (s)</w:t>
            </w:r>
          </w:p>
        </w:tc>
        <w:tc>
          <w:tcPr>
            <w:tcW w:w="0" w:type="auto"/>
            <w:tcBorders>
              <w:top w:val="single" w:sz="8" w:space="0" w:color="000000"/>
              <w:bottom w:val="single" w:sz="4" w:space="0" w:color="000000"/>
            </w:tcBorders>
            <w:vAlign w:val="center"/>
          </w:tcPr>
          <w:p w14:paraId="734C1582" w14:textId="77777777" w:rsidR="00BD3578" w:rsidRDefault="00E51F8B">
            <w:pPr>
              <w:pStyle w:val="Paragraph"/>
              <w:ind w:firstLine="0"/>
              <w:jc w:val="center"/>
            </w:pPr>
            <w:r>
              <w:rPr>
                <w:sz w:val="16"/>
              </w:rPr>
              <w:t>lat. (cm)</w:t>
            </w:r>
          </w:p>
        </w:tc>
        <w:tc>
          <w:tcPr>
            <w:tcW w:w="0" w:type="auto"/>
            <w:tcBorders>
              <w:top w:val="single" w:sz="8" w:space="0" w:color="000000"/>
              <w:bottom w:val="single" w:sz="4" w:space="0" w:color="000000"/>
            </w:tcBorders>
            <w:vAlign w:val="center"/>
          </w:tcPr>
          <w:p w14:paraId="48E2220C" w14:textId="77777777" w:rsidR="00BD3578" w:rsidRDefault="00E51F8B">
            <w:pPr>
              <w:pStyle w:val="Paragraph"/>
              <w:ind w:firstLine="0"/>
              <w:jc w:val="center"/>
            </w:pPr>
            <w:r>
              <w:rPr>
                <w:i/>
                <w:sz w:val="16"/>
              </w:rPr>
              <w:t>v̄</w:t>
            </w:r>
            <w:r>
              <w:rPr>
                <w:sz w:val="16"/>
              </w:rPr>
              <w:t xml:space="preserve"> (m/s)</w:t>
            </w:r>
          </w:p>
        </w:tc>
        <w:tc>
          <w:tcPr>
            <w:tcW w:w="0" w:type="auto"/>
            <w:tcBorders>
              <w:top w:val="single" w:sz="8" w:space="0" w:color="000000"/>
              <w:bottom w:val="single" w:sz="4" w:space="0" w:color="000000"/>
            </w:tcBorders>
            <w:vAlign w:val="center"/>
          </w:tcPr>
          <w:p w14:paraId="26411016" w14:textId="77777777" w:rsidR="00BD3578" w:rsidRDefault="00E51F8B">
            <w:pPr>
              <w:pStyle w:val="Paragraph"/>
              <w:ind w:firstLine="0"/>
              <w:jc w:val="center"/>
            </w:pPr>
            <w:r>
              <w:rPr>
                <w:sz w:val="16"/>
              </w:rPr>
              <w:t>alt. (cm)</w:t>
            </w:r>
          </w:p>
        </w:tc>
        <w:tc>
          <w:tcPr>
            <w:tcW w:w="0" w:type="auto"/>
            <w:tcBorders>
              <w:top w:val="single" w:sz="8" w:space="0" w:color="000000"/>
              <w:bottom w:val="single" w:sz="4" w:space="0" w:color="000000"/>
            </w:tcBorders>
            <w:vAlign w:val="center"/>
          </w:tcPr>
          <w:p w14:paraId="2912DAC9" w14:textId="77777777" w:rsidR="00BD3578" w:rsidRDefault="00E51F8B">
            <w:pPr>
              <w:pStyle w:val="Paragraph"/>
              <w:ind w:firstLine="0"/>
              <w:jc w:val="center"/>
            </w:pPr>
            <w:r>
              <w:rPr>
                <w:sz w:val="16"/>
              </w:rPr>
              <w:t>tilt</w:t>
            </w:r>
            <w:r>
              <w:rPr>
                <w:sz w:val="16"/>
                <w:vertAlign w:val="subscript"/>
              </w:rPr>
              <w:t>95</w:t>
            </w:r>
            <w:r>
              <w:rPr>
                <w:sz w:val="16"/>
              </w:rPr>
              <w:t xml:space="preserve"> (°)</w:t>
            </w:r>
          </w:p>
        </w:tc>
        <w:tc>
          <w:tcPr>
            <w:tcW w:w="0" w:type="auto"/>
            <w:tcBorders>
              <w:top w:val="single" w:sz="8" w:space="0" w:color="000000"/>
              <w:bottom w:val="single" w:sz="4" w:space="0" w:color="000000"/>
            </w:tcBorders>
            <w:vAlign w:val="center"/>
          </w:tcPr>
          <w:p w14:paraId="53600CBD" w14:textId="77777777" w:rsidR="00BD3578" w:rsidRDefault="00E51F8B">
            <w:pPr>
              <w:pStyle w:val="Paragraph"/>
              <w:ind w:firstLine="0"/>
              <w:jc w:val="center"/>
            </w:pPr>
            <w:r>
              <w:rPr>
                <w:sz w:val="16"/>
              </w:rPr>
              <w:t>tilt</w:t>
            </w:r>
            <w:r>
              <w:rPr>
                <w:sz w:val="16"/>
                <w:vertAlign w:val="subscript"/>
              </w:rPr>
              <w:t>max</w:t>
            </w:r>
            <w:r>
              <w:rPr>
                <w:sz w:val="16"/>
              </w:rPr>
              <w:t xml:space="preserve"> (°)</w:t>
            </w:r>
          </w:p>
        </w:tc>
        <w:tc>
          <w:tcPr>
            <w:tcW w:w="0" w:type="auto"/>
            <w:tcBorders>
              <w:top w:val="single" w:sz="8" w:space="0" w:color="000000"/>
              <w:bottom w:val="single" w:sz="4" w:space="0" w:color="000000"/>
            </w:tcBorders>
            <w:vAlign w:val="center"/>
          </w:tcPr>
          <w:p w14:paraId="26D57F96" w14:textId="77777777" w:rsidR="00BD3578" w:rsidRDefault="00E51F8B">
            <w:pPr>
              <w:pStyle w:val="Paragraph"/>
              <w:ind w:firstLine="0"/>
              <w:jc w:val="center"/>
            </w:pPr>
            <w:r>
              <w:rPr>
                <w:sz w:val="16"/>
              </w:rPr>
              <w:t>effort</w:t>
            </w:r>
          </w:p>
        </w:tc>
        <w:tc>
          <w:tcPr>
            <w:tcW w:w="0" w:type="auto"/>
            <w:tcBorders>
              <w:top w:val="single" w:sz="8" w:space="0" w:color="000000"/>
              <w:bottom w:val="single" w:sz="4" w:space="0" w:color="000000"/>
            </w:tcBorders>
            <w:vAlign w:val="center"/>
          </w:tcPr>
          <w:p w14:paraId="678C578F" w14:textId="77777777" w:rsidR="00BD3578" w:rsidRDefault="00E51F8B">
            <w:pPr>
              <w:pStyle w:val="Paragraph"/>
              <w:ind w:firstLine="0"/>
              <w:jc w:val="center"/>
            </w:pPr>
            <w:r>
              <w:rPr>
                <w:i/>
                <w:sz w:val="16"/>
              </w:rPr>
              <w:t>d</w:t>
            </w:r>
            <w:r>
              <w:rPr>
                <w:sz w:val="16"/>
                <w:vertAlign w:val="subscript"/>
              </w:rPr>
              <w:t>obs</w:t>
            </w:r>
            <w:r>
              <w:rPr>
                <w:sz w:val="16"/>
              </w:rPr>
              <w:t xml:space="preserve"> (m)</w:t>
            </w:r>
          </w:p>
        </w:tc>
        <w:tc>
          <w:tcPr>
            <w:tcW w:w="0" w:type="auto"/>
            <w:tcBorders>
              <w:top w:val="single" w:sz="8" w:space="0" w:color="000000"/>
              <w:bottom w:val="single" w:sz="4" w:space="0" w:color="000000"/>
            </w:tcBorders>
            <w:vAlign w:val="center"/>
          </w:tcPr>
          <w:p w14:paraId="0E080063" w14:textId="77777777" w:rsidR="00BD3578" w:rsidRDefault="00E51F8B">
            <w:pPr>
              <w:pStyle w:val="Paragraph"/>
              <w:ind w:firstLine="0"/>
              <w:jc w:val="center"/>
            </w:pPr>
            <w:r>
              <w:rPr>
                <w:i/>
                <w:sz w:val="16"/>
              </w:rPr>
              <w:t>d</w:t>
            </w:r>
            <w:r>
              <w:rPr>
                <w:sz w:val="16"/>
                <w:vertAlign w:val="subscript"/>
              </w:rPr>
              <w:t>v2v</w:t>
            </w:r>
            <w:r>
              <w:rPr>
                <w:sz w:val="16"/>
              </w:rPr>
              <w:t xml:space="preserve"> (m)</w:t>
            </w:r>
          </w:p>
        </w:tc>
        <w:tc>
          <w:tcPr>
            <w:tcW w:w="0" w:type="auto"/>
            <w:tcBorders>
              <w:top w:val="single" w:sz="8" w:space="0" w:color="000000"/>
              <w:bottom w:val="single" w:sz="4" w:space="0" w:color="000000"/>
            </w:tcBorders>
            <w:vAlign w:val="center"/>
          </w:tcPr>
          <w:p w14:paraId="64039DF8" w14:textId="77777777" w:rsidR="00BD3578" w:rsidRDefault="00E51F8B">
            <w:pPr>
              <w:pStyle w:val="Paragraph"/>
              <w:ind w:firstLine="0"/>
              <w:jc w:val="center"/>
            </w:pPr>
            <w:r>
              <w:rPr>
                <w:sz w:val="16"/>
              </w:rPr>
              <w:t>tier (%)</w:t>
            </w:r>
          </w:p>
        </w:tc>
      </w:tr>
      <w:tr w:rsidR="00BD3578" w14:paraId="073A3872" w14:textId="77777777" w:rsidTr="00122361">
        <w:trPr>
          <w:cantSplit/>
          <w:jc w:val="center"/>
        </w:trPr>
        <w:tc>
          <w:tcPr>
            <w:tcW w:w="0" w:type="auto"/>
            <w:vMerge w:val="restart"/>
            <w:tcBorders>
              <w:top w:val="single" w:sz="4" w:space="0" w:color="000000"/>
            </w:tcBorders>
            <w:vAlign w:val="center"/>
          </w:tcPr>
          <w:p w14:paraId="40C039A3" w14:textId="77777777" w:rsidR="00BD3578" w:rsidRDefault="00E51F8B">
            <w:pPr>
              <w:pStyle w:val="Paragraph"/>
              <w:ind w:firstLine="0"/>
              <w:jc w:val="left"/>
            </w:pPr>
            <w:r>
              <w:rPr>
                <w:sz w:val="16"/>
              </w:rPr>
              <w:t>rect</w:t>
            </w:r>
          </w:p>
        </w:tc>
        <w:tc>
          <w:tcPr>
            <w:tcW w:w="0" w:type="auto"/>
            <w:tcBorders>
              <w:top w:val="single" w:sz="4" w:space="0" w:color="000000"/>
            </w:tcBorders>
            <w:vAlign w:val="center"/>
          </w:tcPr>
          <w:p w14:paraId="29700A71"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4A4D5DED" w14:textId="77777777" w:rsidR="00BD3578" w:rsidRDefault="00E51F8B">
            <w:pPr>
              <w:pStyle w:val="Paragraph"/>
              <w:ind w:firstLine="0"/>
              <w:jc w:val="center"/>
            </w:pPr>
            <w:r>
              <w:rPr>
                <w:sz w:val="16"/>
              </w:rPr>
              <w:t>done</w:t>
            </w:r>
          </w:p>
        </w:tc>
        <w:tc>
          <w:tcPr>
            <w:tcW w:w="0" w:type="auto"/>
            <w:tcBorders>
              <w:top w:val="single" w:sz="4" w:space="0" w:color="000000"/>
            </w:tcBorders>
            <w:vAlign w:val="center"/>
          </w:tcPr>
          <w:p w14:paraId="151934E0" w14:textId="77777777" w:rsidR="00BD3578" w:rsidRDefault="00E51F8B">
            <w:pPr>
              <w:pStyle w:val="Paragraph"/>
              <w:ind w:firstLine="0"/>
              <w:jc w:val="center"/>
            </w:pPr>
            <w:r>
              <w:rPr>
                <w:sz w:val="16"/>
              </w:rPr>
              <w:t>98.2</w:t>
            </w:r>
          </w:p>
        </w:tc>
        <w:tc>
          <w:tcPr>
            <w:tcW w:w="0" w:type="auto"/>
            <w:tcBorders>
              <w:top w:val="single" w:sz="4" w:space="0" w:color="000000"/>
            </w:tcBorders>
            <w:vAlign w:val="center"/>
          </w:tcPr>
          <w:p w14:paraId="030E3ECF" w14:textId="77777777" w:rsidR="00BD3578" w:rsidRDefault="00E51F8B">
            <w:pPr>
              <w:pStyle w:val="Paragraph"/>
              <w:ind w:firstLine="0"/>
              <w:jc w:val="center"/>
            </w:pPr>
            <w:r>
              <w:rPr>
                <w:sz w:val="16"/>
              </w:rPr>
              <w:t>257</w:t>
            </w:r>
          </w:p>
        </w:tc>
        <w:tc>
          <w:tcPr>
            <w:tcW w:w="0" w:type="auto"/>
            <w:tcBorders>
              <w:top w:val="single" w:sz="4" w:space="0" w:color="000000"/>
            </w:tcBorders>
            <w:vAlign w:val="center"/>
          </w:tcPr>
          <w:p w14:paraId="548C3EF9" w14:textId="77777777" w:rsidR="00BD3578" w:rsidRDefault="00E51F8B">
            <w:pPr>
              <w:pStyle w:val="Paragraph"/>
              <w:ind w:firstLine="0"/>
              <w:jc w:val="center"/>
            </w:pPr>
            <w:r>
              <w:rPr>
                <w:sz w:val="16"/>
              </w:rPr>
              <w:t>7.2</w:t>
            </w:r>
          </w:p>
        </w:tc>
        <w:tc>
          <w:tcPr>
            <w:tcW w:w="0" w:type="auto"/>
            <w:tcBorders>
              <w:top w:val="single" w:sz="4" w:space="0" w:color="000000"/>
            </w:tcBorders>
            <w:vAlign w:val="center"/>
          </w:tcPr>
          <w:p w14:paraId="2358C402" w14:textId="77777777" w:rsidR="00BD3578" w:rsidRDefault="00E51F8B">
            <w:pPr>
              <w:pStyle w:val="Paragraph"/>
              <w:ind w:firstLine="0"/>
              <w:jc w:val="center"/>
            </w:pPr>
            <w:r>
              <w:rPr>
                <w:sz w:val="16"/>
              </w:rPr>
              <w:t>1.20</w:t>
            </w:r>
          </w:p>
        </w:tc>
        <w:tc>
          <w:tcPr>
            <w:tcW w:w="0" w:type="auto"/>
            <w:tcBorders>
              <w:top w:val="single" w:sz="4" w:space="0" w:color="000000"/>
            </w:tcBorders>
            <w:vAlign w:val="center"/>
          </w:tcPr>
          <w:p w14:paraId="1F643A46" w14:textId="77777777" w:rsidR="00BD3578" w:rsidRDefault="00E51F8B">
            <w:pPr>
              <w:pStyle w:val="Paragraph"/>
              <w:ind w:firstLine="0"/>
              <w:jc w:val="center"/>
            </w:pPr>
            <w:r>
              <w:rPr>
                <w:sz w:val="16"/>
              </w:rPr>
              <w:t>2.5</w:t>
            </w:r>
          </w:p>
        </w:tc>
        <w:tc>
          <w:tcPr>
            <w:tcW w:w="0" w:type="auto"/>
            <w:tcBorders>
              <w:top w:val="single" w:sz="4" w:space="0" w:color="000000"/>
            </w:tcBorders>
            <w:vAlign w:val="center"/>
          </w:tcPr>
          <w:p w14:paraId="631C5616" w14:textId="77777777" w:rsidR="00BD3578" w:rsidRDefault="00E51F8B">
            <w:pPr>
              <w:pStyle w:val="Paragraph"/>
              <w:ind w:firstLine="0"/>
              <w:jc w:val="center"/>
            </w:pPr>
            <w:r>
              <w:rPr>
                <w:sz w:val="16"/>
              </w:rPr>
              <w:t>14.7</w:t>
            </w:r>
          </w:p>
        </w:tc>
        <w:tc>
          <w:tcPr>
            <w:tcW w:w="0" w:type="auto"/>
            <w:tcBorders>
              <w:top w:val="single" w:sz="4" w:space="0" w:color="000000"/>
            </w:tcBorders>
            <w:vAlign w:val="center"/>
          </w:tcPr>
          <w:p w14:paraId="511F6ED8" w14:textId="77777777" w:rsidR="00BD3578" w:rsidRDefault="00E51F8B">
            <w:pPr>
              <w:pStyle w:val="Paragraph"/>
              <w:ind w:firstLine="0"/>
              <w:jc w:val="center"/>
            </w:pPr>
            <w:r>
              <w:rPr>
                <w:sz w:val="16"/>
              </w:rPr>
              <w:t>21.1</w:t>
            </w:r>
          </w:p>
        </w:tc>
        <w:tc>
          <w:tcPr>
            <w:tcW w:w="0" w:type="auto"/>
            <w:tcBorders>
              <w:top w:val="single" w:sz="4" w:space="0" w:color="000000"/>
            </w:tcBorders>
            <w:vAlign w:val="center"/>
          </w:tcPr>
          <w:p w14:paraId="3DEC410A" w14:textId="77777777" w:rsidR="00BD3578" w:rsidRDefault="00E51F8B">
            <w:pPr>
              <w:pStyle w:val="Paragraph"/>
              <w:ind w:firstLine="0"/>
              <w:jc w:val="center"/>
            </w:pPr>
            <w:r>
              <w:rPr>
                <w:sz w:val="16"/>
              </w:rPr>
              <w:t>0.054</w:t>
            </w:r>
          </w:p>
        </w:tc>
        <w:tc>
          <w:tcPr>
            <w:tcW w:w="0" w:type="auto"/>
            <w:tcBorders>
              <w:top w:val="single" w:sz="4" w:space="0" w:color="000000"/>
            </w:tcBorders>
            <w:vAlign w:val="center"/>
          </w:tcPr>
          <w:p w14:paraId="2B87FE0B" w14:textId="77777777" w:rsidR="00BD3578" w:rsidRDefault="00E51F8B">
            <w:pPr>
              <w:pStyle w:val="Paragraph"/>
              <w:ind w:firstLine="0"/>
              <w:jc w:val="center"/>
            </w:pPr>
            <w:r>
              <w:rPr>
                <w:sz w:val="16"/>
              </w:rPr>
              <w:t>0.49</w:t>
            </w:r>
          </w:p>
        </w:tc>
        <w:tc>
          <w:tcPr>
            <w:tcW w:w="0" w:type="auto"/>
            <w:tcBorders>
              <w:top w:val="single" w:sz="4" w:space="0" w:color="000000"/>
            </w:tcBorders>
            <w:vAlign w:val="center"/>
          </w:tcPr>
          <w:p w14:paraId="1B29A492" w14:textId="77777777" w:rsidR="00BD3578" w:rsidRDefault="00E51F8B">
            <w:pPr>
              <w:pStyle w:val="Paragraph"/>
              <w:ind w:firstLine="0"/>
              <w:jc w:val="center"/>
            </w:pPr>
            <w:r>
              <w:rPr>
                <w:sz w:val="16"/>
              </w:rPr>
              <w:t>1.71</w:t>
            </w:r>
          </w:p>
        </w:tc>
        <w:tc>
          <w:tcPr>
            <w:tcW w:w="0" w:type="auto"/>
            <w:tcBorders>
              <w:top w:val="single" w:sz="4" w:space="0" w:color="000000"/>
            </w:tcBorders>
            <w:vAlign w:val="center"/>
          </w:tcPr>
          <w:p w14:paraId="279B2DD6" w14:textId="77777777" w:rsidR="00BD3578" w:rsidRDefault="00E51F8B">
            <w:pPr>
              <w:pStyle w:val="Paragraph"/>
              <w:ind w:firstLine="0"/>
              <w:jc w:val="center"/>
            </w:pPr>
            <w:r>
              <w:rPr>
                <w:sz w:val="16"/>
              </w:rPr>
              <w:t>2.9</w:t>
            </w:r>
          </w:p>
        </w:tc>
      </w:tr>
      <w:tr w:rsidR="00BD3578" w14:paraId="4F9D0F60" w14:textId="77777777" w:rsidTr="00122361">
        <w:trPr>
          <w:cantSplit/>
          <w:jc w:val="center"/>
        </w:trPr>
        <w:tc>
          <w:tcPr>
            <w:tcW w:w="0" w:type="auto"/>
            <w:vMerge/>
            <w:vAlign w:val="center"/>
          </w:tcPr>
          <w:p w14:paraId="5F942EC0" w14:textId="77777777" w:rsidR="00BD3578" w:rsidRDefault="00BD3578">
            <w:pPr>
              <w:pStyle w:val="Paragraph"/>
              <w:ind w:firstLine="0"/>
              <w:jc w:val="left"/>
            </w:pPr>
          </w:p>
        </w:tc>
        <w:tc>
          <w:tcPr>
            <w:tcW w:w="0" w:type="auto"/>
            <w:vAlign w:val="center"/>
          </w:tcPr>
          <w:p w14:paraId="52D26493" w14:textId="77777777" w:rsidR="00BD3578" w:rsidRDefault="00E51F8B">
            <w:pPr>
              <w:pStyle w:val="Paragraph"/>
              <w:ind w:firstLine="0"/>
              <w:jc w:val="left"/>
            </w:pPr>
            <w:r>
              <w:rPr>
                <w:sz w:val="16"/>
              </w:rPr>
              <w:t>PID-LQR</w:t>
            </w:r>
          </w:p>
        </w:tc>
        <w:tc>
          <w:tcPr>
            <w:tcW w:w="0" w:type="auto"/>
            <w:vAlign w:val="center"/>
          </w:tcPr>
          <w:p w14:paraId="6C6939A9" w14:textId="77777777" w:rsidR="00BD3578" w:rsidRDefault="00E51F8B">
            <w:pPr>
              <w:pStyle w:val="Paragraph"/>
              <w:ind w:firstLine="0"/>
              <w:jc w:val="center"/>
            </w:pPr>
            <w:r>
              <w:rPr>
                <w:sz w:val="16"/>
              </w:rPr>
              <w:t>abort@78.8 s</w:t>
            </w:r>
          </w:p>
        </w:tc>
        <w:tc>
          <w:tcPr>
            <w:tcW w:w="0" w:type="auto"/>
            <w:vAlign w:val="center"/>
          </w:tcPr>
          <w:p w14:paraId="1BD5F591" w14:textId="77777777" w:rsidR="00BD3578" w:rsidRDefault="00E51F8B">
            <w:pPr>
              <w:pStyle w:val="Paragraph"/>
              <w:ind w:firstLine="0"/>
              <w:jc w:val="center"/>
            </w:pPr>
            <w:r>
              <w:rPr>
                <w:sz w:val="16"/>
              </w:rPr>
              <w:t>n/a</w:t>
            </w:r>
          </w:p>
        </w:tc>
        <w:tc>
          <w:tcPr>
            <w:tcW w:w="0" w:type="auto"/>
            <w:vAlign w:val="center"/>
          </w:tcPr>
          <w:p w14:paraId="7A3A882D" w14:textId="77777777" w:rsidR="00BD3578" w:rsidRDefault="00E51F8B">
            <w:pPr>
              <w:pStyle w:val="Paragraph"/>
              <w:ind w:firstLine="0"/>
              <w:jc w:val="center"/>
            </w:pPr>
            <w:r>
              <w:rPr>
                <w:sz w:val="16"/>
              </w:rPr>
              <w:t>n/a</w:t>
            </w:r>
          </w:p>
        </w:tc>
        <w:tc>
          <w:tcPr>
            <w:tcW w:w="0" w:type="auto"/>
            <w:vAlign w:val="center"/>
          </w:tcPr>
          <w:p w14:paraId="328711A5" w14:textId="77777777" w:rsidR="00BD3578" w:rsidRDefault="00E51F8B">
            <w:pPr>
              <w:pStyle w:val="Paragraph"/>
              <w:ind w:firstLine="0"/>
              <w:jc w:val="center"/>
            </w:pPr>
            <w:r>
              <w:rPr>
                <w:sz w:val="16"/>
              </w:rPr>
              <w:t>11.7</w:t>
            </w:r>
          </w:p>
        </w:tc>
        <w:tc>
          <w:tcPr>
            <w:tcW w:w="0" w:type="auto"/>
            <w:vAlign w:val="center"/>
          </w:tcPr>
          <w:p w14:paraId="02BCC4FB" w14:textId="77777777" w:rsidR="00BD3578" w:rsidRDefault="00E51F8B">
            <w:pPr>
              <w:pStyle w:val="Paragraph"/>
              <w:ind w:firstLine="0"/>
              <w:jc w:val="center"/>
            </w:pPr>
            <w:r>
              <w:rPr>
                <w:sz w:val="16"/>
              </w:rPr>
              <w:t>1.12</w:t>
            </w:r>
          </w:p>
        </w:tc>
        <w:tc>
          <w:tcPr>
            <w:tcW w:w="0" w:type="auto"/>
            <w:vAlign w:val="center"/>
          </w:tcPr>
          <w:p w14:paraId="1EDD8317" w14:textId="77777777" w:rsidR="00BD3578" w:rsidRDefault="00E51F8B">
            <w:pPr>
              <w:pStyle w:val="Paragraph"/>
              <w:ind w:firstLine="0"/>
              <w:jc w:val="center"/>
            </w:pPr>
            <w:r>
              <w:rPr>
                <w:sz w:val="16"/>
              </w:rPr>
              <w:t>7.3</w:t>
            </w:r>
          </w:p>
        </w:tc>
        <w:tc>
          <w:tcPr>
            <w:tcW w:w="0" w:type="auto"/>
            <w:vAlign w:val="center"/>
          </w:tcPr>
          <w:p w14:paraId="32FABBC9" w14:textId="77777777" w:rsidR="00BD3578" w:rsidRDefault="00E51F8B">
            <w:pPr>
              <w:pStyle w:val="Paragraph"/>
              <w:ind w:firstLine="0"/>
              <w:jc w:val="center"/>
            </w:pPr>
            <w:r>
              <w:rPr>
                <w:sz w:val="16"/>
              </w:rPr>
              <w:t>14.7</w:t>
            </w:r>
          </w:p>
        </w:tc>
        <w:tc>
          <w:tcPr>
            <w:tcW w:w="0" w:type="auto"/>
            <w:vAlign w:val="center"/>
          </w:tcPr>
          <w:p w14:paraId="5802E1DD" w14:textId="77777777" w:rsidR="00BD3578" w:rsidRDefault="00E51F8B">
            <w:pPr>
              <w:pStyle w:val="Paragraph"/>
              <w:ind w:firstLine="0"/>
              <w:jc w:val="center"/>
            </w:pPr>
            <w:r>
              <w:rPr>
                <w:sz w:val="16"/>
              </w:rPr>
              <w:t>155.9</w:t>
            </w:r>
          </w:p>
        </w:tc>
        <w:tc>
          <w:tcPr>
            <w:tcW w:w="0" w:type="auto"/>
            <w:vAlign w:val="center"/>
          </w:tcPr>
          <w:p w14:paraId="019FBEF2" w14:textId="77777777" w:rsidR="00BD3578" w:rsidRDefault="00E51F8B">
            <w:pPr>
              <w:pStyle w:val="Paragraph"/>
              <w:ind w:firstLine="0"/>
              <w:jc w:val="center"/>
            </w:pPr>
            <w:r>
              <w:rPr>
                <w:sz w:val="16"/>
              </w:rPr>
              <w:t>0.024</w:t>
            </w:r>
          </w:p>
        </w:tc>
        <w:tc>
          <w:tcPr>
            <w:tcW w:w="0" w:type="auto"/>
            <w:vAlign w:val="center"/>
          </w:tcPr>
          <w:p w14:paraId="686CED5A" w14:textId="77777777" w:rsidR="00BD3578" w:rsidRDefault="00E51F8B">
            <w:pPr>
              <w:pStyle w:val="Paragraph"/>
              <w:ind w:firstLine="0"/>
              <w:jc w:val="center"/>
            </w:pPr>
            <w:r>
              <w:rPr>
                <w:sz w:val="16"/>
              </w:rPr>
              <w:t>0.06</w:t>
            </w:r>
          </w:p>
        </w:tc>
        <w:tc>
          <w:tcPr>
            <w:tcW w:w="0" w:type="auto"/>
            <w:vAlign w:val="center"/>
          </w:tcPr>
          <w:p w14:paraId="35DA92AE" w14:textId="77777777" w:rsidR="00BD3578" w:rsidRDefault="00E51F8B">
            <w:pPr>
              <w:pStyle w:val="Paragraph"/>
              <w:ind w:firstLine="0"/>
              <w:jc w:val="center"/>
            </w:pPr>
            <w:r>
              <w:rPr>
                <w:sz w:val="16"/>
              </w:rPr>
              <w:t>1.52</w:t>
            </w:r>
          </w:p>
        </w:tc>
        <w:tc>
          <w:tcPr>
            <w:tcW w:w="0" w:type="auto"/>
            <w:vAlign w:val="center"/>
          </w:tcPr>
          <w:p w14:paraId="1D39DB41" w14:textId="77777777" w:rsidR="00BD3578" w:rsidRDefault="00E51F8B">
            <w:pPr>
              <w:pStyle w:val="Paragraph"/>
              <w:ind w:firstLine="0"/>
              <w:jc w:val="center"/>
            </w:pPr>
            <w:r>
              <w:rPr>
                <w:sz w:val="16"/>
              </w:rPr>
              <w:t>n/a</w:t>
            </w:r>
          </w:p>
        </w:tc>
      </w:tr>
      <w:tr w:rsidR="00BD3578" w14:paraId="00E70F14" w14:textId="77777777" w:rsidTr="00122361">
        <w:trPr>
          <w:cantSplit/>
          <w:jc w:val="center"/>
        </w:trPr>
        <w:tc>
          <w:tcPr>
            <w:tcW w:w="0" w:type="auto"/>
            <w:vMerge w:val="restart"/>
            <w:vAlign w:val="center"/>
          </w:tcPr>
          <w:p w14:paraId="5763A9A5" w14:textId="77777777" w:rsidR="00BD3578" w:rsidRDefault="00E51F8B">
            <w:pPr>
              <w:pStyle w:val="Paragraph"/>
              <w:ind w:firstLine="0"/>
              <w:jc w:val="left"/>
            </w:pPr>
            <w:r>
              <w:rPr>
                <w:sz w:val="16"/>
              </w:rPr>
              <w:t>L-shape</w:t>
            </w:r>
          </w:p>
        </w:tc>
        <w:tc>
          <w:tcPr>
            <w:tcW w:w="0" w:type="auto"/>
            <w:vAlign w:val="center"/>
          </w:tcPr>
          <w:p w14:paraId="256FFBA1"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54151D6A" w14:textId="77777777" w:rsidR="00BD3578" w:rsidRDefault="00E51F8B">
            <w:pPr>
              <w:pStyle w:val="Paragraph"/>
              <w:ind w:firstLine="0"/>
              <w:jc w:val="center"/>
            </w:pPr>
            <w:r>
              <w:rPr>
                <w:sz w:val="16"/>
              </w:rPr>
              <w:t>done</w:t>
            </w:r>
          </w:p>
        </w:tc>
        <w:tc>
          <w:tcPr>
            <w:tcW w:w="0" w:type="auto"/>
            <w:vAlign w:val="center"/>
          </w:tcPr>
          <w:p w14:paraId="491641C0" w14:textId="77777777" w:rsidR="00BD3578" w:rsidRDefault="00E51F8B">
            <w:pPr>
              <w:pStyle w:val="Paragraph"/>
              <w:ind w:firstLine="0"/>
              <w:jc w:val="center"/>
            </w:pPr>
            <w:r>
              <w:rPr>
                <w:sz w:val="16"/>
              </w:rPr>
              <w:t>98.4</w:t>
            </w:r>
          </w:p>
        </w:tc>
        <w:tc>
          <w:tcPr>
            <w:tcW w:w="0" w:type="auto"/>
            <w:vAlign w:val="center"/>
          </w:tcPr>
          <w:p w14:paraId="75E53F35" w14:textId="77777777" w:rsidR="00BD3578" w:rsidRDefault="00E51F8B">
            <w:pPr>
              <w:pStyle w:val="Paragraph"/>
              <w:ind w:firstLine="0"/>
              <w:jc w:val="center"/>
            </w:pPr>
            <w:r>
              <w:rPr>
                <w:sz w:val="16"/>
              </w:rPr>
              <w:t>201</w:t>
            </w:r>
          </w:p>
        </w:tc>
        <w:tc>
          <w:tcPr>
            <w:tcW w:w="0" w:type="auto"/>
            <w:vAlign w:val="center"/>
          </w:tcPr>
          <w:p w14:paraId="76B6D9FF" w14:textId="77777777" w:rsidR="00BD3578" w:rsidRDefault="00E51F8B">
            <w:pPr>
              <w:pStyle w:val="Paragraph"/>
              <w:ind w:firstLine="0"/>
              <w:jc w:val="center"/>
            </w:pPr>
            <w:r>
              <w:rPr>
                <w:sz w:val="16"/>
              </w:rPr>
              <w:t>8.4</w:t>
            </w:r>
          </w:p>
        </w:tc>
        <w:tc>
          <w:tcPr>
            <w:tcW w:w="0" w:type="auto"/>
            <w:vAlign w:val="center"/>
          </w:tcPr>
          <w:p w14:paraId="5FD614AE" w14:textId="77777777" w:rsidR="00BD3578" w:rsidRDefault="00E51F8B">
            <w:pPr>
              <w:pStyle w:val="Paragraph"/>
              <w:ind w:firstLine="0"/>
              <w:jc w:val="center"/>
            </w:pPr>
            <w:r>
              <w:rPr>
                <w:sz w:val="16"/>
              </w:rPr>
              <w:t>1.19</w:t>
            </w:r>
          </w:p>
        </w:tc>
        <w:tc>
          <w:tcPr>
            <w:tcW w:w="0" w:type="auto"/>
            <w:vAlign w:val="center"/>
          </w:tcPr>
          <w:p w14:paraId="32E43998" w14:textId="77777777" w:rsidR="00BD3578" w:rsidRDefault="00E51F8B">
            <w:pPr>
              <w:pStyle w:val="Paragraph"/>
              <w:ind w:firstLine="0"/>
              <w:jc w:val="center"/>
            </w:pPr>
            <w:r>
              <w:rPr>
                <w:sz w:val="16"/>
              </w:rPr>
              <w:t>2.5</w:t>
            </w:r>
          </w:p>
        </w:tc>
        <w:tc>
          <w:tcPr>
            <w:tcW w:w="0" w:type="auto"/>
            <w:vAlign w:val="center"/>
          </w:tcPr>
          <w:p w14:paraId="788242A6" w14:textId="77777777" w:rsidR="00BD3578" w:rsidRDefault="00E51F8B">
            <w:pPr>
              <w:pStyle w:val="Paragraph"/>
              <w:ind w:firstLine="0"/>
              <w:jc w:val="center"/>
            </w:pPr>
            <w:r>
              <w:rPr>
                <w:sz w:val="16"/>
              </w:rPr>
              <w:t>14.5</w:t>
            </w:r>
          </w:p>
        </w:tc>
        <w:tc>
          <w:tcPr>
            <w:tcW w:w="0" w:type="auto"/>
            <w:vAlign w:val="center"/>
          </w:tcPr>
          <w:p w14:paraId="3843D09E" w14:textId="77777777" w:rsidR="00BD3578" w:rsidRDefault="00E51F8B">
            <w:pPr>
              <w:pStyle w:val="Paragraph"/>
              <w:ind w:firstLine="0"/>
              <w:jc w:val="center"/>
            </w:pPr>
            <w:r>
              <w:rPr>
                <w:sz w:val="16"/>
              </w:rPr>
              <w:t>20.8</w:t>
            </w:r>
          </w:p>
        </w:tc>
        <w:tc>
          <w:tcPr>
            <w:tcW w:w="0" w:type="auto"/>
            <w:vAlign w:val="center"/>
          </w:tcPr>
          <w:p w14:paraId="1CA7100C" w14:textId="77777777" w:rsidR="00BD3578" w:rsidRDefault="00E51F8B">
            <w:pPr>
              <w:pStyle w:val="Paragraph"/>
              <w:ind w:firstLine="0"/>
              <w:jc w:val="center"/>
            </w:pPr>
            <w:r>
              <w:rPr>
                <w:sz w:val="16"/>
              </w:rPr>
              <w:t>0.058</w:t>
            </w:r>
          </w:p>
        </w:tc>
        <w:tc>
          <w:tcPr>
            <w:tcW w:w="0" w:type="auto"/>
            <w:vAlign w:val="center"/>
          </w:tcPr>
          <w:p w14:paraId="501F5D3F" w14:textId="77777777" w:rsidR="00BD3578" w:rsidRDefault="00E51F8B">
            <w:pPr>
              <w:pStyle w:val="Paragraph"/>
              <w:ind w:firstLine="0"/>
              <w:jc w:val="center"/>
            </w:pPr>
            <w:r>
              <w:rPr>
                <w:sz w:val="16"/>
              </w:rPr>
              <w:t>0.57</w:t>
            </w:r>
          </w:p>
        </w:tc>
        <w:tc>
          <w:tcPr>
            <w:tcW w:w="0" w:type="auto"/>
            <w:vAlign w:val="center"/>
          </w:tcPr>
          <w:p w14:paraId="5E491F43" w14:textId="77777777" w:rsidR="00BD3578" w:rsidRDefault="00E51F8B">
            <w:pPr>
              <w:pStyle w:val="Paragraph"/>
              <w:ind w:firstLine="0"/>
              <w:jc w:val="center"/>
            </w:pPr>
            <w:r>
              <w:rPr>
                <w:sz w:val="16"/>
              </w:rPr>
              <w:t>1.32</w:t>
            </w:r>
          </w:p>
        </w:tc>
        <w:tc>
          <w:tcPr>
            <w:tcW w:w="0" w:type="auto"/>
            <w:vAlign w:val="center"/>
          </w:tcPr>
          <w:p w14:paraId="36414454" w14:textId="77777777" w:rsidR="00BD3578" w:rsidRDefault="00E51F8B">
            <w:pPr>
              <w:pStyle w:val="Paragraph"/>
              <w:ind w:firstLine="0"/>
              <w:jc w:val="center"/>
            </w:pPr>
            <w:r>
              <w:rPr>
                <w:sz w:val="16"/>
              </w:rPr>
              <w:t>3.8</w:t>
            </w:r>
          </w:p>
        </w:tc>
      </w:tr>
      <w:tr w:rsidR="00BD3578" w14:paraId="1314D020" w14:textId="77777777" w:rsidTr="00122361">
        <w:trPr>
          <w:cantSplit/>
          <w:jc w:val="center"/>
        </w:trPr>
        <w:tc>
          <w:tcPr>
            <w:tcW w:w="0" w:type="auto"/>
            <w:vMerge/>
            <w:vAlign w:val="center"/>
          </w:tcPr>
          <w:p w14:paraId="3B3A2D76" w14:textId="77777777" w:rsidR="00BD3578" w:rsidRDefault="00BD3578">
            <w:pPr>
              <w:pStyle w:val="Paragraph"/>
              <w:ind w:firstLine="0"/>
              <w:jc w:val="left"/>
            </w:pPr>
          </w:p>
        </w:tc>
        <w:tc>
          <w:tcPr>
            <w:tcW w:w="0" w:type="auto"/>
            <w:vAlign w:val="center"/>
          </w:tcPr>
          <w:p w14:paraId="41EECE60" w14:textId="77777777" w:rsidR="00BD3578" w:rsidRDefault="00E51F8B">
            <w:pPr>
              <w:pStyle w:val="Paragraph"/>
              <w:ind w:firstLine="0"/>
              <w:jc w:val="left"/>
            </w:pPr>
            <w:r>
              <w:rPr>
                <w:sz w:val="16"/>
              </w:rPr>
              <w:t>PID-LQR</w:t>
            </w:r>
          </w:p>
        </w:tc>
        <w:tc>
          <w:tcPr>
            <w:tcW w:w="0" w:type="auto"/>
            <w:vAlign w:val="center"/>
          </w:tcPr>
          <w:p w14:paraId="01701B43" w14:textId="77777777" w:rsidR="00BD3578" w:rsidRDefault="00E51F8B">
            <w:pPr>
              <w:pStyle w:val="Paragraph"/>
              <w:ind w:firstLine="0"/>
              <w:jc w:val="center"/>
            </w:pPr>
            <w:r>
              <w:rPr>
                <w:sz w:val="16"/>
              </w:rPr>
              <w:t>done</w:t>
            </w:r>
          </w:p>
        </w:tc>
        <w:tc>
          <w:tcPr>
            <w:tcW w:w="0" w:type="auto"/>
            <w:vAlign w:val="center"/>
          </w:tcPr>
          <w:p w14:paraId="44D27969" w14:textId="77777777" w:rsidR="00BD3578" w:rsidRDefault="00E51F8B">
            <w:pPr>
              <w:pStyle w:val="Paragraph"/>
              <w:ind w:firstLine="0"/>
              <w:jc w:val="center"/>
            </w:pPr>
            <w:r>
              <w:rPr>
                <w:sz w:val="16"/>
              </w:rPr>
              <w:t>98.5</w:t>
            </w:r>
          </w:p>
        </w:tc>
        <w:tc>
          <w:tcPr>
            <w:tcW w:w="0" w:type="auto"/>
            <w:vAlign w:val="center"/>
          </w:tcPr>
          <w:p w14:paraId="59888118" w14:textId="77777777" w:rsidR="00BD3578" w:rsidRDefault="00E51F8B">
            <w:pPr>
              <w:pStyle w:val="Paragraph"/>
              <w:ind w:firstLine="0"/>
              <w:jc w:val="center"/>
            </w:pPr>
            <w:r>
              <w:rPr>
                <w:sz w:val="16"/>
              </w:rPr>
              <w:t>233</w:t>
            </w:r>
          </w:p>
        </w:tc>
        <w:tc>
          <w:tcPr>
            <w:tcW w:w="0" w:type="auto"/>
            <w:vAlign w:val="center"/>
          </w:tcPr>
          <w:p w14:paraId="64CD53C0" w14:textId="77777777" w:rsidR="00BD3578" w:rsidRDefault="00E51F8B">
            <w:pPr>
              <w:pStyle w:val="Paragraph"/>
              <w:ind w:firstLine="0"/>
              <w:jc w:val="center"/>
            </w:pPr>
            <w:r>
              <w:rPr>
                <w:sz w:val="16"/>
              </w:rPr>
              <w:t>12.2</w:t>
            </w:r>
          </w:p>
        </w:tc>
        <w:tc>
          <w:tcPr>
            <w:tcW w:w="0" w:type="auto"/>
            <w:vAlign w:val="center"/>
          </w:tcPr>
          <w:p w14:paraId="3412EB61" w14:textId="77777777" w:rsidR="00BD3578" w:rsidRDefault="00E51F8B">
            <w:pPr>
              <w:pStyle w:val="Paragraph"/>
              <w:ind w:firstLine="0"/>
              <w:jc w:val="center"/>
            </w:pPr>
            <w:r>
              <w:rPr>
                <w:sz w:val="16"/>
              </w:rPr>
              <w:t>1.11</w:t>
            </w:r>
          </w:p>
        </w:tc>
        <w:tc>
          <w:tcPr>
            <w:tcW w:w="0" w:type="auto"/>
            <w:vAlign w:val="center"/>
          </w:tcPr>
          <w:p w14:paraId="54DCC107" w14:textId="77777777" w:rsidR="00BD3578" w:rsidRDefault="00E51F8B">
            <w:pPr>
              <w:pStyle w:val="Paragraph"/>
              <w:ind w:firstLine="0"/>
              <w:jc w:val="center"/>
            </w:pPr>
            <w:r>
              <w:rPr>
                <w:sz w:val="16"/>
              </w:rPr>
              <w:t>2.6</w:t>
            </w:r>
          </w:p>
        </w:tc>
        <w:tc>
          <w:tcPr>
            <w:tcW w:w="0" w:type="auto"/>
            <w:vAlign w:val="center"/>
          </w:tcPr>
          <w:p w14:paraId="33E60CC0" w14:textId="77777777" w:rsidR="00BD3578" w:rsidRDefault="00E51F8B">
            <w:pPr>
              <w:pStyle w:val="Paragraph"/>
              <w:ind w:firstLine="0"/>
              <w:jc w:val="center"/>
            </w:pPr>
            <w:r>
              <w:rPr>
                <w:sz w:val="16"/>
              </w:rPr>
              <w:t>14.5</w:t>
            </w:r>
          </w:p>
        </w:tc>
        <w:tc>
          <w:tcPr>
            <w:tcW w:w="0" w:type="auto"/>
            <w:vAlign w:val="center"/>
          </w:tcPr>
          <w:p w14:paraId="1B83E81C" w14:textId="77777777" w:rsidR="00BD3578" w:rsidRDefault="00E51F8B">
            <w:pPr>
              <w:pStyle w:val="Paragraph"/>
              <w:ind w:firstLine="0"/>
              <w:jc w:val="center"/>
            </w:pPr>
            <w:r>
              <w:rPr>
                <w:sz w:val="16"/>
              </w:rPr>
              <w:t>26.3</w:t>
            </w:r>
          </w:p>
        </w:tc>
        <w:tc>
          <w:tcPr>
            <w:tcW w:w="0" w:type="auto"/>
            <w:vAlign w:val="center"/>
          </w:tcPr>
          <w:p w14:paraId="2E6C4327" w14:textId="77777777" w:rsidR="00BD3578" w:rsidRDefault="00E51F8B">
            <w:pPr>
              <w:pStyle w:val="Paragraph"/>
              <w:ind w:firstLine="0"/>
              <w:jc w:val="center"/>
            </w:pPr>
            <w:r>
              <w:rPr>
                <w:sz w:val="16"/>
              </w:rPr>
              <w:t>0.010</w:t>
            </w:r>
          </w:p>
        </w:tc>
        <w:tc>
          <w:tcPr>
            <w:tcW w:w="0" w:type="auto"/>
            <w:vAlign w:val="center"/>
          </w:tcPr>
          <w:p w14:paraId="0A5905DD" w14:textId="77777777" w:rsidR="00BD3578" w:rsidRDefault="00E51F8B">
            <w:pPr>
              <w:pStyle w:val="Paragraph"/>
              <w:ind w:firstLine="0"/>
              <w:jc w:val="center"/>
            </w:pPr>
            <w:r>
              <w:rPr>
                <w:sz w:val="16"/>
              </w:rPr>
              <w:t>0.29</w:t>
            </w:r>
          </w:p>
        </w:tc>
        <w:tc>
          <w:tcPr>
            <w:tcW w:w="0" w:type="auto"/>
            <w:vAlign w:val="center"/>
          </w:tcPr>
          <w:p w14:paraId="1442A8D5" w14:textId="77777777" w:rsidR="00BD3578" w:rsidRDefault="00E51F8B">
            <w:pPr>
              <w:pStyle w:val="Paragraph"/>
              <w:ind w:firstLine="0"/>
              <w:jc w:val="center"/>
            </w:pPr>
            <w:r>
              <w:rPr>
                <w:sz w:val="16"/>
              </w:rPr>
              <w:t>0.79</w:t>
            </w:r>
          </w:p>
        </w:tc>
        <w:tc>
          <w:tcPr>
            <w:tcW w:w="0" w:type="auto"/>
            <w:vAlign w:val="center"/>
          </w:tcPr>
          <w:p w14:paraId="5C53BA09" w14:textId="77777777" w:rsidR="00BD3578" w:rsidRDefault="00E51F8B">
            <w:pPr>
              <w:pStyle w:val="Paragraph"/>
              <w:ind w:firstLine="0"/>
              <w:jc w:val="center"/>
            </w:pPr>
            <w:r>
              <w:rPr>
                <w:sz w:val="16"/>
              </w:rPr>
              <w:t>4.2</w:t>
            </w:r>
          </w:p>
        </w:tc>
      </w:tr>
      <w:tr w:rsidR="00BD3578" w14:paraId="5C3D56E7" w14:textId="77777777" w:rsidTr="00122361">
        <w:trPr>
          <w:cantSplit/>
          <w:jc w:val="center"/>
        </w:trPr>
        <w:tc>
          <w:tcPr>
            <w:tcW w:w="0" w:type="auto"/>
            <w:vMerge w:val="restart"/>
            <w:vAlign w:val="center"/>
          </w:tcPr>
          <w:p w14:paraId="208121D6" w14:textId="77777777" w:rsidR="00BD3578" w:rsidRDefault="00E51F8B">
            <w:pPr>
              <w:pStyle w:val="Paragraph"/>
              <w:ind w:firstLine="0"/>
              <w:jc w:val="left"/>
            </w:pPr>
            <w:r>
              <w:rPr>
                <w:sz w:val="16"/>
              </w:rPr>
              <w:t>U-shape</w:t>
            </w:r>
          </w:p>
        </w:tc>
        <w:tc>
          <w:tcPr>
            <w:tcW w:w="0" w:type="auto"/>
            <w:vAlign w:val="center"/>
          </w:tcPr>
          <w:p w14:paraId="14FBC9CA"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1A7902F5" w14:textId="77777777" w:rsidR="00BD3578" w:rsidRDefault="00E51F8B">
            <w:pPr>
              <w:pStyle w:val="Paragraph"/>
              <w:ind w:firstLine="0"/>
              <w:jc w:val="center"/>
            </w:pPr>
            <w:r>
              <w:rPr>
                <w:sz w:val="16"/>
              </w:rPr>
              <w:t>done</w:t>
            </w:r>
          </w:p>
        </w:tc>
        <w:tc>
          <w:tcPr>
            <w:tcW w:w="0" w:type="auto"/>
            <w:vAlign w:val="center"/>
          </w:tcPr>
          <w:p w14:paraId="2F7329CD" w14:textId="77777777" w:rsidR="00BD3578" w:rsidRDefault="00E51F8B">
            <w:pPr>
              <w:pStyle w:val="Paragraph"/>
              <w:ind w:firstLine="0"/>
              <w:jc w:val="center"/>
            </w:pPr>
            <w:r>
              <w:rPr>
                <w:sz w:val="16"/>
              </w:rPr>
              <w:t>98.5</w:t>
            </w:r>
          </w:p>
        </w:tc>
        <w:tc>
          <w:tcPr>
            <w:tcW w:w="0" w:type="auto"/>
            <w:vAlign w:val="center"/>
          </w:tcPr>
          <w:p w14:paraId="70176B2C" w14:textId="77777777" w:rsidR="00BD3578" w:rsidRDefault="00E51F8B">
            <w:pPr>
              <w:pStyle w:val="Paragraph"/>
              <w:ind w:firstLine="0"/>
              <w:jc w:val="center"/>
            </w:pPr>
            <w:r>
              <w:rPr>
                <w:sz w:val="16"/>
              </w:rPr>
              <w:t>202</w:t>
            </w:r>
          </w:p>
        </w:tc>
        <w:tc>
          <w:tcPr>
            <w:tcW w:w="0" w:type="auto"/>
            <w:vAlign w:val="center"/>
          </w:tcPr>
          <w:p w14:paraId="4D775EAF" w14:textId="77777777" w:rsidR="00BD3578" w:rsidRDefault="00E51F8B">
            <w:pPr>
              <w:pStyle w:val="Paragraph"/>
              <w:ind w:firstLine="0"/>
              <w:jc w:val="center"/>
            </w:pPr>
            <w:r>
              <w:rPr>
                <w:sz w:val="16"/>
              </w:rPr>
              <w:t>8.3</w:t>
            </w:r>
          </w:p>
        </w:tc>
        <w:tc>
          <w:tcPr>
            <w:tcW w:w="0" w:type="auto"/>
            <w:vAlign w:val="center"/>
          </w:tcPr>
          <w:p w14:paraId="77784865" w14:textId="77777777" w:rsidR="00BD3578" w:rsidRDefault="00E51F8B">
            <w:pPr>
              <w:pStyle w:val="Paragraph"/>
              <w:ind w:firstLine="0"/>
              <w:jc w:val="center"/>
            </w:pPr>
            <w:r>
              <w:rPr>
                <w:sz w:val="16"/>
              </w:rPr>
              <w:t>1.21</w:t>
            </w:r>
          </w:p>
        </w:tc>
        <w:tc>
          <w:tcPr>
            <w:tcW w:w="0" w:type="auto"/>
            <w:vAlign w:val="center"/>
          </w:tcPr>
          <w:p w14:paraId="5C7E4F50" w14:textId="77777777" w:rsidR="00BD3578" w:rsidRDefault="00E51F8B">
            <w:pPr>
              <w:pStyle w:val="Paragraph"/>
              <w:ind w:firstLine="0"/>
              <w:jc w:val="center"/>
            </w:pPr>
            <w:r>
              <w:rPr>
                <w:sz w:val="16"/>
              </w:rPr>
              <w:t>2.6</w:t>
            </w:r>
          </w:p>
        </w:tc>
        <w:tc>
          <w:tcPr>
            <w:tcW w:w="0" w:type="auto"/>
            <w:vAlign w:val="center"/>
          </w:tcPr>
          <w:p w14:paraId="74B59D61" w14:textId="77777777" w:rsidR="00BD3578" w:rsidRDefault="00E51F8B">
            <w:pPr>
              <w:pStyle w:val="Paragraph"/>
              <w:ind w:firstLine="0"/>
              <w:jc w:val="center"/>
            </w:pPr>
            <w:r>
              <w:rPr>
                <w:sz w:val="16"/>
              </w:rPr>
              <w:t>14.8</w:t>
            </w:r>
          </w:p>
        </w:tc>
        <w:tc>
          <w:tcPr>
            <w:tcW w:w="0" w:type="auto"/>
            <w:vAlign w:val="center"/>
          </w:tcPr>
          <w:p w14:paraId="766392F6" w14:textId="77777777" w:rsidR="00BD3578" w:rsidRDefault="00E51F8B">
            <w:pPr>
              <w:pStyle w:val="Paragraph"/>
              <w:ind w:firstLine="0"/>
              <w:jc w:val="center"/>
            </w:pPr>
            <w:r>
              <w:rPr>
                <w:sz w:val="16"/>
              </w:rPr>
              <w:t>20.7</w:t>
            </w:r>
          </w:p>
        </w:tc>
        <w:tc>
          <w:tcPr>
            <w:tcW w:w="0" w:type="auto"/>
            <w:vAlign w:val="center"/>
          </w:tcPr>
          <w:p w14:paraId="6509E9F7" w14:textId="77777777" w:rsidR="00BD3578" w:rsidRDefault="00E51F8B">
            <w:pPr>
              <w:pStyle w:val="Paragraph"/>
              <w:ind w:firstLine="0"/>
              <w:jc w:val="center"/>
            </w:pPr>
            <w:r>
              <w:rPr>
                <w:sz w:val="16"/>
              </w:rPr>
              <w:t>0.044</w:t>
            </w:r>
          </w:p>
        </w:tc>
        <w:tc>
          <w:tcPr>
            <w:tcW w:w="0" w:type="auto"/>
            <w:vAlign w:val="center"/>
          </w:tcPr>
          <w:p w14:paraId="486199A6" w14:textId="77777777" w:rsidR="00BD3578" w:rsidRDefault="00E51F8B">
            <w:pPr>
              <w:pStyle w:val="Paragraph"/>
              <w:ind w:firstLine="0"/>
              <w:jc w:val="center"/>
            </w:pPr>
            <w:r>
              <w:rPr>
                <w:sz w:val="16"/>
              </w:rPr>
              <w:t>0.63</w:t>
            </w:r>
          </w:p>
        </w:tc>
        <w:tc>
          <w:tcPr>
            <w:tcW w:w="0" w:type="auto"/>
            <w:vAlign w:val="center"/>
          </w:tcPr>
          <w:p w14:paraId="635044E0" w14:textId="77777777" w:rsidR="00BD3578" w:rsidRDefault="00E51F8B">
            <w:pPr>
              <w:pStyle w:val="Paragraph"/>
              <w:ind w:firstLine="0"/>
              <w:jc w:val="center"/>
            </w:pPr>
            <w:r>
              <w:rPr>
                <w:sz w:val="16"/>
              </w:rPr>
              <w:t>1.77</w:t>
            </w:r>
          </w:p>
        </w:tc>
        <w:tc>
          <w:tcPr>
            <w:tcW w:w="0" w:type="auto"/>
            <w:vAlign w:val="center"/>
          </w:tcPr>
          <w:p w14:paraId="196F41D5" w14:textId="77777777" w:rsidR="00BD3578" w:rsidRDefault="00E51F8B">
            <w:pPr>
              <w:pStyle w:val="Paragraph"/>
              <w:ind w:firstLine="0"/>
              <w:jc w:val="center"/>
            </w:pPr>
            <w:r>
              <w:rPr>
                <w:sz w:val="16"/>
              </w:rPr>
              <w:t>4.1</w:t>
            </w:r>
          </w:p>
        </w:tc>
      </w:tr>
      <w:tr w:rsidR="00BD3578" w14:paraId="219F9815" w14:textId="77777777" w:rsidTr="00122361">
        <w:trPr>
          <w:cantSplit/>
          <w:jc w:val="center"/>
        </w:trPr>
        <w:tc>
          <w:tcPr>
            <w:tcW w:w="0" w:type="auto"/>
            <w:vMerge/>
            <w:vAlign w:val="center"/>
          </w:tcPr>
          <w:p w14:paraId="383BC38B" w14:textId="77777777" w:rsidR="00BD3578" w:rsidRDefault="00BD3578">
            <w:pPr>
              <w:pStyle w:val="Paragraph"/>
              <w:ind w:firstLine="0"/>
              <w:jc w:val="left"/>
            </w:pPr>
          </w:p>
        </w:tc>
        <w:tc>
          <w:tcPr>
            <w:tcW w:w="0" w:type="auto"/>
            <w:vAlign w:val="center"/>
          </w:tcPr>
          <w:p w14:paraId="67C98D5A" w14:textId="77777777" w:rsidR="00BD3578" w:rsidRDefault="00E51F8B">
            <w:pPr>
              <w:pStyle w:val="Paragraph"/>
              <w:ind w:firstLine="0"/>
              <w:jc w:val="left"/>
            </w:pPr>
            <w:r>
              <w:rPr>
                <w:sz w:val="16"/>
              </w:rPr>
              <w:t>PID-LQR</w:t>
            </w:r>
          </w:p>
        </w:tc>
        <w:tc>
          <w:tcPr>
            <w:tcW w:w="0" w:type="auto"/>
            <w:vAlign w:val="center"/>
          </w:tcPr>
          <w:p w14:paraId="3A409814" w14:textId="77777777" w:rsidR="00BD3578" w:rsidRDefault="00E51F8B">
            <w:pPr>
              <w:pStyle w:val="Paragraph"/>
              <w:ind w:firstLine="0"/>
              <w:jc w:val="center"/>
            </w:pPr>
            <w:r>
              <w:rPr>
                <w:sz w:val="16"/>
              </w:rPr>
              <w:t>done</w:t>
            </w:r>
          </w:p>
        </w:tc>
        <w:tc>
          <w:tcPr>
            <w:tcW w:w="0" w:type="auto"/>
            <w:vAlign w:val="center"/>
          </w:tcPr>
          <w:p w14:paraId="5B16FDB2" w14:textId="77777777" w:rsidR="00BD3578" w:rsidRDefault="00E51F8B">
            <w:pPr>
              <w:pStyle w:val="Paragraph"/>
              <w:ind w:firstLine="0"/>
              <w:jc w:val="center"/>
            </w:pPr>
            <w:r>
              <w:rPr>
                <w:sz w:val="16"/>
              </w:rPr>
              <w:t>96.9</w:t>
            </w:r>
          </w:p>
        </w:tc>
        <w:tc>
          <w:tcPr>
            <w:tcW w:w="0" w:type="auto"/>
            <w:vAlign w:val="center"/>
          </w:tcPr>
          <w:p w14:paraId="1C0F8BFA" w14:textId="77777777" w:rsidR="00BD3578" w:rsidRDefault="00E51F8B">
            <w:pPr>
              <w:pStyle w:val="Paragraph"/>
              <w:ind w:firstLine="0"/>
              <w:jc w:val="center"/>
            </w:pPr>
            <w:r>
              <w:rPr>
                <w:sz w:val="16"/>
              </w:rPr>
              <w:t>237</w:t>
            </w:r>
          </w:p>
        </w:tc>
        <w:tc>
          <w:tcPr>
            <w:tcW w:w="0" w:type="auto"/>
            <w:vAlign w:val="center"/>
          </w:tcPr>
          <w:p w14:paraId="1B79C865" w14:textId="77777777" w:rsidR="00BD3578" w:rsidRDefault="00E51F8B">
            <w:pPr>
              <w:pStyle w:val="Paragraph"/>
              <w:ind w:firstLine="0"/>
              <w:jc w:val="center"/>
            </w:pPr>
            <w:r>
              <w:rPr>
                <w:sz w:val="16"/>
              </w:rPr>
              <w:t>11.4</w:t>
            </w:r>
          </w:p>
        </w:tc>
        <w:tc>
          <w:tcPr>
            <w:tcW w:w="0" w:type="auto"/>
            <w:vAlign w:val="center"/>
          </w:tcPr>
          <w:p w14:paraId="2A09849D" w14:textId="77777777" w:rsidR="00BD3578" w:rsidRDefault="00E51F8B">
            <w:pPr>
              <w:pStyle w:val="Paragraph"/>
              <w:ind w:firstLine="0"/>
              <w:jc w:val="center"/>
            </w:pPr>
            <w:r>
              <w:rPr>
                <w:sz w:val="16"/>
              </w:rPr>
              <w:t>1.07</w:t>
            </w:r>
          </w:p>
        </w:tc>
        <w:tc>
          <w:tcPr>
            <w:tcW w:w="0" w:type="auto"/>
            <w:vAlign w:val="center"/>
          </w:tcPr>
          <w:p w14:paraId="4A313E2C" w14:textId="77777777" w:rsidR="00BD3578" w:rsidRDefault="00E51F8B">
            <w:pPr>
              <w:pStyle w:val="Paragraph"/>
              <w:ind w:firstLine="0"/>
              <w:jc w:val="center"/>
            </w:pPr>
            <w:r>
              <w:rPr>
                <w:sz w:val="16"/>
              </w:rPr>
              <w:t>2.5</w:t>
            </w:r>
          </w:p>
        </w:tc>
        <w:tc>
          <w:tcPr>
            <w:tcW w:w="0" w:type="auto"/>
            <w:vAlign w:val="center"/>
          </w:tcPr>
          <w:p w14:paraId="5E2AEE3B" w14:textId="77777777" w:rsidR="00BD3578" w:rsidRDefault="00E51F8B">
            <w:pPr>
              <w:pStyle w:val="Paragraph"/>
              <w:ind w:firstLine="0"/>
              <w:jc w:val="center"/>
            </w:pPr>
            <w:r>
              <w:rPr>
                <w:sz w:val="16"/>
              </w:rPr>
              <w:t>14.2</w:t>
            </w:r>
          </w:p>
        </w:tc>
        <w:tc>
          <w:tcPr>
            <w:tcW w:w="0" w:type="auto"/>
            <w:vAlign w:val="center"/>
          </w:tcPr>
          <w:p w14:paraId="30023BE1" w14:textId="77777777" w:rsidR="00BD3578" w:rsidRDefault="00E51F8B">
            <w:pPr>
              <w:pStyle w:val="Paragraph"/>
              <w:ind w:firstLine="0"/>
              <w:jc w:val="center"/>
            </w:pPr>
            <w:r>
              <w:rPr>
                <w:sz w:val="16"/>
              </w:rPr>
              <w:t>16.6</w:t>
            </w:r>
          </w:p>
        </w:tc>
        <w:tc>
          <w:tcPr>
            <w:tcW w:w="0" w:type="auto"/>
            <w:vAlign w:val="center"/>
          </w:tcPr>
          <w:p w14:paraId="60BFF689" w14:textId="77777777" w:rsidR="00BD3578" w:rsidRDefault="00E51F8B">
            <w:pPr>
              <w:pStyle w:val="Paragraph"/>
              <w:ind w:firstLine="0"/>
              <w:jc w:val="center"/>
            </w:pPr>
            <w:r>
              <w:rPr>
                <w:sz w:val="16"/>
              </w:rPr>
              <w:t>0.011</w:t>
            </w:r>
          </w:p>
        </w:tc>
        <w:tc>
          <w:tcPr>
            <w:tcW w:w="0" w:type="auto"/>
            <w:vAlign w:val="center"/>
          </w:tcPr>
          <w:p w14:paraId="3F61D0C4" w14:textId="77777777" w:rsidR="00BD3578" w:rsidRDefault="00E51F8B">
            <w:pPr>
              <w:pStyle w:val="Paragraph"/>
              <w:ind w:firstLine="0"/>
              <w:jc w:val="center"/>
            </w:pPr>
            <w:r>
              <w:rPr>
                <w:sz w:val="16"/>
              </w:rPr>
              <w:t>0.42</w:t>
            </w:r>
          </w:p>
        </w:tc>
        <w:tc>
          <w:tcPr>
            <w:tcW w:w="0" w:type="auto"/>
            <w:vAlign w:val="center"/>
          </w:tcPr>
          <w:p w14:paraId="2692D7BB" w14:textId="77777777" w:rsidR="00BD3578" w:rsidRDefault="00E51F8B">
            <w:pPr>
              <w:pStyle w:val="Paragraph"/>
              <w:ind w:firstLine="0"/>
              <w:jc w:val="center"/>
            </w:pPr>
            <w:r>
              <w:rPr>
                <w:sz w:val="16"/>
              </w:rPr>
              <w:t>1.73</w:t>
            </w:r>
          </w:p>
        </w:tc>
        <w:tc>
          <w:tcPr>
            <w:tcW w:w="0" w:type="auto"/>
            <w:vAlign w:val="center"/>
          </w:tcPr>
          <w:p w14:paraId="6A6AE351" w14:textId="77777777" w:rsidR="00BD3578" w:rsidRDefault="00E51F8B">
            <w:pPr>
              <w:pStyle w:val="Paragraph"/>
              <w:ind w:firstLine="0"/>
              <w:jc w:val="center"/>
            </w:pPr>
            <w:r>
              <w:rPr>
                <w:sz w:val="16"/>
              </w:rPr>
              <w:t>4.1</w:t>
            </w:r>
          </w:p>
        </w:tc>
      </w:tr>
      <w:tr w:rsidR="00BD3578" w14:paraId="58EC59C0" w14:textId="77777777" w:rsidTr="00122361">
        <w:trPr>
          <w:cantSplit/>
          <w:jc w:val="center"/>
        </w:trPr>
        <w:tc>
          <w:tcPr>
            <w:tcW w:w="0" w:type="auto"/>
            <w:vMerge w:val="restart"/>
            <w:vAlign w:val="center"/>
          </w:tcPr>
          <w:p w14:paraId="029A2890" w14:textId="77777777" w:rsidR="00BD3578" w:rsidRDefault="00E51F8B">
            <w:pPr>
              <w:pStyle w:val="Paragraph"/>
              <w:ind w:firstLine="0"/>
              <w:jc w:val="left"/>
            </w:pPr>
            <w:r>
              <w:rPr>
                <w:sz w:val="16"/>
              </w:rPr>
              <w:t>plus</w:t>
            </w:r>
          </w:p>
        </w:tc>
        <w:tc>
          <w:tcPr>
            <w:tcW w:w="0" w:type="auto"/>
            <w:vAlign w:val="center"/>
          </w:tcPr>
          <w:p w14:paraId="6F12C200" w14:textId="77777777" w:rsidR="00BD3578" w:rsidRDefault="00E51F8B">
            <w:pPr>
              <w:pStyle w:val="Paragraph"/>
              <w:ind w:firstLine="0"/>
              <w:jc w:val="left"/>
            </w:pPr>
            <w:r>
              <w:rPr>
                <w:sz w:val="16"/>
              </w:rPr>
              <w:t>PID-</w:t>
            </w:r>
            <w:r>
              <w:rPr>
                <w:i/>
                <w:sz w:val="16"/>
              </w:rPr>
              <w:t>H</w:t>
            </w:r>
            <w:r>
              <w:rPr>
                <w:sz w:val="16"/>
                <w:vertAlign w:val="subscript"/>
              </w:rPr>
              <w:t>∞</w:t>
            </w:r>
          </w:p>
        </w:tc>
        <w:tc>
          <w:tcPr>
            <w:tcW w:w="0" w:type="auto"/>
            <w:vAlign w:val="center"/>
          </w:tcPr>
          <w:p w14:paraId="3DA961DA" w14:textId="77777777" w:rsidR="00BD3578" w:rsidRDefault="00E51F8B">
            <w:pPr>
              <w:pStyle w:val="Paragraph"/>
              <w:ind w:firstLine="0"/>
              <w:jc w:val="center"/>
            </w:pPr>
            <w:r>
              <w:rPr>
                <w:sz w:val="16"/>
              </w:rPr>
              <w:t>done</w:t>
            </w:r>
          </w:p>
        </w:tc>
        <w:tc>
          <w:tcPr>
            <w:tcW w:w="0" w:type="auto"/>
            <w:vAlign w:val="center"/>
          </w:tcPr>
          <w:p w14:paraId="261BCFAC" w14:textId="77777777" w:rsidR="00BD3578" w:rsidRDefault="00E51F8B">
            <w:pPr>
              <w:pStyle w:val="Paragraph"/>
              <w:ind w:firstLine="0"/>
              <w:jc w:val="center"/>
            </w:pPr>
            <w:r>
              <w:rPr>
                <w:sz w:val="16"/>
              </w:rPr>
              <w:t>98.4</w:t>
            </w:r>
          </w:p>
        </w:tc>
        <w:tc>
          <w:tcPr>
            <w:tcW w:w="0" w:type="auto"/>
            <w:vAlign w:val="center"/>
          </w:tcPr>
          <w:p w14:paraId="13FACD68" w14:textId="77777777" w:rsidR="00BD3578" w:rsidRDefault="00E51F8B">
            <w:pPr>
              <w:pStyle w:val="Paragraph"/>
              <w:ind w:firstLine="0"/>
              <w:jc w:val="center"/>
            </w:pPr>
            <w:r>
              <w:rPr>
                <w:sz w:val="16"/>
              </w:rPr>
              <w:t>195</w:t>
            </w:r>
          </w:p>
        </w:tc>
        <w:tc>
          <w:tcPr>
            <w:tcW w:w="0" w:type="auto"/>
            <w:vAlign w:val="center"/>
          </w:tcPr>
          <w:p w14:paraId="17A6D30B" w14:textId="77777777" w:rsidR="00BD3578" w:rsidRDefault="00E51F8B">
            <w:pPr>
              <w:pStyle w:val="Paragraph"/>
              <w:ind w:firstLine="0"/>
              <w:jc w:val="center"/>
            </w:pPr>
            <w:r>
              <w:rPr>
                <w:sz w:val="16"/>
              </w:rPr>
              <w:t>9.7</w:t>
            </w:r>
          </w:p>
        </w:tc>
        <w:tc>
          <w:tcPr>
            <w:tcW w:w="0" w:type="auto"/>
            <w:vAlign w:val="center"/>
          </w:tcPr>
          <w:p w14:paraId="75FB12AD" w14:textId="77777777" w:rsidR="00BD3578" w:rsidRDefault="00E51F8B">
            <w:pPr>
              <w:pStyle w:val="Paragraph"/>
              <w:ind w:firstLine="0"/>
              <w:jc w:val="center"/>
            </w:pPr>
            <w:r>
              <w:rPr>
                <w:sz w:val="16"/>
              </w:rPr>
              <w:t>1.15</w:t>
            </w:r>
          </w:p>
        </w:tc>
        <w:tc>
          <w:tcPr>
            <w:tcW w:w="0" w:type="auto"/>
            <w:vAlign w:val="center"/>
          </w:tcPr>
          <w:p w14:paraId="3C087434" w14:textId="77777777" w:rsidR="00BD3578" w:rsidRDefault="00E51F8B">
            <w:pPr>
              <w:pStyle w:val="Paragraph"/>
              <w:ind w:firstLine="0"/>
              <w:jc w:val="center"/>
            </w:pPr>
            <w:r>
              <w:rPr>
                <w:sz w:val="16"/>
              </w:rPr>
              <w:t>5.4</w:t>
            </w:r>
          </w:p>
        </w:tc>
        <w:tc>
          <w:tcPr>
            <w:tcW w:w="0" w:type="auto"/>
            <w:vAlign w:val="center"/>
          </w:tcPr>
          <w:p w14:paraId="2B5EC463" w14:textId="77777777" w:rsidR="00BD3578" w:rsidRDefault="00E51F8B">
            <w:pPr>
              <w:pStyle w:val="Paragraph"/>
              <w:ind w:firstLine="0"/>
              <w:jc w:val="center"/>
            </w:pPr>
            <w:r>
              <w:rPr>
                <w:sz w:val="16"/>
              </w:rPr>
              <w:t>14.7</w:t>
            </w:r>
          </w:p>
        </w:tc>
        <w:tc>
          <w:tcPr>
            <w:tcW w:w="0" w:type="auto"/>
            <w:vAlign w:val="center"/>
          </w:tcPr>
          <w:p w14:paraId="6DA0C71B" w14:textId="77777777" w:rsidR="00BD3578" w:rsidRDefault="00E51F8B">
            <w:pPr>
              <w:pStyle w:val="Paragraph"/>
              <w:ind w:firstLine="0"/>
              <w:jc w:val="center"/>
            </w:pPr>
            <w:r>
              <w:rPr>
                <w:sz w:val="16"/>
              </w:rPr>
              <w:t>82.5</w:t>
            </w:r>
          </w:p>
        </w:tc>
        <w:tc>
          <w:tcPr>
            <w:tcW w:w="0" w:type="auto"/>
            <w:vAlign w:val="center"/>
          </w:tcPr>
          <w:p w14:paraId="4C03390A" w14:textId="77777777" w:rsidR="00BD3578" w:rsidRDefault="00E51F8B">
            <w:pPr>
              <w:pStyle w:val="Paragraph"/>
              <w:ind w:firstLine="0"/>
              <w:jc w:val="center"/>
            </w:pPr>
            <w:r>
              <w:rPr>
                <w:sz w:val="16"/>
              </w:rPr>
              <w:t>0.053</w:t>
            </w:r>
          </w:p>
        </w:tc>
        <w:tc>
          <w:tcPr>
            <w:tcW w:w="0" w:type="auto"/>
            <w:vAlign w:val="center"/>
          </w:tcPr>
          <w:p w14:paraId="32B01391" w14:textId="77777777" w:rsidR="00BD3578" w:rsidRDefault="00E51F8B">
            <w:pPr>
              <w:pStyle w:val="Paragraph"/>
              <w:ind w:firstLine="0"/>
              <w:jc w:val="center"/>
            </w:pPr>
            <w:r>
              <w:rPr>
                <w:sz w:val="16"/>
              </w:rPr>
              <w:t>0.24</w:t>
            </w:r>
          </w:p>
        </w:tc>
        <w:tc>
          <w:tcPr>
            <w:tcW w:w="0" w:type="auto"/>
            <w:vAlign w:val="center"/>
          </w:tcPr>
          <w:p w14:paraId="27EB80D6" w14:textId="77777777" w:rsidR="00BD3578" w:rsidRDefault="00E51F8B">
            <w:pPr>
              <w:pStyle w:val="Paragraph"/>
              <w:ind w:firstLine="0"/>
              <w:jc w:val="center"/>
            </w:pPr>
            <w:r>
              <w:rPr>
                <w:sz w:val="16"/>
              </w:rPr>
              <w:t>1.24</w:t>
            </w:r>
          </w:p>
        </w:tc>
        <w:tc>
          <w:tcPr>
            <w:tcW w:w="0" w:type="auto"/>
            <w:vAlign w:val="center"/>
          </w:tcPr>
          <w:p w14:paraId="10BA5F72" w14:textId="77777777" w:rsidR="00BD3578" w:rsidRDefault="00E51F8B">
            <w:pPr>
              <w:pStyle w:val="Paragraph"/>
              <w:ind w:firstLine="0"/>
              <w:jc w:val="center"/>
            </w:pPr>
            <w:r>
              <w:rPr>
                <w:sz w:val="16"/>
              </w:rPr>
              <w:t>4.1</w:t>
            </w:r>
          </w:p>
        </w:tc>
      </w:tr>
      <w:tr w:rsidR="00BD3578" w14:paraId="7E7AA558" w14:textId="77777777" w:rsidTr="00122361">
        <w:trPr>
          <w:cantSplit/>
          <w:jc w:val="center"/>
        </w:trPr>
        <w:tc>
          <w:tcPr>
            <w:tcW w:w="0" w:type="auto"/>
            <w:vMerge/>
            <w:tcBorders>
              <w:bottom w:val="single" w:sz="8" w:space="0" w:color="000000"/>
            </w:tcBorders>
            <w:vAlign w:val="center"/>
          </w:tcPr>
          <w:p w14:paraId="7E3C0392" w14:textId="77777777" w:rsidR="00BD3578" w:rsidRDefault="00BD3578">
            <w:pPr>
              <w:pStyle w:val="Paragraph"/>
              <w:ind w:firstLine="0"/>
              <w:jc w:val="left"/>
            </w:pPr>
          </w:p>
        </w:tc>
        <w:tc>
          <w:tcPr>
            <w:tcW w:w="0" w:type="auto"/>
            <w:tcBorders>
              <w:bottom w:val="single" w:sz="8" w:space="0" w:color="000000"/>
            </w:tcBorders>
            <w:vAlign w:val="center"/>
          </w:tcPr>
          <w:p w14:paraId="5F61FCA9" w14:textId="77777777" w:rsidR="00BD3578" w:rsidRDefault="00E51F8B">
            <w:pPr>
              <w:pStyle w:val="Paragraph"/>
              <w:ind w:firstLine="0"/>
              <w:jc w:val="left"/>
            </w:pPr>
            <w:r>
              <w:rPr>
                <w:sz w:val="16"/>
              </w:rPr>
              <w:t>PID-LQR</w:t>
            </w:r>
          </w:p>
        </w:tc>
        <w:tc>
          <w:tcPr>
            <w:tcW w:w="0" w:type="auto"/>
            <w:tcBorders>
              <w:bottom w:val="single" w:sz="8" w:space="0" w:color="000000"/>
            </w:tcBorders>
            <w:vAlign w:val="center"/>
          </w:tcPr>
          <w:p w14:paraId="4D26CCB7" w14:textId="77777777" w:rsidR="00BD3578" w:rsidRDefault="00E51F8B">
            <w:pPr>
              <w:pStyle w:val="Paragraph"/>
              <w:ind w:firstLine="0"/>
              <w:jc w:val="center"/>
            </w:pPr>
            <w:r>
              <w:rPr>
                <w:sz w:val="16"/>
              </w:rPr>
              <w:t>done</w:t>
            </w:r>
          </w:p>
        </w:tc>
        <w:tc>
          <w:tcPr>
            <w:tcW w:w="0" w:type="auto"/>
            <w:tcBorders>
              <w:bottom w:val="single" w:sz="8" w:space="0" w:color="000000"/>
            </w:tcBorders>
            <w:vAlign w:val="center"/>
          </w:tcPr>
          <w:p w14:paraId="648862D8" w14:textId="77777777" w:rsidR="00BD3578" w:rsidRDefault="00E51F8B">
            <w:pPr>
              <w:pStyle w:val="Paragraph"/>
              <w:ind w:firstLine="0"/>
              <w:jc w:val="center"/>
            </w:pPr>
            <w:r>
              <w:rPr>
                <w:sz w:val="16"/>
              </w:rPr>
              <w:t>99.0</w:t>
            </w:r>
          </w:p>
        </w:tc>
        <w:tc>
          <w:tcPr>
            <w:tcW w:w="0" w:type="auto"/>
            <w:tcBorders>
              <w:bottom w:val="single" w:sz="8" w:space="0" w:color="000000"/>
            </w:tcBorders>
            <w:vAlign w:val="center"/>
          </w:tcPr>
          <w:p w14:paraId="5F44D48E" w14:textId="77777777" w:rsidR="00BD3578" w:rsidRDefault="00E51F8B">
            <w:pPr>
              <w:pStyle w:val="Paragraph"/>
              <w:ind w:firstLine="0"/>
              <w:jc w:val="center"/>
            </w:pPr>
            <w:r>
              <w:rPr>
                <w:sz w:val="16"/>
              </w:rPr>
              <w:t>219</w:t>
            </w:r>
          </w:p>
        </w:tc>
        <w:tc>
          <w:tcPr>
            <w:tcW w:w="0" w:type="auto"/>
            <w:tcBorders>
              <w:bottom w:val="single" w:sz="8" w:space="0" w:color="000000"/>
            </w:tcBorders>
            <w:vAlign w:val="center"/>
          </w:tcPr>
          <w:p w14:paraId="6E9B2E7D" w14:textId="77777777" w:rsidR="00BD3578" w:rsidRDefault="00E51F8B">
            <w:pPr>
              <w:pStyle w:val="Paragraph"/>
              <w:ind w:firstLine="0"/>
              <w:jc w:val="center"/>
            </w:pPr>
            <w:r>
              <w:rPr>
                <w:sz w:val="16"/>
              </w:rPr>
              <w:t>11.5</w:t>
            </w:r>
          </w:p>
        </w:tc>
        <w:tc>
          <w:tcPr>
            <w:tcW w:w="0" w:type="auto"/>
            <w:tcBorders>
              <w:bottom w:val="single" w:sz="8" w:space="0" w:color="000000"/>
            </w:tcBorders>
            <w:vAlign w:val="center"/>
          </w:tcPr>
          <w:p w14:paraId="5253689F" w14:textId="77777777" w:rsidR="00BD3578" w:rsidRDefault="00E51F8B">
            <w:pPr>
              <w:pStyle w:val="Paragraph"/>
              <w:ind w:firstLine="0"/>
              <w:jc w:val="center"/>
            </w:pPr>
            <w:r>
              <w:rPr>
                <w:sz w:val="16"/>
              </w:rPr>
              <w:t>1.02</w:t>
            </w:r>
          </w:p>
        </w:tc>
        <w:tc>
          <w:tcPr>
            <w:tcW w:w="0" w:type="auto"/>
            <w:tcBorders>
              <w:bottom w:val="single" w:sz="8" w:space="0" w:color="000000"/>
            </w:tcBorders>
            <w:vAlign w:val="center"/>
          </w:tcPr>
          <w:p w14:paraId="64E1754D" w14:textId="77777777" w:rsidR="00BD3578" w:rsidRDefault="00E51F8B">
            <w:pPr>
              <w:pStyle w:val="Paragraph"/>
              <w:ind w:firstLine="0"/>
              <w:jc w:val="center"/>
            </w:pPr>
            <w:r>
              <w:rPr>
                <w:sz w:val="16"/>
              </w:rPr>
              <w:t>2.6</w:t>
            </w:r>
          </w:p>
        </w:tc>
        <w:tc>
          <w:tcPr>
            <w:tcW w:w="0" w:type="auto"/>
            <w:tcBorders>
              <w:bottom w:val="single" w:sz="8" w:space="0" w:color="000000"/>
            </w:tcBorders>
            <w:vAlign w:val="center"/>
          </w:tcPr>
          <w:p w14:paraId="385DE723" w14:textId="77777777" w:rsidR="00BD3578" w:rsidRDefault="00E51F8B">
            <w:pPr>
              <w:pStyle w:val="Paragraph"/>
              <w:ind w:firstLine="0"/>
              <w:jc w:val="center"/>
            </w:pPr>
            <w:r>
              <w:rPr>
                <w:sz w:val="16"/>
              </w:rPr>
              <w:t>14.4</w:t>
            </w:r>
          </w:p>
        </w:tc>
        <w:tc>
          <w:tcPr>
            <w:tcW w:w="0" w:type="auto"/>
            <w:tcBorders>
              <w:bottom w:val="single" w:sz="8" w:space="0" w:color="000000"/>
            </w:tcBorders>
            <w:vAlign w:val="center"/>
          </w:tcPr>
          <w:p w14:paraId="0578ED3B" w14:textId="77777777" w:rsidR="00BD3578" w:rsidRDefault="00E51F8B">
            <w:pPr>
              <w:pStyle w:val="Paragraph"/>
              <w:ind w:firstLine="0"/>
              <w:jc w:val="center"/>
            </w:pPr>
            <w:r>
              <w:rPr>
                <w:sz w:val="16"/>
              </w:rPr>
              <w:t>40.1</w:t>
            </w:r>
          </w:p>
        </w:tc>
        <w:tc>
          <w:tcPr>
            <w:tcW w:w="0" w:type="auto"/>
            <w:tcBorders>
              <w:bottom w:val="single" w:sz="8" w:space="0" w:color="000000"/>
            </w:tcBorders>
            <w:vAlign w:val="center"/>
          </w:tcPr>
          <w:p w14:paraId="0B3196CD" w14:textId="77777777" w:rsidR="00BD3578" w:rsidRDefault="00E51F8B">
            <w:pPr>
              <w:pStyle w:val="Paragraph"/>
              <w:ind w:firstLine="0"/>
              <w:jc w:val="center"/>
            </w:pPr>
            <w:r>
              <w:rPr>
                <w:sz w:val="16"/>
              </w:rPr>
              <w:t>0.014</w:t>
            </w:r>
          </w:p>
        </w:tc>
        <w:tc>
          <w:tcPr>
            <w:tcW w:w="0" w:type="auto"/>
            <w:tcBorders>
              <w:bottom w:val="single" w:sz="8" w:space="0" w:color="000000"/>
            </w:tcBorders>
            <w:vAlign w:val="center"/>
          </w:tcPr>
          <w:p w14:paraId="0872E9F4" w14:textId="77777777" w:rsidR="00BD3578" w:rsidRDefault="00E51F8B">
            <w:pPr>
              <w:pStyle w:val="Paragraph"/>
              <w:ind w:firstLine="0"/>
              <w:jc w:val="center"/>
            </w:pPr>
            <w:r>
              <w:rPr>
                <w:sz w:val="16"/>
              </w:rPr>
              <w:t>0.24</w:t>
            </w:r>
          </w:p>
        </w:tc>
        <w:tc>
          <w:tcPr>
            <w:tcW w:w="0" w:type="auto"/>
            <w:tcBorders>
              <w:bottom w:val="single" w:sz="8" w:space="0" w:color="000000"/>
            </w:tcBorders>
            <w:vAlign w:val="center"/>
          </w:tcPr>
          <w:p w14:paraId="3B85E0F3" w14:textId="77777777" w:rsidR="00BD3578" w:rsidRDefault="00E51F8B">
            <w:pPr>
              <w:pStyle w:val="Paragraph"/>
              <w:ind w:firstLine="0"/>
              <w:jc w:val="center"/>
            </w:pPr>
            <w:r>
              <w:rPr>
                <w:sz w:val="16"/>
              </w:rPr>
              <w:t>1.12</w:t>
            </w:r>
          </w:p>
        </w:tc>
        <w:tc>
          <w:tcPr>
            <w:tcW w:w="0" w:type="auto"/>
            <w:tcBorders>
              <w:bottom w:val="single" w:sz="8" w:space="0" w:color="000000"/>
            </w:tcBorders>
            <w:vAlign w:val="center"/>
          </w:tcPr>
          <w:p w14:paraId="1A13A3AB" w14:textId="77777777" w:rsidR="00BD3578" w:rsidRDefault="00E51F8B">
            <w:pPr>
              <w:pStyle w:val="Paragraph"/>
              <w:ind w:firstLine="0"/>
              <w:jc w:val="center"/>
            </w:pPr>
            <w:r>
              <w:rPr>
                <w:sz w:val="16"/>
              </w:rPr>
              <w:t>4.9</w:t>
            </w:r>
          </w:p>
        </w:tc>
      </w:tr>
    </w:tbl>
    <w:p w14:paraId="42261316" w14:textId="77777777" w:rsidR="00BD3578" w:rsidRDefault="00BD3578">
      <w:pPr>
        <w:pStyle w:val="Paragraph"/>
        <w:spacing w:line="80" w:lineRule="exact"/>
      </w:pPr>
    </w:p>
    <w:p w14:paraId="49B6FF0B" w14:textId="2C4FC51C" w:rsidR="00BD3578" w:rsidRDefault="00E51F8B">
      <w:pPr>
        <w:pStyle w:val="Paragraph"/>
        <w:ind w:firstLine="0"/>
      </w:pPr>
      <w:r>
        <w:t>Both controllers share the planner, filter and plant model (Eq. (</w:t>
      </w:r>
      <w:r>
        <w:fldChar w:fldCharType="begin"/>
      </w:r>
      <w:r>
        <w:instrText xml:space="preserve"> REF _Ref_eq_plant \h \* MERGEFORMAT </w:instrText>
      </w:r>
      <w:r>
        <w:fldChar w:fldCharType="separate"/>
      </w:r>
      <w:r w:rsidR="00122361">
        <w:t>2</w:t>
      </w:r>
      <w:r>
        <w:fldChar w:fldCharType="end"/>
      </w:r>
      <w:r>
        <w:t>) with LQR gains). Each region–controller pair was flown once (</w:t>
      </w:r>
      <w:r>
        <w:rPr>
          <w:i/>
        </w:rPr>
        <w:t>N</w:t>
      </w:r>
      <w:r>
        <w:t xml:space="preserve"> = 1) and recorded on video; the two </w:t>
      </w:r>
      <w:r>
        <w:rPr>
          <w:i/>
        </w:rPr>
        <w:t>plus</w:t>
      </w:r>
      <w:r>
        <w:t xml:space="preserve"> missions also include three transit guards (stall detector, speed reduction above 16° tilt, 20 s start-wait timeout). A mission is complete when every surviving agent has finished its lanes and returned to its cell centroid; a run is stopped if an agent that is not a scheduled victim drops below 0.5 m. Metrics use the 20 Hz controller logs without the first 20 s and without rows after a kill. Lateral error is taken during steady east–west sweeps (heading stable for 1.5 s, speed above 0.6 m/s), torque effort is the mean of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and obstacle distance is measured from the drone centre to the cylinder surface; the airframe reaches 0.235 m (body) to 0.348 m (rotor tips), so smaller distances mean certain or possible contact. We also assume a lightweight rotor guard, as on collision-tolerant multirotors [</w:t>
      </w:r>
      <w:hyperlink w:anchor="_Ref_bib23" w:history="1">
        <w:r>
          <w:t>23</w:t>
        </w:r>
      </w:hyperlink>
      <w:r>
        <w:t>], so that grazing contacts load the guard rather than the propellers; the guard is not simulated and changes no reported number.</w:t>
      </w:r>
    </w:p>
    <w:p w14:paraId="0C6330DA" w14:textId="77777777" w:rsidR="00BD3578" w:rsidRDefault="00E51F8B">
      <w:pPr>
        <w:pStyle w:val="Figure"/>
      </w:pPr>
      <w:r>
        <w:rPr>
          <w:noProof/>
        </w:rPr>
        <w:drawing>
          <wp:inline distT="0" distB="0" distL="0" distR="0" wp14:anchorId="487F7C75" wp14:editId="5DD67F46">
            <wp:extent cx="4663440" cy="1919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png"/>
                    <pic:cNvPicPr/>
                  </pic:nvPicPr>
                  <pic:blipFill>
                    <a:blip r:embed="rId14"/>
                    <a:stretch>
                      <a:fillRect/>
                    </a:stretch>
                  </pic:blipFill>
                  <pic:spPr>
                    <a:xfrm>
                      <a:off x="0" y="0"/>
                      <a:ext cx="4663440" cy="1919680"/>
                    </a:xfrm>
                    <a:prstGeom prst="rect">
                      <a:avLst/>
                    </a:prstGeom>
                  </pic:spPr>
                </pic:pic>
              </a:graphicData>
            </a:graphic>
          </wp:inline>
        </w:drawing>
      </w:r>
    </w:p>
    <w:p w14:paraId="5455C53B" w14:textId="277BE8D5" w:rsidR="00BD3578" w:rsidRDefault="00E51F8B">
      <w:pPr>
        <w:pStyle w:val="FigureCaption"/>
        <w:spacing w:before="40" w:after="60"/>
      </w:pPr>
      <w:r>
        <w:rPr>
          <w:b/>
        </w:rPr>
        <w:t xml:space="preserve">FIGURE </w:t>
      </w:r>
      <w:bookmarkStart w:id="12" w:name="_Ref_fig_traj"/>
      <w:r>
        <w:rPr>
          <w:b/>
        </w:rPr>
        <w:fldChar w:fldCharType="begin"/>
      </w:r>
      <w:r>
        <w:rPr>
          <w:b/>
        </w:rPr>
        <w:instrText xml:space="preserve"> SEQ Figure \* ARABIC </w:instrText>
      </w:r>
      <w:r>
        <w:rPr>
          <w:b/>
        </w:rPr>
        <w:fldChar w:fldCharType="separate"/>
      </w:r>
      <w:r w:rsidR="00122361">
        <w:rPr>
          <w:b/>
          <w:noProof/>
        </w:rPr>
        <w:t>5</w:t>
      </w:r>
      <w:r>
        <w:rPr>
          <w:b/>
        </w:rPr>
        <w:fldChar w:fldCharType="end"/>
      </w:r>
      <w:bookmarkEnd w:id="12"/>
      <w:r>
        <w:rPr>
          <w:b/>
        </w:rPr>
        <w:t>.</w:t>
      </w:r>
      <w:r>
        <w:t xml:space="preserve"> Flown trajectories of live agents above 0.5 m, including transit from the launch pad (</w:t>
      </w:r>
      <w:r>
        <w:rPr>
          <w:i/>
        </w:rPr>
        <w:t>y</w:t>
      </w:r>
      <w:r>
        <w:t xml:space="preserve"> ≈ − 18 m).</w:t>
      </w:r>
    </w:p>
    <w:p w14:paraId="797C3E73" w14:textId="77777777" w:rsidR="00BD3578" w:rsidRDefault="00E51F8B">
      <w:pPr>
        <w:pStyle w:val="Heading1"/>
      </w:pPr>
      <w:r>
        <w:t>Results and Discussion</w:t>
      </w:r>
    </w:p>
    <w:p w14:paraId="2E74AFB3" w14:textId="77777777" w:rsidR="00BD3578" w:rsidRDefault="00E51F8B">
      <w:pPr>
        <w:pStyle w:val="Heading2"/>
      </w:pPr>
      <w:r>
        <w:t>Mission Completion and Fault Recovery</w:t>
      </w:r>
    </w:p>
    <w:p w14:paraId="4D852B7C" w14:textId="46D04598" w:rsidR="00BD3578" w:rsidRDefault="00E51F8B">
      <w:pPr>
        <w:pStyle w:val="Paragraph"/>
      </w:pPr>
      <w:r>
        <w:t>Table </w:t>
      </w:r>
      <w:r>
        <w:fldChar w:fldCharType="begin"/>
      </w:r>
      <w:r>
        <w:instrText xml:space="preserve"> REF _Ref_tab_results \h \* MERGEFORMAT </w:instrText>
      </w:r>
      <w:r>
        <w:fldChar w:fldCharType="separate"/>
      </w:r>
      <w:r w:rsidR="00122361" w:rsidRPr="00122361">
        <w:t>2</w:t>
      </w:r>
      <w:r>
        <w:fldChar w:fldCharType="end"/>
      </w:r>
      <w:r>
        <w:t xml:space="preserve"> and Fig. </w:t>
      </w:r>
      <w:r>
        <w:fldChar w:fldCharType="begin"/>
      </w:r>
      <w:r>
        <w:instrText xml:space="preserve"> REF _Ref_fig_traj \h \* MERGEFORMAT </w:instrText>
      </w:r>
      <w:r>
        <w:fldChar w:fldCharType="separate"/>
      </w:r>
      <w:r w:rsidR="00122361" w:rsidRPr="00122361">
        <w:t>5</w:t>
      </w:r>
      <w:r>
        <w:fldChar w:fldCharType="end"/>
      </w:r>
      <w:r>
        <w:t xml:space="preserve"> summarise the eight missions. Seven finished with all survivors back at their cell centroids and 96.9–99.0% coverage, despite losing two of seven agents at 18% and 32% coverage. Every obstacle map held all nine cylinders (centre and radius within the 0.1 m log resolution) plus at most two unmatched tracks, and no completed mission needed tier 3. Each kill causes a small drop, as the failed cell’s coverage is erased, before the slope resumes (Fig. </w:t>
      </w:r>
      <w:r>
        <w:fldChar w:fldCharType="begin"/>
      </w:r>
      <w:r>
        <w:instrText xml:space="preserve"> REF _Ref_fig_coverage \h \* MERGEFORMAT </w:instrText>
      </w:r>
      <w:r>
        <w:fldChar w:fldCharType="separate"/>
      </w:r>
      <w:r w:rsidR="00122361" w:rsidRPr="00122361">
        <w:t>6</w:t>
      </w:r>
      <w:r>
        <w:fldChar w:fldCharType="end"/>
      </w:r>
      <w:r>
        <w:t>); Fig. </w:t>
      </w:r>
      <w:r>
        <w:fldChar w:fldCharType="begin"/>
      </w:r>
      <w:r>
        <w:instrText xml:space="preserve"> REF _Ref_fig_env \h \* MERGEFORMAT </w:instrText>
      </w:r>
      <w:r>
        <w:fldChar w:fldCharType="separate"/>
      </w:r>
      <w:r w:rsidR="00122361" w:rsidRPr="00122361">
        <w:t>7</w:t>
      </w:r>
      <w:r>
        <w:fldChar w:fldCharType="end"/>
      </w:r>
      <w:r>
        <w:t xml:space="preserve"> shows the final maps. The PID-LQR U-shape mission completed at 96.9%, below the 97% reference level of Fig. </w:t>
      </w:r>
      <w:r>
        <w:fldChar w:fldCharType="begin"/>
      </w:r>
      <w:r>
        <w:instrText xml:space="preserve"> REF _Ref_fig_coverage \h \* MERGEFORMAT </w:instrText>
      </w:r>
      <w:r>
        <w:fldChar w:fldCharType="separate"/>
      </w:r>
      <w:r w:rsidR="00122361" w:rsidRPr="00122361">
        <w:t>6</w:t>
      </w:r>
      <w:r>
        <w:fldChar w:fldCharType="end"/>
      </w:r>
      <w:r>
        <w:t>, with thin uncovered strips along cell boundaries in the left arm, nearly absent for PID-</w:t>
      </w:r>
      <w:r>
        <w:rPr>
          <w:i/>
        </w:rPr>
        <w:t>H</w:t>
      </w:r>
      <w:r>
        <w:rPr>
          <w:vertAlign w:val="subscript"/>
        </w:rPr>
        <w:t>∞</w:t>
      </w:r>
      <w:r>
        <w:t>; their cause was not isolated. The PID-LQR rect mission was stopped at 78.8 s after an unscheduled crash (see Safety).</w:t>
      </w:r>
    </w:p>
    <w:p w14:paraId="08E21C80" w14:textId="77777777" w:rsidR="00BD3578" w:rsidRDefault="00E51F8B">
      <w:pPr>
        <w:pStyle w:val="Figure"/>
      </w:pPr>
      <w:r>
        <w:rPr>
          <w:noProof/>
        </w:rPr>
        <w:lastRenderedPageBreak/>
        <w:drawing>
          <wp:inline distT="0" distB="0" distL="0" distR="0" wp14:anchorId="08DD9A6B" wp14:editId="3879A342">
            <wp:extent cx="4937760" cy="1639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png"/>
                    <pic:cNvPicPr/>
                  </pic:nvPicPr>
                  <pic:blipFill>
                    <a:blip r:embed="rId15"/>
                    <a:stretch>
                      <a:fillRect/>
                    </a:stretch>
                  </pic:blipFill>
                  <pic:spPr>
                    <a:xfrm>
                      <a:off x="0" y="0"/>
                      <a:ext cx="4937760" cy="1639078"/>
                    </a:xfrm>
                    <a:prstGeom prst="rect">
                      <a:avLst/>
                    </a:prstGeom>
                  </pic:spPr>
                </pic:pic>
              </a:graphicData>
            </a:graphic>
          </wp:inline>
        </w:drawing>
      </w:r>
    </w:p>
    <w:p w14:paraId="656C15EB" w14:textId="357FC263" w:rsidR="00BD3578" w:rsidRDefault="00E51F8B">
      <w:pPr>
        <w:pStyle w:val="FigureCaption"/>
        <w:spacing w:before="40" w:after="60"/>
      </w:pPr>
      <w:r>
        <w:rPr>
          <w:b/>
        </w:rPr>
        <w:t xml:space="preserve">FIGURE </w:t>
      </w:r>
      <w:bookmarkStart w:id="13" w:name="_Ref_fig_coverage"/>
      <w:r>
        <w:rPr>
          <w:b/>
        </w:rPr>
        <w:fldChar w:fldCharType="begin"/>
      </w:r>
      <w:r>
        <w:rPr>
          <w:b/>
        </w:rPr>
        <w:instrText xml:space="preserve"> SEQ Figure \* ARABIC </w:instrText>
      </w:r>
      <w:r>
        <w:rPr>
          <w:b/>
        </w:rPr>
        <w:fldChar w:fldCharType="separate"/>
      </w:r>
      <w:r w:rsidR="00122361">
        <w:rPr>
          <w:b/>
          <w:noProof/>
        </w:rPr>
        <w:t>6</w:t>
      </w:r>
      <w:r>
        <w:rPr>
          <w:b/>
        </w:rPr>
        <w:fldChar w:fldCharType="end"/>
      </w:r>
      <w:bookmarkEnd w:id="13"/>
      <w:r>
        <w:rPr>
          <w:b/>
        </w:rPr>
        <w:t>.</w:t>
      </w:r>
      <w:r>
        <w:t xml:space="preserve"> Coverage against mission time (coordinator clock). Triangles: agent kills, after which the failed cell is re-swept; dotted: 97% reference level (completion is defined by the survivors finishing their lanes).</w:t>
      </w:r>
    </w:p>
    <w:p w14:paraId="7E91B3C8" w14:textId="77777777" w:rsidR="00BD3578" w:rsidRDefault="00E51F8B">
      <w:pPr>
        <w:pStyle w:val="Figure"/>
      </w:pPr>
      <w:r>
        <w:rPr>
          <w:noProof/>
        </w:rPr>
        <w:drawing>
          <wp:inline distT="0" distB="0" distL="0" distR="0" wp14:anchorId="2D78F125" wp14:editId="13C7EDF0">
            <wp:extent cx="5029200" cy="990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png"/>
                    <pic:cNvPicPr/>
                  </pic:nvPicPr>
                  <pic:blipFill>
                    <a:blip r:embed="rId16"/>
                    <a:stretch>
                      <a:fillRect/>
                    </a:stretch>
                  </pic:blipFill>
                  <pic:spPr>
                    <a:xfrm>
                      <a:off x="0" y="0"/>
                      <a:ext cx="5029200" cy="990975"/>
                    </a:xfrm>
                    <a:prstGeom prst="rect">
                      <a:avLst/>
                    </a:prstGeom>
                  </pic:spPr>
                </pic:pic>
              </a:graphicData>
            </a:graphic>
          </wp:inline>
        </w:drawing>
      </w:r>
    </w:p>
    <w:p w14:paraId="36AAF093" w14:textId="29EC05A6" w:rsidR="00BD3578" w:rsidRDefault="00E51F8B">
      <w:pPr>
        <w:pStyle w:val="FigureCaption"/>
        <w:spacing w:before="40" w:after="60"/>
      </w:pPr>
      <w:r>
        <w:rPr>
          <w:b/>
        </w:rPr>
        <w:t xml:space="preserve">FIGURE </w:t>
      </w:r>
      <w:bookmarkStart w:id="14" w:name="_Ref_fig_env"/>
      <w:r>
        <w:rPr>
          <w:b/>
        </w:rPr>
        <w:fldChar w:fldCharType="begin"/>
      </w:r>
      <w:r>
        <w:rPr>
          <w:b/>
        </w:rPr>
        <w:instrText xml:space="preserve"> SEQ Figure \* ARABIC </w:instrText>
      </w:r>
      <w:r>
        <w:rPr>
          <w:b/>
        </w:rPr>
        <w:fldChar w:fldCharType="separate"/>
      </w:r>
      <w:r w:rsidR="00122361">
        <w:rPr>
          <w:b/>
          <w:noProof/>
        </w:rPr>
        <w:t>7</w:t>
      </w:r>
      <w:r>
        <w:rPr>
          <w:b/>
        </w:rPr>
        <w:fldChar w:fldCharType="end"/>
      </w:r>
      <w:bookmarkEnd w:id="14"/>
      <w:r>
        <w:rPr>
          <w:b/>
        </w:rPr>
        <w:t>.</w:t>
      </w:r>
      <w:r>
        <w:t xml:space="preserve"> (a) Gazebo, rect scenario (screenshot); (b)–(e) final RViz coverage maps (green) of the PID-</w:t>
      </w:r>
      <w:r>
        <w:rPr>
          <w:i/>
        </w:rPr>
        <w:t>H</w:t>
      </w:r>
      <w:r>
        <w:rPr>
          <w:vertAlign w:val="subscript"/>
        </w:rPr>
        <w:t>∞</w:t>
      </w:r>
      <w:r>
        <w:t xml:space="preserve"> missions, from the recordings (</w:t>
      </w:r>
      <w:hyperlink r:id="rId17" w:history="1">
        <w:r>
          <w:t>https://youtube.com/playlist?list=PLfxyCAwHmhHI</w:t>
        </w:r>
      </w:hyperlink>
      <w:r>
        <w:t>).</w:t>
      </w:r>
    </w:p>
    <w:p w14:paraId="56DC070D" w14:textId="77777777" w:rsidR="00BD3578" w:rsidRDefault="00E51F8B">
      <w:pPr>
        <w:pStyle w:val="Heading2"/>
      </w:pPr>
      <w:r>
        <w:t xml:space="preserve">Tracking under Turbulence: LQR versus </w:t>
      </w:r>
      <w:r>
        <w:rPr>
          <w:i/>
        </w:rPr>
        <w:t>H</w:t>
      </w:r>
      <w:r>
        <w:rPr>
          <w:vertAlign w:val="subscript"/>
        </w:rPr>
        <w:t>∞</w:t>
      </w:r>
      <w:r>
        <w:t xml:space="preserve"> Gains</w:t>
      </w:r>
    </w:p>
    <w:p w14:paraId="52075AC8" w14:textId="4E514B90" w:rsidR="00BD3578" w:rsidRDefault="00E51F8B">
      <w:pPr>
        <w:pStyle w:val="Paragraph"/>
      </w:pPr>
      <w:r>
        <w:t>The two designs differ clearly in how tightly they hold a lane (Fig. </w:t>
      </w:r>
      <w:r>
        <w:fldChar w:fldCharType="begin"/>
      </w:r>
      <w:r>
        <w:instrText xml:space="preserve"> REF _Ref_fig_tracking \h \* MERGEFORMAT </w:instrText>
      </w:r>
      <w:r>
        <w:fldChar w:fldCharType="separate"/>
      </w:r>
      <w:r w:rsidR="00122361" w:rsidRPr="00122361">
        <w:t>8</w:t>
      </w:r>
      <w:r>
        <w:fldChar w:fldCharType="end"/>
      </w:r>
      <w:r>
        <w:t>a): the median lateral error was 2.7–3.8 cm with PID-</w:t>
      </w:r>
      <w:r>
        <w:rPr>
          <w:i/>
        </w:rPr>
        <w:t>H</w:t>
      </w:r>
      <w:r>
        <w:rPr>
          <w:vertAlign w:val="subscript"/>
        </w:rPr>
        <w:t>∞</w:t>
      </w:r>
      <w:r>
        <w:t xml:space="preserve"> and 8.5–8.8 cm with PID-LQR, and the RMS error fell from 11.4–12.2 cm to 7.2–9.7 cm in all four regions (16–31% where both finished; 39% in the truncated rect pair). Most of the difference is a mean offset: PID-LQR flew −5.7 to −7.0 cm downwind (towards −</w:t>
      </w:r>
      <w:r>
        <w:rPr>
          <w:i/>
        </w:rPr>
        <w:t>y</w:t>
      </w:r>
      <w:r>
        <w:t>), PID-</w:t>
      </w:r>
      <w:r>
        <w:rPr>
          <w:i/>
        </w:rPr>
        <w:t>H</w:t>
      </w:r>
      <w:r>
        <w:rPr>
          <w:vertAlign w:val="subscript"/>
        </w:rPr>
        <w:t>∞</w:t>
      </w:r>
      <w:r>
        <w:t xml:space="preserve"> within 0.7–1.6 cm of the lane, with closer standard deviations (7.0–9.6 vs 9.4–10.8 cm). The </w:t>
      </w:r>
      <w:r>
        <w:rPr>
          <w:i/>
        </w:rPr>
        <w:t>H</w:t>
      </w:r>
      <w:r>
        <w:rPr>
          <w:vertAlign w:val="subscript"/>
        </w:rPr>
        <w:t>∞</w:t>
      </w:r>
      <w:r>
        <w:t xml:space="preserve"> outer integral gain is 3.9 times larger, and the PID-LQR node freezes its position integrator when the error to its set-point exceeds 0.25 m on either axis; since the set-point leads the vehicle along the lane by </w:t>
      </w:r>
      <w:r>
        <w:rPr>
          <w:i/>
        </w:rPr>
        <w:t>T</w:t>
      </w:r>
      <w:r>
        <w:rPr>
          <w:vertAlign w:val="subscript"/>
        </w:rPr>
        <w:t>lead</w:t>
      </w:r>
      <w:r>
        <w:rPr>
          <w:i/>
        </w:rPr>
        <w:t>u</w:t>
      </w:r>
      <w:r>
        <w:rPr>
          <w:vertAlign w:val="superscript"/>
        </w:rPr>
        <w:t>★</w:t>
      </w:r>
      <w:r>
        <w:t xml:space="preserve"> ≈ 0.4 m, this happened in 36–45% of its sweep samples. Mean sweep speeds of 1.15–1.21 against 1.02–1.12 m/s (command 1.6 m/s) contribute to the 11–15% shorter missions; the 95th-percentile tilt was essentially equal, as was altitude error outside the two missions with upsets. In the linear analysis (Table </w:t>
      </w:r>
      <w:r>
        <w:fldChar w:fldCharType="begin"/>
      </w:r>
      <w:r>
        <w:instrText xml:space="preserve"> REF _Ref_tab_gains \h \* MERGEFORMAT </w:instrText>
      </w:r>
      <w:r>
        <w:fldChar w:fldCharType="separate"/>
      </w:r>
      <w:r w:rsidR="00122361" w:rsidRPr="00122361">
        <w:t>1</w:t>
      </w:r>
      <w:r>
        <w:fldChar w:fldCharType="end"/>
      </w:r>
      <w:r>
        <w:t xml:space="preserve">) the </w:t>
      </w:r>
      <w:r>
        <w:rPr>
          <w:i/>
        </w:rPr>
        <w:t>H</w:t>
      </w:r>
      <w:r>
        <w:rPr>
          <w:vertAlign w:val="subscript"/>
        </w:rPr>
        <w:t>∞</w:t>
      </w:r>
      <w:r>
        <w:t xml:space="preserve"> gains lower the worst-case disturbance-to-position gain by 4.0 times and the position deviation under the Gauss–Markov input by 3.7 times (Fig. </w:t>
      </w:r>
      <w:r>
        <w:fldChar w:fldCharType="begin"/>
      </w:r>
      <w:r>
        <w:instrText xml:space="preserve"> REF _Ref_fig_tracking \h \* MERGEFORMAT </w:instrText>
      </w:r>
      <w:r>
        <w:fldChar w:fldCharType="separate"/>
      </w:r>
      <w:r w:rsidR="00122361" w:rsidRPr="00122361">
        <w:t>8</w:t>
      </w:r>
      <w:r>
        <w:fldChar w:fldCharType="end"/>
      </w:r>
      <w:r>
        <w:t>c).</w:t>
      </w:r>
    </w:p>
    <w:p w14:paraId="7F329B6B" w14:textId="6E0888A3" w:rsidR="00BD3578" w:rsidRDefault="00E51F8B">
      <w:pPr>
        <w:pStyle w:val="Paragraph"/>
      </w:pPr>
      <w:r>
        <w:t>The price is a higher effort: in the three completed pairs PID-</w:t>
      </w:r>
      <w:r>
        <w:rPr>
          <w:i/>
        </w:rPr>
        <w:t>H</w:t>
      </w:r>
      <w:r>
        <w:rPr>
          <w:vertAlign w:val="subscript"/>
        </w:rPr>
        <w:t>∞</w:t>
      </w:r>
      <w:r>
        <w:t xml:space="preserve"> used 3.9–5.6 times the torque effort of PID-LQR (Fig. </w:t>
      </w:r>
      <w:r>
        <w:fldChar w:fldCharType="begin"/>
      </w:r>
      <w:r>
        <w:instrText xml:space="preserve"> REF _Ref_fig_tracking \h \* MERGEFORMAT </w:instrText>
      </w:r>
      <w:r>
        <w:fldChar w:fldCharType="separate"/>
      </w:r>
      <w:r w:rsidR="00122361" w:rsidRPr="00122361">
        <w:t>8</w:t>
      </w:r>
      <w:r>
        <w:fldChar w:fldCharType="end"/>
      </w:r>
      <w:r>
        <w:t xml:space="preserve">b), with motor saturation below 0.2% of samples, and its outer loop has a higher crossover (9.08 vs 4.09 rad/s) and smaller margins. The measured reduction is far below the linear factor because tilt limit, pre-filter, QP rate limits and wind force model are not in the linear model. As </w:t>
      </w:r>
      <w:r>
        <w:rPr>
          <w:i/>
        </w:rPr>
        <w:t>Q</w:t>
      </w:r>
      <w:r>
        <w:t xml:space="preserve">, </w:t>
      </w:r>
      <w:r>
        <w:rPr>
          <w:i/>
        </w:rPr>
        <w:t>R</w:t>
      </w:r>
      <w:r>
        <w:t xml:space="preserve"> differ and the integrator gating belongs to the PID-LQR node, this compares two complete gain designs and does not isolate the effect of </w:t>
      </w:r>
      <w:r>
        <w:rPr>
          <w:i/>
        </w:rPr>
        <w:t>γ</w:t>
      </w:r>
      <w:r>
        <w:t xml:space="preserve"> from that of higher loop gain.</w:t>
      </w:r>
    </w:p>
    <w:p w14:paraId="5381663C" w14:textId="77777777" w:rsidR="00BD3578" w:rsidRDefault="00E51F8B">
      <w:pPr>
        <w:pStyle w:val="Heading2"/>
      </w:pPr>
      <w:r>
        <w:t>Safety: Clearance, Contact and Upset Events</w:t>
      </w:r>
    </w:p>
    <w:p w14:paraId="263BEA22" w14:textId="4DE63670" w:rsidR="00BD3578" w:rsidRDefault="00E51F8B">
      <w:pPr>
        <w:pStyle w:val="Paragraph"/>
      </w:pPr>
      <w:r>
        <w:t>No two agents came closer than 0.79 m (PID-LQR, L-shape), above the 0.70 m hard radius. The minimum surface distance to static cylinders was 0.49, 0.57 and 0.63 m under PID-</w:t>
      </w:r>
      <w:r>
        <w:rPr>
          <w:i/>
        </w:rPr>
        <w:t>H</w:t>
      </w:r>
      <w:r>
        <w:rPr>
          <w:vertAlign w:val="subscript"/>
        </w:rPr>
        <w:t>∞</w:t>
      </w:r>
      <w:r>
        <w:t xml:space="preserve"> and 0.06, 0.29 and 0.42 m under PID-LQR in rect, L- and U-shape, the PID-LQR rect and L-shape values meaning body and possible rotor contact; in </w:t>
      </w:r>
      <w:r>
        <w:rPr>
          <w:i/>
        </w:rPr>
        <w:t>plus</w:t>
      </w:r>
      <w:r>
        <w:t xml:space="preserve"> both passed within 0.24 m of the central cylinder, also inside the rotor envelope, where the assumed guard takes the contact. The upsets (Fig. </w:t>
      </w:r>
      <w:r>
        <w:fldChar w:fldCharType="begin"/>
      </w:r>
      <w:r>
        <w:instrText xml:space="preserve"> REF _Ref_fig_events \h \* MERGEFORMAT </w:instrText>
      </w:r>
      <w:r>
        <w:fldChar w:fldCharType="separate"/>
      </w:r>
      <w:r w:rsidR="00122361" w:rsidRPr="00122361">
        <w:t>9</w:t>
      </w:r>
      <w:r>
        <w:fldChar w:fldCharType="end"/>
      </w:r>
      <w:r>
        <w:t xml:space="preserve">) share a pattern: each happened while the agent stepped to its next lane beside a cylinder, after 1–4 s of tier-2 solves bound by that cylinder. In the PID-LQR rect mission agent 2 came within 0.06 m of the cylinder at (0,2.5) (body contact), tilted to 155.9° and fell; by protocol the run was then stopped, so this crash was scored as a failed mission rather than handed to FT-CC. In </w:t>
      </w:r>
      <w:r>
        <w:rPr>
          <w:i/>
        </w:rPr>
        <w:t>plus</w:t>
      </w:r>
      <w:r>
        <w:t>, agent 2 of both missions grazed the central cylinder, tilting to 40.1° (PID-LQR) and 82.5° (PID-</w:t>
      </w:r>
      <w:r>
        <w:rPr>
          <w:i/>
        </w:rPr>
        <w:t>H</w:t>
      </w:r>
      <w:r>
        <w:rPr>
          <w:vertAlign w:val="subscript"/>
        </w:rPr>
        <w:t>∞</w:t>
      </w:r>
      <w:r>
        <w:t xml:space="preserve">, dropping to 0.64 m and recovering within about 3 s). With one run per case these events cannot be attributed to the controller; plausible contributors are obstacle-blind lanes ending inside a </w:t>
      </w:r>
      <w:r>
        <w:lastRenderedPageBreak/>
        <w:t>cylinder’s margin, a barrier built on a 0.22 m disc, and a fixed 0.5 m/s</w:t>
      </w:r>
      <w:r>
        <w:rPr>
          <w:vertAlign w:val="superscript"/>
        </w:rPr>
        <w:t>2</w:t>
      </w:r>
      <w:r>
        <w:t xml:space="preserve"> wind allowance that ignores gusts of up to 12.0 m/s. A 50.8° upset (PID-LQR, rect, agent 6, 24.4 s) before sweeping, 0.55 m from the nearest cylinder, was recovered.</w:t>
      </w:r>
    </w:p>
    <w:p w14:paraId="6391E820" w14:textId="77777777" w:rsidR="00BD3578" w:rsidRDefault="00E51F8B">
      <w:pPr>
        <w:pStyle w:val="Figure"/>
      </w:pPr>
      <w:r>
        <w:rPr>
          <w:noProof/>
        </w:rPr>
        <w:drawing>
          <wp:inline distT="0" distB="0" distL="0" distR="0" wp14:anchorId="77FFCD53" wp14:editId="2B74F1C0">
            <wp:extent cx="3657600" cy="1263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8"/>
                    <a:stretch>
                      <a:fillRect/>
                    </a:stretch>
                  </pic:blipFill>
                  <pic:spPr>
                    <a:xfrm>
                      <a:off x="0" y="0"/>
                      <a:ext cx="3657600" cy="1263849"/>
                    </a:xfrm>
                    <a:prstGeom prst="rect">
                      <a:avLst/>
                    </a:prstGeom>
                  </pic:spPr>
                </pic:pic>
              </a:graphicData>
            </a:graphic>
          </wp:inline>
        </w:drawing>
      </w:r>
    </w:p>
    <w:p w14:paraId="6F83024B" w14:textId="3717562C" w:rsidR="00BD3578" w:rsidRDefault="00E51F8B">
      <w:pPr>
        <w:pStyle w:val="FigureCaption"/>
        <w:spacing w:before="40" w:after="60"/>
      </w:pPr>
      <w:r>
        <w:rPr>
          <w:b/>
        </w:rPr>
        <w:t xml:space="preserve">FIGURE </w:t>
      </w:r>
      <w:bookmarkStart w:id="15" w:name="_Ref_fig_tracking"/>
      <w:r>
        <w:rPr>
          <w:b/>
        </w:rPr>
        <w:fldChar w:fldCharType="begin"/>
      </w:r>
      <w:r>
        <w:rPr>
          <w:b/>
        </w:rPr>
        <w:instrText xml:space="preserve"> SEQ Figure \* ARABIC </w:instrText>
      </w:r>
      <w:r>
        <w:rPr>
          <w:b/>
        </w:rPr>
        <w:fldChar w:fldCharType="separate"/>
      </w:r>
      <w:r w:rsidR="00122361">
        <w:rPr>
          <w:b/>
          <w:noProof/>
        </w:rPr>
        <w:t>8</w:t>
      </w:r>
      <w:r>
        <w:rPr>
          <w:b/>
        </w:rPr>
        <w:fldChar w:fldCharType="end"/>
      </w:r>
      <w:bookmarkEnd w:id="15"/>
      <w:r>
        <w:rPr>
          <w:b/>
        </w:rPr>
        <w:t>.</w:t>
      </w:r>
      <w:r>
        <w:t xml:space="preserve"> (a) Absolute lateral error in steady east–west sweeps (box: quartiles, whiskers: 5th–95th percentiles). (b) RMS lateral error against torque effort. (c) Disturbance-to-position gain of the linearised outer loop; dotted: wind-model corner frequency.</w:t>
      </w:r>
    </w:p>
    <w:p w14:paraId="0FFBDBF4" w14:textId="77777777" w:rsidR="00BD3578" w:rsidRDefault="00E51F8B">
      <w:pPr>
        <w:pStyle w:val="Figure"/>
      </w:pPr>
      <w:r>
        <w:rPr>
          <w:noProof/>
        </w:rPr>
        <w:drawing>
          <wp:inline distT="0" distB="0" distL="0" distR="0" wp14:anchorId="406B0B52" wp14:editId="659E27F2">
            <wp:extent cx="3566160" cy="1435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ents.png"/>
                    <pic:cNvPicPr/>
                  </pic:nvPicPr>
                  <pic:blipFill>
                    <a:blip r:embed="rId19"/>
                    <a:stretch>
                      <a:fillRect/>
                    </a:stretch>
                  </pic:blipFill>
                  <pic:spPr>
                    <a:xfrm>
                      <a:off x="0" y="0"/>
                      <a:ext cx="3566160" cy="1435754"/>
                    </a:xfrm>
                    <a:prstGeom prst="rect">
                      <a:avLst/>
                    </a:prstGeom>
                  </pic:spPr>
                </pic:pic>
              </a:graphicData>
            </a:graphic>
          </wp:inline>
        </w:drawing>
      </w:r>
    </w:p>
    <w:p w14:paraId="4C31D7E9" w14:textId="759F0401" w:rsidR="00BD3578" w:rsidRDefault="00E51F8B">
      <w:pPr>
        <w:pStyle w:val="FigureCaption"/>
        <w:spacing w:before="40" w:after="60"/>
      </w:pPr>
      <w:r>
        <w:rPr>
          <w:b/>
        </w:rPr>
        <w:t xml:space="preserve">FIGURE </w:t>
      </w:r>
      <w:bookmarkStart w:id="16" w:name="_Ref_fig_events"/>
      <w:r>
        <w:rPr>
          <w:b/>
        </w:rPr>
        <w:fldChar w:fldCharType="begin"/>
      </w:r>
      <w:r>
        <w:rPr>
          <w:b/>
        </w:rPr>
        <w:instrText xml:space="preserve"> SEQ Figure \* ARABIC </w:instrText>
      </w:r>
      <w:r>
        <w:rPr>
          <w:b/>
        </w:rPr>
        <w:fldChar w:fldCharType="separate"/>
      </w:r>
      <w:r w:rsidR="00122361">
        <w:rPr>
          <w:b/>
          <w:noProof/>
        </w:rPr>
        <w:t>9</w:t>
      </w:r>
      <w:r>
        <w:rPr>
          <w:b/>
        </w:rPr>
        <w:fldChar w:fldCharType="end"/>
      </w:r>
      <w:bookmarkEnd w:id="16"/>
      <w:r>
        <w:rPr>
          <w:b/>
        </w:rPr>
        <w:t>.</w:t>
      </w:r>
      <w:r>
        <w:t xml:space="preserve"> Upsets aligned at peak tilt: surface distance to the nearest static cylinder (dark: body contact; light: rotor contact possible), tilt (dotted: 25° level-out) and altitude. (a) PID-LQR, rect, agent 2: contact and loss. (b) </w:t>
      </w:r>
      <w:r>
        <w:rPr>
          <w:i/>
        </w:rPr>
        <w:t>plus</w:t>
      </w:r>
      <w:r>
        <w:t>, agent 2, both controllers: graze and recovery.</w:t>
      </w:r>
    </w:p>
    <w:p w14:paraId="2F34EF4B" w14:textId="77777777" w:rsidR="00BD3578" w:rsidRDefault="00E51F8B">
      <w:pPr>
        <w:pStyle w:val="Paragraph"/>
        <w:ind w:firstLine="0"/>
      </w:pPr>
      <w:r>
        <w:t>In all 8 missions some tier-2 solves bound by a moving-obstacle row reported a negative minimum barrier value (down to −0.68 m): the log keeps only the minimum over all rows and no moving-cylinder positions, so contact can be neither confirmed nor excluded; from a moving-obstacle row, that value would mean a surface distance of 0.34 m, inside the rotor envelope.</w:t>
      </w:r>
    </w:p>
    <w:p w14:paraId="1CCCEE6F" w14:textId="77777777" w:rsidR="00BD3578" w:rsidRDefault="00E51F8B">
      <w:pPr>
        <w:pStyle w:val="Heading2"/>
      </w:pPr>
      <w:r>
        <w:t>Limitations</w:t>
      </w:r>
    </w:p>
    <w:p w14:paraId="7CE3D829" w14:textId="77777777" w:rsidR="00BD3578" w:rsidRDefault="00E51F8B">
      <w:pPr>
        <w:pStyle w:val="Paragraph"/>
      </w:pPr>
      <w:r>
        <w:t>The results rest on single runs (one wind seed), perfect state and moving-obstacle feedback, instant failure detection, geometric coverage, unsimulated rotor guards and centralised upper layers; runs are stopped at unscheduled crashes, and there is no ablation or re-implemented baseline.</w:t>
      </w:r>
    </w:p>
    <w:p w14:paraId="4BE893CE" w14:textId="77777777" w:rsidR="00BD3578" w:rsidRDefault="00E51F8B">
      <w:pPr>
        <w:pStyle w:val="Heading1"/>
      </w:pPr>
      <w:r>
        <w:t>Conclusion</w:t>
      </w:r>
    </w:p>
    <w:p w14:paraId="347B29DE" w14:textId="77777777" w:rsidR="00BD3578" w:rsidRDefault="00E51F8B">
      <w:pPr>
        <w:pStyle w:val="Paragraph"/>
      </w:pPr>
      <w:r>
        <w:t xml:space="preserve">A three-layer architecture of polygon-clipped Voronoi partitioning, boundary-following sweeps, lane-level fault reallocation, a LiDAR-mapped actuator-consistent CBF-QP and Riccati-synthesised PID control completed seven of eight simulated missions with 96.9–99.0% coverage under turbulence, unmapped and moving obstacles, and the loss of two of seven quadrotors. Where both controllers finished, </w:t>
      </w:r>
      <w:r>
        <w:rPr>
          <w:i/>
        </w:rPr>
        <w:t>H</w:t>
      </w:r>
      <w:r>
        <w:rPr>
          <w:vertAlign w:val="subscript"/>
        </w:rPr>
        <w:t>∞</w:t>
      </w:r>
      <w:r>
        <w:t xml:space="preserve"> gains held the lanes 16–31% more tightly and shortened missions by 11–15% relative to LQR gains, at several times the torque effort and with smaller margins. One LQR mission ended in an obstacle strike and three others came within rotor reach of a cylinder. Next steps are runs over several wind seeds, a guard-sized, gust-aware barrier, obstacle-aware lane ends, moving-obstacle logging, distributed upper layers and flight tests.</w:t>
      </w:r>
    </w:p>
    <w:p w14:paraId="7401EFEE" w14:textId="77777777" w:rsidR="00BD3578" w:rsidRDefault="00E51F8B">
      <w:pPr>
        <w:pStyle w:val="Heading1"/>
      </w:pPr>
      <w:r>
        <w:t>Acknowledgments</w:t>
      </w:r>
    </w:p>
    <w:p w14:paraId="095E65D7" w14:textId="77777777" w:rsidR="00BD3578" w:rsidRDefault="00E51F8B">
      <w:pPr>
        <w:pStyle w:val="Paragraph"/>
      </w:pPr>
      <w:r>
        <w:t>The authors thank the Center for Instrumentation Technology and Automation, Institut Teknologi Bandung, for covering the conference registration and publication fees of this paper.</w:t>
      </w:r>
    </w:p>
    <w:p w14:paraId="05759DA2" w14:textId="77777777" w:rsidR="00BD3578" w:rsidRDefault="00E51F8B">
      <w:pPr>
        <w:pStyle w:val="Heading1"/>
      </w:pPr>
      <w:r>
        <w:lastRenderedPageBreak/>
        <w:t>References</w:t>
      </w:r>
    </w:p>
    <w:p w14:paraId="0C2D0FFE" w14:textId="77777777" w:rsidR="00BD3578" w:rsidRDefault="00E51F8B">
      <w:pPr>
        <w:pStyle w:val="Reference"/>
      </w:pPr>
      <w:bookmarkStart w:id="17" w:name="_Ref_bib1"/>
      <w:r>
        <w:t xml:space="preserve">S. P. Lloyd, “Least squares quantization in PCM,” IEEE Trans. Inf. Theory </w:t>
      </w:r>
      <w:r>
        <w:rPr>
          <w:b/>
        </w:rPr>
        <w:t>28</w:t>
      </w:r>
      <w:r>
        <w:t>, 129–137 (1982).</w:t>
      </w:r>
      <w:bookmarkEnd w:id="17"/>
    </w:p>
    <w:p w14:paraId="37CB4955" w14:textId="77777777" w:rsidR="00BD3578" w:rsidRDefault="00E51F8B">
      <w:pPr>
        <w:pStyle w:val="Reference"/>
      </w:pPr>
      <w:bookmarkStart w:id="18" w:name="_Ref_bib2"/>
      <w:r>
        <w:t xml:space="preserve">Y. Bai, Y. Wang, M. Svinin, E. Magid, and R. Sun, “Adaptive multi-agent coverage control with obstacle avoidance,” IEEE Control Syst. Lett. </w:t>
      </w:r>
      <w:r>
        <w:rPr>
          <w:b/>
        </w:rPr>
        <w:t>6</w:t>
      </w:r>
      <w:r>
        <w:t>, 944–949 (2022).</w:t>
      </w:r>
      <w:bookmarkEnd w:id="18"/>
    </w:p>
    <w:p w14:paraId="0CC9155A" w14:textId="77777777" w:rsidR="00BD3578" w:rsidRDefault="00E51F8B">
      <w:pPr>
        <w:pStyle w:val="Reference"/>
      </w:pPr>
      <w:bookmarkStart w:id="19" w:name="_Ref_bib3"/>
      <w:r>
        <w:t xml:space="preserve">Y. Bai, Y. Wang, X. Xiong, J. Song, and M. M. Svinin, “Safe adaptive multi-agent coverage control,” IEEE Control Syst. Lett. </w:t>
      </w:r>
      <w:r>
        <w:rPr>
          <w:b/>
        </w:rPr>
        <w:t>7</w:t>
      </w:r>
      <w:r>
        <w:t>, 3217–3222 (2023).</w:t>
      </w:r>
      <w:bookmarkEnd w:id="19"/>
    </w:p>
    <w:p w14:paraId="1944DE83" w14:textId="77777777" w:rsidR="00BD3578" w:rsidRDefault="00E51F8B">
      <w:pPr>
        <w:pStyle w:val="Reference"/>
      </w:pPr>
      <w:bookmarkStart w:id="20" w:name="_Ref_bib4"/>
      <w:r>
        <w:t xml:space="preserve">K. Cao, Y. Chen, S. Gao, H. Dang, and D. An, “Distributed weighted coverage for multi-robot systems in non-convex environment,” Appl. Sci. </w:t>
      </w:r>
      <w:r>
        <w:rPr>
          <w:b/>
        </w:rPr>
        <w:t>13</w:t>
      </w:r>
      <w:r>
        <w:t>, 8530 (2023).</w:t>
      </w:r>
      <w:bookmarkEnd w:id="20"/>
    </w:p>
    <w:p w14:paraId="0218FFA4" w14:textId="77777777" w:rsidR="00BD3578" w:rsidRDefault="00E51F8B">
      <w:pPr>
        <w:pStyle w:val="Reference"/>
      </w:pPr>
      <w:bookmarkStart w:id="21" w:name="_Ref_bib5"/>
      <w:r>
        <w:t xml:space="preserve">K. Lee and K. Lee, “Adaptive centroidal Voronoi tessellation with agent dropout and reinsertion for multi-agent non-convex area coverage,” IEEE Access </w:t>
      </w:r>
      <w:r>
        <w:rPr>
          <w:b/>
        </w:rPr>
        <w:t>12</w:t>
      </w:r>
      <w:r>
        <w:t>, 5503–5516 (2024).</w:t>
      </w:r>
      <w:bookmarkEnd w:id="21"/>
    </w:p>
    <w:p w14:paraId="1413E4F6" w14:textId="77777777" w:rsidR="00BD3578" w:rsidRDefault="00E51F8B">
      <w:pPr>
        <w:pStyle w:val="Reference"/>
      </w:pPr>
      <w:bookmarkStart w:id="22" w:name="_Ref_bib6"/>
      <w:r>
        <w:t xml:space="preserve">C. S. Tan, R. Mohd-Mokhtar, and M. R. Arshad, “A comprehensive review of coverage path planning in robotics using classical and heuristic algorithms,” IEEE Access </w:t>
      </w:r>
      <w:r>
        <w:rPr>
          <w:b/>
        </w:rPr>
        <w:t>9</w:t>
      </w:r>
      <w:r>
        <w:t>, 119310–119342 (2021).</w:t>
      </w:r>
      <w:bookmarkEnd w:id="22"/>
    </w:p>
    <w:p w14:paraId="5A43758E" w14:textId="77777777" w:rsidR="00BD3578" w:rsidRDefault="00E51F8B">
      <w:pPr>
        <w:pStyle w:val="Reference"/>
      </w:pPr>
      <w:bookmarkStart w:id="23" w:name="_Ref_bib7"/>
      <w:r>
        <w:t xml:space="preserve">S. Hu, T. Xu, and B. Wang, “Route-planning method for plant protection rotor drones in convex polygon regions,” Sensors </w:t>
      </w:r>
      <w:r>
        <w:rPr>
          <w:b/>
        </w:rPr>
        <w:t>21</w:t>
      </w:r>
      <w:r>
        <w:t>, 2221 (2021).</w:t>
      </w:r>
      <w:bookmarkEnd w:id="23"/>
    </w:p>
    <w:p w14:paraId="69019E4D" w14:textId="77777777" w:rsidR="00BD3578" w:rsidRDefault="00E51F8B">
      <w:pPr>
        <w:pStyle w:val="Reference"/>
      </w:pPr>
      <w:bookmarkStart w:id="24" w:name="_Ref_bib8"/>
      <w:r>
        <w:t xml:space="preserve">G. Fevgas, T. Lagkas, V. Argyriou, and P. Sarigiannidis, “Coverage path planning methods focusing on energy efficient and cooperative strategies for unmanned aerial vehicles,” Sensors </w:t>
      </w:r>
      <w:r>
        <w:rPr>
          <w:b/>
        </w:rPr>
        <w:t>22</w:t>
      </w:r>
      <w:r>
        <w:t>, 1235 (2022).</w:t>
      </w:r>
      <w:bookmarkEnd w:id="24"/>
    </w:p>
    <w:p w14:paraId="7E22E861" w14:textId="77777777" w:rsidR="00BD3578" w:rsidRDefault="00E51F8B">
      <w:pPr>
        <w:pStyle w:val="Reference"/>
      </w:pPr>
      <w:bookmarkStart w:id="25" w:name="_Ref_bib9"/>
      <w:r>
        <w:t xml:space="preserve">M. A. Luna, M. Molina, R. Da-Silva-Gomez, J. Melero-Deza, P. Arias-Perez, and P. Campoy, “A multi-UAV system for coverage path planning applications with in-flight re-planning capabilities,” J. Field Robot. </w:t>
      </w:r>
      <w:r>
        <w:rPr>
          <w:b/>
        </w:rPr>
        <w:t>41</w:t>
      </w:r>
      <w:r>
        <w:t>, 1480–1497 (2024).</w:t>
      </w:r>
      <w:bookmarkEnd w:id="25"/>
    </w:p>
    <w:p w14:paraId="1C39CD79" w14:textId="77777777" w:rsidR="00BD3578" w:rsidRDefault="00E51F8B">
      <w:pPr>
        <w:pStyle w:val="Reference"/>
      </w:pPr>
      <w:bookmarkStart w:id="26" w:name="_Ref_bib10"/>
      <w:r>
        <w:t xml:space="preserve">A. D. Ames, X. Xu, J. W. Grizzle, and P. Tabuada, “Control barrier function based quadratic programs for safety critical systems,” IEEE Trans. Autom. Control </w:t>
      </w:r>
      <w:r>
        <w:rPr>
          <w:b/>
        </w:rPr>
        <w:t>62</w:t>
      </w:r>
      <w:r>
        <w:t>, 3861–3876 (2017).</w:t>
      </w:r>
      <w:bookmarkEnd w:id="26"/>
    </w:p>
    <w:p w14:paraId="708C54B9" w14:textId="77777777" w:rsidR="00BD3578" w:rsidRDefault="00E51F8B">
      <w:pPr>
        <w:pStyle w:val="Reference"/>
      </w:pPr>
      <w:bookmarkStart w:id="27" w:name="_Ref_bib11"/>
      <w:r>
        <w:t xml:space="preserve">K.-C. Hsu, H. Hu, and J. F. Fisac, “The safety filter: A unified view of safety-critical control in autonomous systems,” Annu. Rev. Control Robot. Auton. Syst. </w:t>
      </w:r>
      <w:r>
        <w:rPr>
          <w:b/>
        </w:rPr>
        <w:t>7</w:t>
      </w:r>
      <w:r>
        <w:t>, 47–72 (2024).</w:t>
      </w:r>
      <w:bookmarkEnd w:id="27"/>
    </w:p>
    <w:p w14:paraId="529B3F22" w14:textId="77777777" w:rsidR="00BD3578" w:rsidRDefault="00E51F8B">
      <w:pPr>
        <w:pStyle w:val="Reference"/>
      </w:pPr>
      <w:bookmarkStart w:id="28" w:name="_Ref_bib12"/>
      <w:r>
        <w:t xml:space="preserve">W. Xiao and C. Belta, “High-order control barrier functions,” IEEE Trans. Autom. Control </w:t>
      </w:r>
      <w:r>
        <w:rPr>
          <w:b/>
        </w:rPr>
        <w:t>67</w:t>
      </w:r>
      <w:r>
        <w:t>, 3655–3662 (2022).</w:t>
      </w:r>
      <w:bookmarkEnd w:id="28"/>
    </w:p>
    <w:p w14:paraId="28D1D3FE" w14:textId="77777777" w:rsidR="00BD3578" w:rsidRDefault="00E51F8B">
      <w:pPr>
        <w:pStyle w:val="Reference"/>
      </w:pPr>
      <w:bookmarkStart w:id="29" w:name="_Ref_bib13"/>
      <w:r>
        <w:t xml:space="preserve">K. Garg, S. Zhang, O. So, C. Dawson, and C. Fan, “Learning safe control for multi-robot systems: Methods, verification, and open challenges,” Annu. Rev. Control </w:t>
      </w:r>
      <w:r>
        <w:rPr>
          <w:b/>
        </w:rPr>
        <w:t>57</w:t>
      </w:r>
      <w:r>
        <w:t>, 100948 (2024).</w:t>
      </w:r>
      <w:bookmarkEnd w:id="29"/>
    </w:p>
    <w:p w14:paraId="14BE8C8B" w14:textId="77777777" w:rsidR="00BD3578" w:rsidRDefault="00E51F8B">
      <w:pPr>
        <w:pStyle w:val="Reference"/>
      </w:pPr>
      <w:bookmarkStart w:id="30" w:name="_Ref_bib14"/>
      <w:r>
        <w:t xml:space="preserve">M. Tayal, R. Singh, J. Keshavan, and S. Kolathaya, “Control barrier functions in dynamic UAVs for kinematic obstacle avoidance: A collision cone approach,” in </w:t>
      </w:r>
      <w:r>
        <w:rPr>
          <w:i/>
        </w:rPr>
        <w:t>2024 American Control Conference (ACC)</w:t>
      </w:r>
      <w:r>
        <w:t xml:space="preserve"> (IEEE, Toronto, Canada, 2024) pp. 3722–3727.</w:t>
      </w:r>
      <w:bookmarkEnd w:id="30"/>
    </w:p>
    <w:p w14:paraId="6D227F18" w14:textId="77777777" w:rsidR="00BD3578" w:rsidRDefault="00E51F8B">
      <w:pPr>
        <w:pStyle w:val="Reference"/>
      </w:pPr>
      <w:bookmarkStart w:id="31" w:name="_Ref_bib15"/>
      <w:r>
        <w:t xml:space="preserve">P. Abichandani, D. Lobo, M. Muralidharan, N. Runk, W. McIntyre, D. Bucci, and H. Benson, “Distributed motion planning for multiple quadrotors in presence of wind gusts,” Drones </w:t>
      </w:r>
      <w:r>
        <w:rPr>
          <w:b/>
        </w:rPr>
        <w:t>7</w:t>
      </w:r>
      <w:r>
        <w:t>, 58 (2023).</w:t>
      </w:r>
      <w:bookmarkEnd w:id="31"/>
    </w:p>
    <w:p w14:paraId="5F72AA50" w14:textId="77777777" w:rsidR="00BD3578" w:rsidRDefault="00E51F8B">
      <w:pPr>
        <w:pStyle w:val="Reference"/>
      </w:pPr>
      <w:bookmarkStart w:id="32" w:name="_Ref_bib16"/>
      <w:r>
        <w:t xml:space="preserve">J. C. Doyle, K. Glover, P. P. Khargonekar, and B. A. Francis, “State-space solutions to standard </w:t>
      </w:r>
      <w:r>
        <w:rPr>
          <w:i/>
        </w:rPr>
        <w:t>H</w:t>
      </w:r>
      <w:r>
        <w:rPr>
          <w:vertAlign w:val="subscript"/>
        </w:rPr>
        <w:t>2</w:t>
      </w:r>
      <w:r>
        <w:t xml:space="preserve"> and </w:t>
      </w:r>
      <w:r>
        <w:rPr>
          <w:i/>
        </w:rPr>
        <w:t>H</w:t>
      </w:r>
      <w:r>
        <w:rPr>
          <w:vertAlign w:val="subscript"/>
        </w:rPr>
        <w:t>∞</w:t>
      </w:r>
      <w:r>
        <w:t xml:space="preserve"> control problems,” IEEE Trans. Autom. Control </w:t>
      </w:r>
      <w:r>
        <w:rPr>
          <w:b/>
        </w:rPr>
        <w:t>34</w:t>
      </w:r>
      <w:r>
        <w:t>, 831–847 (1989).</w:t>
      </w:r>
      <w:bookmarkEnd w:id="32"/>
    </w:p>
    <w:p w14:paraId="4CFC9CCC" w14:textId="77777777" w:rsidR="00BD3578" w:rsidRDefault="00E51F8B">
      <w:pPr>
        <w:pStyle w:val="Reference"/>
      </w:pPr>
      <w:bookmarkStart w:id="33" w:name="_Ref_bib17"/>
      <w:r>
        <w:t xml:space="preserve">Z. Zyadat, N. Horri, M. Innocente, and T. Statheros, “Observer-based optimal control of a quadplane with active wind disturbance and actuator fault rejection,” Sensors </w:t>
      </w:r>
      <w:r>
        <w:rPr>
          <w:b/>
        </w:rPr>
        <w:t>23</w:t>
      </w:r>
      <w:r>
        <w:t>, 1954 (2023).</w:t>
      </w:r>
      <w:bookmarkEnd w:id="33"/>
    </w:p>
    <w:p w14:paraId="121820DE" w14:textId="77777777" w:rsidR="00BD3578" w:rsidRDefault="00E51F8B">
      <w:pPr>
        <w:pStyle w:val="Reference"/>
      </w:pPr>
      <w:bookmarkStart w:id="34" w:name="_Ref_bib18"/>
      <w:r>
        <w:t xml:space="preserve">J. O’Keeffe, “Anticipating degradation: A predictive approach to fault tolerance in robot swarms,” IEEE Robot. Autom. Lett. </w:t>
      </w:r>
      <w:r>
        <w:rPr>
          <w:b/>
        </w:rPr>
        <w:t>10</w:t>
      </w:r>
      <w:r>
        <w:t>, 8954–8961 (2025).</w:t>
      </w:r>
      <w:bookmarkEnd w:id="34"/>
    </w:p>
    <w:p w14:paraId="42B1A78F" w14:textId="77777777" w:rsidR="00BD3578" w:rsidRDefault="00E51F8B">
      <w:pPr>
        <w:pStyle w:val="Reference"/>
      </w:pPr>
      <w:bookmarkStart w:id="35" w:name="_Ref_bib19"/>
      <w:r>
        <w:t xml:space="preserve">I. A. Herdian, E. Ekawati, F. Mukhlish, and P. Prabaswara, “Decentralized formation control system design for swarm quadcopters using an improved artificial potential field and event-based reconfiguration control,” J. King Saud Univ. Eng. Sci. </w:t>
      </w:r>
      <w:r>
        <w:rPr>
          <w:b/>
        </w:rPr>
        <w:t>38</w:t>
      </w:r>
      <w:r>
        <w:t>, 41 (2026).</w:t>
      </w:r>
      <w:bookmarkEnd w:id="35"/>
    </w:p>
    <w:p w14:paraId="3475FAA8" w14:textId="77777777" w:rsidR="00BD3578" w:rsidRDefault="00E51F8B">
      <w:pPr>
        <w:pStyle w:val="Reference"/>
      </w:pPr>
      <w:bookmarkStart w:id="36" w:name="_Ref_bib20"/>
      <w:r>
        <w:t xml:space="preserve">S. Macenski, T. Foote, B. Gerkey, C. Lalancette, and W. Woodall, “Robot operating system 2: Design, architecture, and uses in the wild,” Sci. Robot. </w:t>
      </w:r>
      <w:r>
        <w:rPr>
          <w:b/>
        </w:rPr>
        <w:t>7</w:t>
      </w:r>
      <w:r>
        <w:t>, eabm6074 (2022).</w:t>
      </w:r>
      <w:bookmarkEnd w:id="36"/>
    </w:p>
    <w:p w14:paraId="2D1DD37A" w14:textId="77777777" w:rsidR="00BD3578" w:rsidRDefault="00E51F8B">
      <w:pPr>
        <w:pStyle w:val="Reference"/>
      </w:pPr>
      <w:bookmarkStart w:id="37" w:name="_Ref_bib21"/>
      <w:r>
        <w:t xml:space="preserve">N. Koenig and A. Howard, “Design and use paradigms for Gazebo, an open-source multi-robot simulator,” in </w:t>
      </w:r>
      <w:r>
        <w:rPr>
          <w:i/>
        </w:rPr>
        <w:t>2004 IEEE/RSJ International Conference on Intelligent Robots and Systems (IROS)</w:t>
      </w:r>
      <w:r>
        <w:t>, Vol. 3 (IEEE, Sendai, Japan, 2004) pp. 2149–2154.</w:t>
      </w:r>
      <w:bookmarkEnd w:id="37"/>
    </w:p>
    <w:p w14:paraId="6C46BDFE" w14:textId="77777777" w:rsidR="00BD3578" w:rsidRDefault="00E51F8B">
      <w:pPr>
        <w:pStyle w:val="Reference"/>
      </w:pPr>
      <w:bookmarkStart w:id="38" w:name="_Ref_bib22"/>
      <w:r>
        <w:t xml:space="preserve">A. Miranda-Moya, H. Castañeda, and H. Wang, “Fixed-time extended observer-based adaptive sliding mode control for a quadrotor UAV under severe turbulent wind,” Drones </w:t>
      </w:r>
      <w:r>
        <w:rPr>
          <w:b/>
        </w:rPr>
        <w:t>7</w:t>
      </w:r>
      <w:r>
        <w:t>, 700 (2023).</w:t>
      </w:r>
      <w:bookmarkEnd w:id="38"/>
    </w:p>
    <w:p w14:paraId="70F3AED5" w14:textId="77777777" w:rsidR="00BD3578" w:rsidRDefault="00E51F8B">
      <w:pPr>
        <w:pStyle w:val="Reference"/>
      </w:pPr>
      <w:bookmarkStart w:id="39" w:name="_Ref_bib23"/>
      <w:r>
        <w:t xml:space="preserve">P. De Petris, H. Nguyen, M. Dharmadhikari, M. Kulkarni, N. Khedekar, F. Mascarich, and K. Alexis, “RMF-Owl: A collision-tolerant flying robot for autonomous subterranean exploration,” in </w:t>
      </w:r>
      <w:r>
        <w:rPr>
          <w:i/>
        </w:rPr>
        <w:t>2022 International Conference on Unmanned Aircraft Systems (ICUAS)</w:t>
      </w:r>
      <w:r>
        <w:t xml:space="preserve"> (IEEE, Dubrovnik, Croatia, 2022) pp. 536–543.</w:t>
      </w:r>
      <w:bookmarkEnd w:id="39"/>
    </w:p>
    <w:sectPr w:rsidR="00BD3578" w:rsidSect="00D30640">
      <w:pgSz w:w="12240" w:h="15840"/>
      <w:pgMar w:top="1440" w:right="1440" w:bottom="1699"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5"/>
  </w:num>
  <w:num w:numId="2" w16cid:durableId="1623537524">
    <w:abstractNumId w:val="3"/>
  </w:num>
  <w:num w:numId="3" w16cid:durableId="333149680">
    <w:abstractNumId w:val="12"/>
  </w:num>
  <w:num w:numId="4" w16cid:durableId="1958750756">
    <w:abstractNumId w:val="7"/>
  </w:num>
  <w:num w:numId="5" w16cid:durableId="1466237890">
    <w:abstractNumId w:val="11"/>
  </w:num>
  <w:num w:numId="6" w16cid:durableId="846751398">
    <w:abstractNumId w:val="4"/>
  </w:num>
  <w:num w:numId="7" w16cid:durableId="982584711">
    <w:abstractNumId w:val="6"/>
  </w:num>
  <w:num w:numId="8" w16cid:durableId="247734440">
    <w:abstractNumId w:val="1"/>
  </w:num>
  <w:num w:numId="9" w16cid:durableId="1514879319">
    <w:abstractNumId w:val="14"/>
  </w:num>
  <w:num w:numId="10" w16cid:durableId="1383210328">
    <w:abstractNumId w:val="9"/>
  </w:num>
  <w:num w:numId="11" w16cid:durableId="1513061117">
    <w:abstractNumId w:val="13"/>
  </w:num>
  <w:num w:numId="12" w16cid:durableId="958226418">
    <w:abstractNumId w:val="10"/>
  </w:num>
  <w:num w:numId="13" w16cid:durableId="771170886">
    <w:abstractNumId w:val="5"/>
  </w:num>
  <w:num w:numId="14" w16cid:durableId="1315187322">
    <w:abstractNumId w:val="14"/>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1"/>
  </w:num>
  <w:num w:numId="30" w16cid:durableId="1575971747">
    <w:abstractNumId w:val="11"/>
  </w:num>
  <w:num w:numId="31" w16cid:durableId="1939214429">
    <w:abstractNumId w:val="11"/>
    <w:lvlOverride w:ilvl="0">
      <w:startOverride w:val="1"/>
    </w:lvlOverride>
  </w:num>
  <w:num w:numId="32" w16cid:durableId="1782339355">
    <w:abstractNumId w:val="11"/>
  </w:num>
  <w:num w:numId="33" w16cid:durableId="957906086">
    <w:abstractNumId w:val="11"/>
    <w:lvlOverride w:ilvl="0">
      <w:startOverride w:val="1"/>
    </w:lvlOverride>
  </w:num>
  <w:num w:numId="34" w16cid:durableId="1087652185">
    <w:abstractNumId w:val="11"/>
    <w:lvlOverride w:ilvl="0">
      <w:startOverride w:val="1"/>
    </w:lvlOverride>
  </w:num>
  <w:num w:numId="35" w16cid:durableId="1054889863">
    <w:abstractNumId w:val="12"/>
    <w:lvlOverride w:ilvl="0">
      <w:startOverride w:val="1"/>
    </w:lvlOverride>
  </w:num>
  <w:num w:numId="36" w16cid:durableId="1812165908">
    <w:abstractNumId w:val="12"/>
  </w:num>
  <w:num w:numId="37" w16cid:durableId="1903178079">
    <w:abstractNumId w:val="12"/>
    <w:lvlOverride w:ilvl="0">
      <w:startOverride w:val="1"/>
    </w:lvlOverride>
  </w:num>
  <w:num w:numId="38" w16cid:durableId="1316564979">
    <w:abstractNumId w:val="12"/>
  </w:num>
  <w:num w:numId="39" w16cid:durableId="874267395">
    <w:abstractNumId w:val="12"/>
    <w:lvlOverride w:ilvl="0">
      <w:startOverride w:val="1"/>
    </w:lvlOverride>
  </w:num>
  <w:num w:numId="40" w16cid:durableId="1368025285">
    <w:abstractNumId w:val="12"/>
    <w:lvlOverride w:ilvl="0">
      <w:startOverride w:val="1"/>
    </w:lvlOverride>
  </w:num>
  <w:num w:numId="41" w16cid:durableId="944078796">
    <w:abstractNumId w:val="12"/>
    <w:lvlOverride w:ilvl="0">
      <w:startOverride w:val="1"/>
    </w:lvlOverride>
  </w:num>
  <w:num w:numId="42" w16cid:durableId="996031766">
    <w:abstractNumId w:val="12"/>
  </w:num>
  <w:num w:numId="43" w16cid:durableId="1289776494">
    <w:abstractNumId w:val="12"/>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236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525813"/>
    <w:rsid w:val="0053513F"/>
    <w:rsid w:val="00542C4C"/>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47E5"/>
    <w:rsid w:val="008F7046"/>
    <w:rsid w:val="009005FC"/>
    <w:rsid w:val="009019BD"/>
    <w:rsid w:val="00922E5A"/>
    <w:rsid w:val="00924AA4"/>
    <w:rsid w:val="00943315"/>
    <w:rsid w:val="00946C27"/>
    <w:rsid w:val="009A4F3D"/>
    <w:rsid w:val="009B696B"/>
    <w:rsid w:val="009B7671"/>
    <w:rsid w:val="009E5BA1"/>
    <w:rsid w:val="009F056E"/>
    <w:rsid w:val="00A127B6"/>
    <w:rsid w:val="00A24F3D"/>
    <w:rsid w:val="00A26DCD"/>
    <w:rsid w:val="00A314BB"/>
    <w:rsid w:val="00A32B7D"/>
    <w:rsid w:val="00A5596B"/>
    <w:rsid w:val="00A646B3"/>
    <w:rsid w:val="00A6739B"/>
    <w:rsid w:val="00A765A2"/>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D3578"/>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51F8B"/>
    <w:rsid w:val="00E904A1"/>
    <w:rsid w:val="00EB7D28"/>
    <w:rsid w:val="00EC0D0C"/>
    <w:rsid w:val="00ED4A2C"/>
    <w:rsid w:val="00EF6940"/>
    <w:rsid w:val="00F2044A"/>
    <w:rsid w:val="00F20BFC"/>
    <w:rsid w:val="00F24D5F"/>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3EED3"/>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youtube.com/playlist?list=PLfxyCAwHmhHI"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https://github.com/izmaherdian/swarm-quadrotor-mapping" TargetMode="Externa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4.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8_point5_x11_single_column_template.dotx</Template>
  <TotalTime>7</TotalTime>
  <Pages>8</Pages>
  <Words>4324</Words>
  <Characters>24653</Characters>
  <Application>Microsoft Office Word</Application>
  <DocSecurity>0</DocSecurity>
  <Lines>205</Lines>
  <Paragraphs>57</Paragraphs>
  <ScaleCrop>false</ScaleCrop>
  <Company>PPI</Company>
  <LinksUpToDate>false</LinksUpToDate>
  <CharactersWithSpaces>28920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Swarm Quadrotor Control for Non-Convex Geodetic Mapping</dc:title>
  <dc:subject/>
  <dc:creator>Izma Alhazmi Herdian, Sulthan Naufal Affan, Estiyanti Ekawati</dc:creator>
  <cp:keywords/>
  <cp:lastModifiedBy>Izma Alhazmi Herdian</cp:lastModifiedBy>
  <cp:revision>5</cp:revision>
  <cp:lastPrinted>2026-09-20T13:49:00Z</cp:lastPrinted>
  <dcterms:created xsi:type="dcterms:W3CDTF">2026-09-15T08:09:00Z</dcterms:created>
  <dcterms:modified xsi:type="dcterms:W3CDTF">2026-09-20T13:50:00Z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MSIP_Label_38b525e5-f3da-4501-8f1e-526b6769fc56_Enabled">
    <vt:lpwstr>true</vt:lpwstr>
  </property>
  <property fmtid="{D5CDD505-2E9C-101B-9397-08002B2CF9AE}" pid="4" name="MSIP_Label_38b525e5-f3da-4501-8f1e-526b6769fc56_SetDate">
    <vt:lpwstr>2026-09-15T08:09:59Z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05aa292a-8797-4367-a860-6c7b009916d9</vt:lpwstr>
  </property>
  <property fmtid="{D5CDD505-2E9C-101B-9397-08002B2CF9AE}" pid="9" name="MSIP_Label_38b525e5-f3da-4501-8f1e-526b6769fc56_ContentBits">
    <vt:lpwstr>0</vt:lpwstr>
  </property>
  <property fmtid="{D5CDD505-2E9C-101B-9397-08002B2CF9AE}" pid="10" name="MSIP_Label_38b525e5-f3da-4501-8f1e-526b6769fc56_Tag">
    <vt:lpwstr>10, 3, 0, 1</vt:lpwstr>
  </property>
</Properties>
</file>