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AD85" w14:textId="77777777" w:rsidR="006C49C9" w:rsidRDefault="00000000">
      <w:pPr>
        <w:pStyle w:val="PaperTitle"/>
        <w:spacing w:before="0"/>
        <w:rPr>
          <w:b w:val="0"/>
          <w:bCs/>
          <w:sz w:val="24"/>
          <w:szCs w:val="24"/>
        </w:rPr>
      </w:pPr>
      <w:r>
        <w:t xml:space="preserve">Multi Layer Swarm Quadrotor Architecture for Autonomous Non-Convex Geodesic Mapping with Fault-Tolerant Cooperative Coverage </w:t>
      </w:r>
      <w:r>
        <w:br/>
      </w:r>
    </w:p>
    <w:p w14:paraId="7CE8B6E2" w14:textId="79108E91" w:rsidR="006C49C9" w:rsidRDefault="00000000">
      <w:pPr>
        <w:pStyle w:val="AuthorName"/>
        <w:rPr>
          <w:sz w:val="20"/>
          <w:lang w:val="en-GB" w:eastAsia="en-GB"/>
        </w:rPr>
      </w:pPr>
      <w:r>
        <w:t>Izma Alhazmi Herdian</w:t>
      </w:r>
      <w:r>
        <w:rPr>
          <w:vertAlign w:val="superscript"/>
        </w:rPr>
        <w:t>1,3,a)</w:t>
      </w:r>
      <w:r>
        <w:t>, Sulthan Naufal Affan</w:t>
      </w:r>
      <w:r>
        <w:rPr>
          <w:vertAlign w:val="superscript"/>
        </w:rPr>
        <w:t>1,b)</w:t>
      </w:r>
      <w:r>
        <w:t>,  and Estiyanti Ekawati</w:t>
      </w:r>
      <w:r>
        <w:rPr>
          <w:vertAlign w:val="superscript"/>
        </w:rPr>
        <w:t>2,3,c),*</w:t>
      </w:r>
    </w:p>
    <w:p w14:paraId="06BCE7B4" w14:textId="77777777" w:rsidR="006C49C9" w:rsidRDefault="00000000">
      <w:pPr>
        <w:pStyle w:val="AuthorAffiliation"/>
        <w:rPr>
          <w:i w:val="0"/>
          <w:iCs/>
          <w:vertAlign w:val="superscript"/>
        </w:rPr>
      </w:pPr>
      <w:r>
        <w:rPr>
          <w:i w:val="0"/>
          <w:iCs/>
          <w:vertAlign w:val="superscript"/>
        </w:rPr>
        <w:t>1</w:t>
      </w:r>
      <w:r>
        <w:rPr>
          <w:i w:val="0"/>
          <w:iCs/>
        </w:rPr>
        <w:t>Master Program of Instrumentation and Control, Faculty of Industrial Technology, Institut Teknologi Bandung, Bandung, Indonesia, 40132</w:t>
      </w:r>
    </w:p>
    <w:p w14:paraId="18119193" w14:textId="77777777" w:rsidR="006C49C9" w:rsidRDefault="00000000">
      <w:pPr>
        <w:pStyle w:val="AuthorAffiliation"/>
      </w:pPr>
      <w:r>
        <w:rPr>
          <w:i w:val="0"/>
          <w:iCs/>
          <w:vertAlign w:val="superscript"/>
        </w:rPr>
        <w:t>2</w:t>
      </w:r>
      <w:r>
        <w:rPr>
          <w:i w:val="0"/>
          <w:iCs/>
        </w:rPr>
        <w:t>Engineering Physics Department, Faculty of Industrial Technology, Institut Teknologi Bandung, Bandung, Indonesia, 40132</w:t>
      </w:r>
    </w:p>
    <w:p w14:paraId="750A7C2E" w14:textId="77777777" w:rsidR="006C49C9" w:rsidRDefault="00000000">
      <w:pPr>
        <w:pStyle w:val="AuthorAffiliation"/>
      </w:pPr>
      <w:r>
        <w:rPr>
          <w:i w:val="0"/>
          <w:iCs/>
          <w:vertAlign w:val="superscript"/>
        </w:rPr>
        <w:t>3</w:t>
      </w:r>
      <w:r>
        <w:rPr>
          <w:i w:val="0"/>
          <w:iCs/>
        </w:rPr>
        <w:t>Center for Instrumentation Technology and Automation, Institut Teknologi Bandung, Bandung, Indonesia, 40132</w:t>
      </w:r>
      <w:r>
        <w:br/>
      </w:r>
    </w:p>
    <w:p w14:paraId="2E4AF15D" w14:textId="0B3A4E8F" w:rsidR="006C49C9" w:rsidRDefault="00000000">
      <w:pPr>
        <w:pStyle w:val="AuthorAffiliation"/>
      </w:pPr>
      <w:r>
        <w:rPr>
          <w:szCs w:val="28"/>
          <w:vertAlign w:val="superscript"/>
        </w:rPr>
        <w:t>a)</w:t>
      </w:r>
      <w:r>
        <w:t xml:space="preserve"> </w:t>
      </w:r>
      <w:r>
        <w:rPr>
          <w:iCs/>
        </w:rPr>
        <w:t>izmaherdian@gmail.com</w:t>
      </w:r>
      <w:r>
        <w:br/>
      </w:r>
      <w:r>
        <w:rPr>
          <w:szCs w:val="28"/>
          <w:vertAlign w:val="superscript"/>
        </w:rPr>
        <w:t>b)</w:t>
      </w:r>
      <w:r>
        <w:rPr>
          <w:iCs/>
        </w:rPr>
        <w:t>sulthannaufal96@gmail.com</w:t>
      </w:r>
    </w:p>
    <w:p w14:paraId="0C1A51FB" w14:textId="77777777" w:rsidR="006C49C9" w:rsidRDefault="00000000">
      <w:pPr>
        <w:pStyle w:val="AuthorEmail"/>
      </w:pPr>
      <w:r>
        <w:rPr>
          <w:vertAlign w:val="superscript"/>
        </w:rPr>
        <w:t>c),*</w:t>
      </w:r>
      <w:r>
        <w:t xml:space="preserve">corresponding author: </w:t>
      </w:r>
      <w:r>
        <w:rPr>
          <w:i/>
          <w:iCs/>
        </w:rPr>
        <w:t>esti@itb.ac.id</w:t>
      </w:r>
      <w:r>
        <w:br/>
      </w:r>
    </w:p>
    <w:p w14:paraId="68C7D1D0" w14:textId="1A31751B" w:rsidR="006C49C9" w:rsidRDefault="00000000" w:rsidP="003C535B">
      <w:pPr>
        <w:pStyle w:val="Abstract"/>
      </w:pPr>
      <w:r>
        <w:rPr>
          <w:b/>
          <w:bCs/>
        </w:rPr>
        <w:t>Abstract.</w:t>
      </w:r>
      <w:r w:rsidR="003C535B">
        <w:t xml:space="preserve"> </w:t>
      </w:r>
      <w:r w:rsidR="003C535B">
        <w:t>Autonomous swarm quadrotor systems have emerged as a</w:t>
      </w:r>
      <w:r w:rsidR="003C535B">
        <w:t xml:space="preserve"> </w:t>
      </w:r>
      <w:r w:rsidR="003C535B">
        <w:t>promising solution for large-scale geodetic mapping in complex environments.</w:t>
      </w:r>
      <w:r w:rsidR="003C535B">
        <w:t xml:space="preserve"> </w:t>
      </w:r>
      <w:r w:rsidR="003C535B">
        <w:t>This paper proposes a three-layer control architecture for resilient non-convex</w:t>
      </w:r>
      <w:r w:rsidR="003C535B">
        <w:t xml:space="preserve"> </w:t>
      </w:r>
      <w:r w:rsidR="003C535B">
        <w:t>geodesic mapping using a quadrotor swarm. The high-level layer employs</w:t>
      </w:r>
      <w:r w:rsidR="003C535B">
        <w:t xml:space="preserve"> </w:t>
      </w:r>
      <w:r w:rsidR="003C535B">
        <w:t>Voronoi-based non-convex region partitioning integrated with Boustrophedon</w:t>
      </w:r>
      <w:r w:rsidR="003C535B">
        <w:t xml:space="preserve"> </w:t>
      </w:r>
      <w:r w:rsidR="003C535B">
        <w:t>path planning and Fault-Tolerant Cooperative Coverage (FT-CC) for adaptive</w:t>
      </w:r>
      <w:r w:rsidR="003C535B">
        <w:t xml:space="preserve"> </w:t>
      </w:r>
      <w:r w:rsidR="003C535B">
        <w:t>task redistribution under failures. The mid-level layer utilizes Optimal</w:t>
      </w:r>
      <w:r w:rsidR="003C535B">
        <w:t xml:space="preserve"> </w:t>
      </w:r>
      <w:r w:rsidR="003C535B">
        <w:t>Reciprocal Collision Avoidance (ORCA) for decentralized collision-free</w:t>
      </w:r>
      <w:r w:rsidR="003C535B">
        <w:t xml:space="preserve"> </w:t>
      </w:r>
      <w:r w:rsidR="003C535B">
        <w:t xml:space="preserve">navigation. The low-level layer employs a cascaded PID control architecture, comparing optimal LQR synthesis with robust </w:t>
      </w:r>
      <m:oMath>
        <m:sSub>
          <m:sSubPr>
            <m:ctrlPr>
              <w:rPr>
                <w:rFonts w:ascii="Cambria Math" w:hAnsi="Cambria Math"/>
                <w:i/>
              </w:rPr>
            </m:ctrlPr>
          </m:sSubPr>
          <m:e>
            <m:r>
              <w:rPr>
                <w:rFonts w:ascii="Cambria Math" w:hAnsi="Cambria Math"/>
              </w:rPr>
              <m:t>H</m:t>
            </m:r>
          </m:e>
          <m:sub>
            <m:r>
              <w:rPr>
                <w:rFonts w:ascii="Cambria Math" w:hAnsi="Cambria Math"/>
              </w:rPr>
              <m:t>∞</m:t>
            </m:r>
          </m:sub>
        </m:sSub>
      </m:oMath>
      <w:r w:rsidR="003C535B">
        <w:t xml:space="preserve"> synthesis (HARE) for attitude and position tracking under external disturbances. The framework is validated through high-fidelity simulation</w:t>
      </w:r>
      <w:r w:rsidR="003C535B">
        <w:t xml:space="preserve"> i</w:t>
      </w:r>
      <w:r w:rsidR="003C535B">
        <w:t>n ROS2 Lyrical, Gazebo Harmonic, and PX4 SITL. Expected results indicate</w:t>
      </w:r>
      <w:r w:rsidR="003C535B">
        <w:t xml:space="preserve"> </w:t>
      </w:r>
      <w:r w:rsidR="0062503D">
        <w:t>90-95</w:t>
      </w:r>
      <w:r w:rsidR="003C535B">
        <w:t>% coverage of non-convex regions with zero inter-robot collisions,</w:t>
      </w:r>
      <w:r w:rsidR="003C535B">
        <w:t xml:space="preserve"> </w:t>
      </w:r>
      <w:r w:rsidR="003C535B">
        <w:t>demonstrating the potential of the proposed architecture for real-world</w:t>
      </w:r>
      <w:r w:rsidR="003C535B">
        <w:t xml:space="preserve"> </w:t>
      </w:r>
      <w:r w:rsidR="003C535B">
        <w:t>geodetic applications.</w:t>
      </w:r>
      <w:r>
        <w:t xml:space="preserve"> </w:t>
      </w:r>
    </w:p>
    <w:p w14:paraId="54C90B47" w14:textId="379F6F5C" w:rsidR="006C49C9" w:rsidRDefault="003C535B">
      <w:pPr>
        <w:pStyle w:val="Heading1"/>
        <w:rPr>
          <w:b w:val="0"/>
          <w:caps w:val="0"/>
          <w:sz w:val="20"/>
        </w:rPr>
      </w:pPr>
      <w:r>
        <w:t>introduction</w:t>
      </w:r>
    </w:p>
    <w:p w14:paraId="3FC28027" w14:textId="7593057C" w:rsidR="006C49C9" w:rsidRDefault="003C535B" w:rsidP="003C535B">
      <w:pPr>
        <w:pStyle w:val="Paragraph"/>
      </w:pPr>
      <w:r>
        <w:t>S</w:t>
      </w:r>
      <w:r>
        <w:t>warm quadrotor systems have gained significant attention for autonomous geodetic mapping, with applications including disaster</w:t>
      </w:r>
      <w:r>
        <w:t xml:space="preserve"> </w:t>
      </w:r>
      <w:r>
        <w:t>response mapping of post-earthquake or landslide areas, precision agriculture through multispectral crop monitoring, environmental</w:t>
      </w:r>
      <w:r>
        <w:t xml:space="preserve"> </w:t>
      </w:r>
      <w:r>
        <w:t>surveillance for forest fire and pollution detection, and large-scale infrastructure inspection of pipelines and bridges. In these</w:t>
      </w:r>
      <w:r>
        <w:t xml:space="preserve"> </w:t>
      </w:r>
      <w:r>
        <w:t>scenarios, quadrotors equipped with optical cameras, multispectral sensors, or radar altimeters can effectively partition a given</w:t>
      </w:r>
      <w:r>
        <w:t xml:space="preserve"> </w:t>
      </w:r>
      <w:r>
        <w:t>territory among multiple agents, enabling rapid data acquisition over large areas through coordinated coverage. These applications</w:t>
      </w:r>
      <w:r>
        <w:t xml:space="preserve"> </w:t>
      </w:r>
      <w:r>
        <w:t>demand efficient region partitioning, robust flight control under uncertain environmental conditions, and resilient operation despite</w:t>
      </w:r>
      <w:r>
        <w:t xml:space="preserve"> </w:t>
      </w:r>
      <w:r>
        <w:t>individual vehicle failures.</w:t>
      </w:r>
      <w:r w:rsidR="00182CFF">
        <w:fldChar w:fldCharType="begin"/>
      </w:r>
      <w:r w:rsidR="00182CFF">
        <w:instrText xml:space="preserve"> ADDIN ZOTERO_ITEM CSL_CITATION {"citationID":"xp4lf3Mw","properties":{"unsorted":false,"formattedCitation":"\\super 1\\nosupersub{}","plainCitation":"1","noteIndex":0},"citationItems":[{"id":507,"uris":["http://zotero.org/users/16725567/items/V5JYIAPY"],"itemData":{"id":507,"type":"paper-conference","abstract":"In this paper, we propose different linearization control algorithms to solve the stabilization problem of the quadrotor. First we introduce the nonlinear model of the quadrotor. Then using tangent linearization method, a linear model is generated of the system where decentralized and centralized LQR control methods are applied. The second strategy is based on exact feedback linearization of the nonlinear model of the quadrotor. The comparison between these methods is highlighted by simulations to show effectiveness of the proposed methods.","citation-key":"belkheiriDifferentLinearizationControl2012a","container-title":"CCCA12","DOI":"10.1109/CCCA.2012.6417914","event-title":"2012 2nd International Conference on Communications, Computing and Control Applications (CCCA)","ISBN":"978-1-4673-4695-5","language":"en","page":"1-6","publisher":"IEEE","publisher-place":"Marseilles, France","source":"DOI.org (Crossref)","title":"Different linearization control techniques for a quadrotor system","URL":"http://ieeexplore.ieee.org/document/6417914/","author":[{"family":"Belkheiri","given":"M."},{"family":"Rabhi","given":"A."},{"family":"Hajjaji","given":"A. El"},{"family":"Pegard","given":"C."}],"accessed":{"date-parts":[["2026",7,24]]},"issued":{"date-parts":[["2012",12]]}}}],"schema":"https://github.com/citation-style-language/schema/raw/master/csl-citation.json"} </w:instrText>
      </w:r>
      <w:r w:rsidR="00182CFF">
        <w:fldChar w:fldCharType="separate"/>
      </w:r>
      <w:r w:rsidR="00182CFF" w:rsidRPr="00182CFF">
        <w:rPr>
          <w:vertAlign w:val="superscript"/>
        </w:rPr>
        <w:t>1</w:t>
      </w:r>
      <w:r w:rsidR="00182CFF">
        <w:fldChar w:fldCharType="end"/>
      </w:r>
    </w:p>
    <w:p w14:paraId="5F9810F9" w14:textId="3A750D41" w:rsidR="003C535B" w:rsidRDefault="003C535B" w:rsidP="003C535B">
      <w:pPr>
        <w:pStyle w:val="Paragraph"/>
      </w:pPr>
      <w:r>
        <w:t>Despite progress in each domain individually, several critical gaps remain. First, most coverage algorithms assume convex</w:t>
      </w:r>
      <w:r>
        <w:t xml:space="preserve"> </w:t>
      </w:r>
      <w:r>
        <w:t>operational regions, whereas real-world mapping areas are inherently non-convex with obstacles and irregular boundaries. Second,</w:t>
      </w:r>
      <w:r>
        <w:t xml:space="preserve"> </w:t>
      </w:r>
      <w:r>
        <w:t>end-to-end pipelines from region partitioning to low-level rotor control are scarce, causing integration mismatches between planning</w:t>
      </w:r>
      <w:r>
        <w:t xml:space="preserve"> </w:t>
      </w:r>
      <w:r>
        <w:t>and execution layers. Third, the systematic integration of low-level robust control, mid-level collision avoidance, and high-level</w:t>
      </w:r>
      <w:r>
        <w:t xml:space="preserve"> </w:t>
      </w:r>
      <w:r>
        <w:t>coverage planning within a unified framework has not been adequately addressed. Fourth, fault-tolerant mechanisms in cooperative</w:t>
      </w:r>
      <w:r>
        <w:t xml:space="preserve"> </w:t>
      </w:r>
      <w:r>
        <w:t>coverage for quadrotor swarms remain underexplored, particularly under communication or actuator failures. Fifth, validation in</w:t>
      </w:r>
      <w:r>
        <w:t xml:space="preserve"> </w:t>
      </w:r>
      <w:r>
        <w:t>realistic simulation environments with full quadrotor dynamics is still limited, with most studies relying on simplified kinematic</w:t>
      </w:r>
      <w:r>
        <w:t xml:space="preserve"> </w:t>
      </w:r>
      <w:r>
        <w:t>models. To address these gaps, this paper proposes a three-layer architecture integrating Voronoi-based non-convex partitioning,</w:t>
      </w:r>
      <w:r>
        <w:t xml:space="preserve"> </w:t>
      </w:r>
      <w:r>
        <w:t>Boustrophedon path planning, FT-CC, ORCA-based collision avoidance, and cascaded PID-LQR / PID</w:t>
      </w:r>
      <w:r w:rsidR="0062503D">
        <w:t>-</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robust control, validated</w:t>
      </w:r>
      <w:r>
        <w:t xml:space="preserve"> </w:t>
      </w:r>
      <w:r>
        <w:t>through high-fidelity ROS2-Gazebo-PX4 simulation.</w:t>
      </w:r>
    </w:p>
    <w:p w14:paraId="2090BF74" w14:textId="7AD6B378" w:rsidR="003C535B" w:rsidRDefault="003C535B" w:rsidP="003C535B">
      <w:pPr>
        <w:pStyle w:val="Heading1"/>
        <w:rPr>
          <w:b w:val="0"/>
          <w:caps w:val="0"/>
          <w:sz w:val="20"/>
        </w:rPr>
      </w:pPr>
      <w:r>
        <w:lastRenderedPageBreak/>
        <w:t>methods</w:t>
      </w:r>
    </w:p>
    <w:p w14:paraId="23BB3E72" w14:textId="6C4CEDD9" w:rsidR="006C49C9" w:rsidRDefault="003C535B" w:rsidP="003C535B">
      <w:pPr>
        <w:pStyle w:val="Paragraph"/>
      </w:pPr>
      <w:r>
        <w:t xml:space="preserve">The proposed architecture comprises three hierarchical layers operating in a closed loop, as illustrated in </w:t>
      </w:r>
      <w:r>
        <w:t>….</w:t>
      </w:r>
      <w:r>
        <w:t xml:space="preserve">. The high-level layer receives the non-convex region boundary and initial </w:t>
      </w:r>
      <w:r w:rsidR="0062503D">
        <w:t>quadrotor</w:t>
      </w:r>
      <w:r>
        <w:t xml:space="preserve"> positions as inputs. Voronoi tessellation adapts to non-convex geometries through obstacle-aware distance metrics, partitioning the region into sub-regions assigned to individual </w:t>
      </w:r>
      <w:r w:rsidR="0062503D">
        <w:t>quadrotors</w:t>
      </w:r>
      <w:r>
        <w:t>.</w:t>
      </w:r>
      <w:r>
        <w:t xml:space="preserve"> </w:t>
      </w:r>
      <w:r>
        <w:t>Boustrophedon sweeping generates optimal coverage paths for each sub-region, minimizing overlap and energy consumption. The</w:t>
      </w:r>
      <w:r>
        <w:t xml:space="preserve"> </w:t>
      </w:r>
      <w:r>
        <w:t xml:space="preserve">FT-CC module continuously monitors </w:t>
      </w:r>
      <w:r w:rsidR="0062503D">
        <w:t>quadrotor</w:t>
      </w:r>
      <w:r>
        <w:t xml:space="preserve"> health status and redistributes coverage responsibilities upon detection of actuator or</w:t>
      </w:r>
      <w:r>
        <w:t xml:space="preserve"> </w:t>
      </w:r>
      <w:r>
        <w:t>communication failure, ensuring mission-level resilience. Generated waypoints are passed to the mid-level layer.</w:t>
      </w:r>
    </w:p>
    <w:p w14:paraId="71F8B3ED" w14:textId="049F88E0" w:rsidR="003C535B" w:rsidRDefault="003C535B" w:rsidP="003C535B">
      <w:pPr>
        <w:pStyle w:val="Paragraph"/>
      </w:pPr>
      <w:r>
        <w:t xml:space="preserve">The mid-level layer implements ORCA, a decentralized collision avoidance protocol. Each </w:t>
      </w:r>
      <w:r w:rsidR="0062503D">
        <w:t>quadrotor</w:t>
      </w:r>
      <w:r>
        <w:t xml:space="preserve"> broadcasts its position and</w:t>
      </w:r>
      <w:r>
        <w:t xml:space="preserve"> </w:t>
      </w:r>
      <w:r>
        <w:t>velocity to neighbors, computes velocity obstacles relative to other agents, and selects a reciprocal collision-free velocity that</w:t>
      </w:r>
      <w:r>
        <w:t xml:space="preserve"> </w:t>
      </w:r>
      <w:r>
        <w:t>preserves progress toward its assigned waypoint. The resulting velocity commands are forwarded to the low-level layer.</w:t>
      </w:r>
    </w:p>
    <w:p w14:paraId="225D3011" w14:textId="6344BC35" w:rsidR="003C535B" w:rsidRDefault="003C535B" w:rsidP="003C535B">
      <w:pPr>
        <w:pStyle w:val="Paragraph"/>
      </w:pPr>
      <w:r>
        <w:t>The low-level layer executes the received velocity commands through a cascaded PID control architecture. Both PID-LQR and</w:t>
      </w:r>
      <w:r>
        <w:t xml:space="preserve"> </w:t>
      </w:r>
      <w:r>
        <w:t>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share the identical cascaded topology, consisting of an outer position control loop (</w:t>
      </w:r>
      <m:oMath>
        <m:r>
          <w:rPr>
            <w:rFonts w:ascii="Cambria Math" w:hAnsi="Cambria Math" w:cs="Cambria Math"/>
          </w:rPr>
          <m:t>x</m:t>
        </m:r>
        <m:r>
          <w:rPr>
            <w:rFonts w:ascii="Cambria Math" w:hAnsi="Cambria Math"/>
          </w:rPr>
          <m:t xml:space="preserve">, </m:t>
        </m:r>
        <m:r>
          <w:rPr>
            <w:rFonts w:ascii="Cambria Math" w:hAnsi="Cambria Math" w:cs="Cambria Math"/>
          </w:rPr>
          <m:t>y</m:t>
        </m:r>
        <m:r>
          <w:rPr>
            <w:rFonts w:ascii="Cambria Math" w:hAnsi="Cambria Math"/>
          </w:rPr>
          <m:t xml:space="preserve">, </m:t>
        </m:r>
        <m:r>
          <w:rPr>
            <w:rFonts w:ascii="Cambria Math" w:hAnsi="Cambria Math" w:cs="Cambria Math"/>
          </w:rPr>
          <m:t>z</m:t>
        </m:r>
      </m:oMath>
      <w:r>
        <w:t>) generating reference attitude</w:t>
      </w:r>
      <w:r>
        <w:t xml:space="preserve"> </w:t>
      </w:r>
      <w:r>
        <w:t>angles and an inner attitude control loop (</w:t>
      </w:r>
      <m:oMath>
        <m:r>
          <w:rPr>
            <w:rFonts w:ascii="Cambria Math" w:hAnsi="Cambria Math"/>
          </w:rPr>
          <m:t>ϕ, θ,</m:t>
        </m:r>
        <m:r>
          <w:rPr>
            <w:rFonts w:ascii="Cambria Math" w:hAnsi="Cambria Math"/>
          </w:rPr>
          <m:t>ψ</m:t>
        </m:r>
      </m:oMath>
      <w:r>
        <w:t>) regulating quadrotor torques. The distinction lies in gain synthesis: PID-LQR</w:t>
      </w:r>
      <w:r>
        <w:t xml:space="preserve"> </w:t>
      </w:r>
      <w:r>
        <w:t>solves the standard continuous Algebraic Riccati Equation (ARE), whereas 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solves the </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Riccati Equation (HARE)</w:t>
      </w:r>
      <w:r>
        <w:t xml:space="preserve"> </w:t>
      </w:r>
      <w:r>
        <w:t xml:space="preserve">incorporating an explicit </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disturbance attenuation bound </w:t>
      </w:r>
      <m:oMath>
        <m:r>
          <w:rPr>
            <w:rFonts w:ascii="Cambria Math" w:hAnsi="Cambria Math" w:cs="Cambria Math"/>
          </w:rPr>
          <m:t>γ</m:t>
        </m:r>
      </m:oMath>
      <w:r>
        <w:t>. Control outputs are converted to motor PWM signals and applied to</w:t>
      </w:r>
      <w:r>
        <w:t xml:space="preserve"> </w:t>
      </w:r>
      <w:r>
        <w:t>the quadrotor plant simulated in the Gazebo Harmonic physics engine running PX4 SITL firmware. State feedback (pose, velocity,</w:t>
      </w:r>
      <w:r>
        <w:t xml:space="preserve"> </w:t>
      </w:r>
      <w:r>
        <w:t>IMU measurements) propagates upward through all layers, enabling ORCA to update collision avoidance decisions and FT-CC to</w:t>
      </w:r>
      <w:r>
        <w:t xml:space="preserve"> </w:t>
      </w:r>
      <w:r>
        <w:t>detect faults and trigger coverage redistribution</w:t>
      </w:r>
      <w:r>
        <w:t>.</w:t>
      </w:r>
    </w:p>
    <w:p w14:paraId="3725A3F0" w14:textId="77777777" w:rsidR="0062503D" w:rsidRDefault="0062503D" w:rsidP="0062503D">
      <w:pPr>
        <w:pStyle w:val="Paragraph"/>
        <w:keepNext/>
        <w:ind w:firstLine="0"/>
        <w:jc w:val="center"/>
      </w:pPr>
      <w:r>
        <w:rPr>
          <w:noProof/>
        </w:rPr>
        <w:drawing>
          <wp:inline distT="0" distB="0" distL="0" distR="0" wp14:anchorId="35D1FBEC" wp14:editId="3E364D5E">
            <wp:extent cx="4997103" cy="4681777"/>
            <wp:effectExtent l="0" t="0" r="0" b="5080"/>
            <wp:docPr id="2053012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3470" cy="4706480"/>
                    </a:xfrm>
                    <a:prstGeom prst="rect">
                      <a:avLst/>
                    </a:prstGeom>
                    <a:noFill/>
                    <a:ln>
                      <a:noFill/>
                    </a:ln>
                  </pic:spPr>
                </pic:pic>
              </a:graphicData>
            </a:graphic>
          </wp:inline>
        </w:drawing>
      </w:r>
    </w:p>
    <w:p w14:paraId="2D4942EA" w14:textId="24F40602" w:rsidR="0062503D" w:rsidRPr="0062503D" w:rsidRDefault="0062503D" w:rsidP="0062503D">
      <w:pPr>
        <w:pStyle w:val="Caption"/>
        <w:jc w:val="center"/>
        <w:rPr>
          <w:b w:val="0"/>
          <w:bCs/>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62503D">
        <w:rPr>
          <w:b w:val="0"/>
          <w:bCs/>
        </w:rPr>
        <w:t>Proposed three-layer control architecture for resilient autonomous swarm quadrotor geodesic mapping.</w:t>
      </w:r>
    </w:p>
    <w:p w14:paraId="3018258E" w14:textId="0A517A53" w:rsidR="003C535B" w:rsidRPr="003C535B" w:rsidRDefault="003C535B" w:rsidP="003C535B">
      <w:pPr>
        <w:pStyle w:val="Heading1"/>
        <w:rPr>
          <w:b w:val="0"/>
          <w:caps w:val="0"/>
          <w:sz w:val="20"/>
        </w:rPr>
      </w:pPr>
      <w:r>
        <w:lastRenderedPageBreak/>
        <w:t>preliminary results</w:t>
      </w:r>
    </w:p>
    <w:p w14:paraId="1FC7D645" w14:textId="7FE21F73" w:rsidR="003C535B" w:rsidRDefault="003C535B" w:rsidP="003C535B">
      <w:pPr>
        <w:pStyle w:val="Paragraph"/>
      </w:pPr>
      <w:r>
        <w:t>The proposed framework is currently under evaluation through high-fidelity simulation using ROS2 Lyrical, Gazebo Harmonic,</w:t>
      </w:r>
      <w:r>
        <w:t xml:space="preserve"> </w:t>
      </w:r>
      <w:r>
        <w:t>and PX4 SITL across multiple mission scenarios involving non-convex regions with obstacles. Expected performance includes</w:t>
      </w:r>
      <w:r>
        <w:t xml:space="preserve"> </w:t>
      </w:r>
      <w:r>
        <w:t>90–95% coverage completion of non-convex regions, zero inter-robot collisions throughout the mission duration, and successful</w:t>
      </w:r>
      <w:r>
        <w:t xml:space="preserve"> </w:t>
      </w:r>
      <w:r>
        <w:t xml:space="preserve">fault recovery maintaining at least 85% coverage after simulated actuator or communication failure of one or more </w:t>
      </w:r>
      <w:r w:rsidR="0062503D">
        <w:t>quadrotors</w:t>
      </w:r>
      <w:r>
        <w:t>. The</w:t>
      </w:r>
      <w:r>
        <w:t xml:space="preserve"> </w:t>
      </w:r>
      <w:r>
        <w:t>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position controller is expected to outperform PID-LQR in trajectory tracking accuracy under wind disturbance, with lower</w:t>
      </w:r>
      <w:r>
        <w:t xml:space="preserve"> </w:t>
      </w:r>
      <w:r>
        <w:t>root-mean-square error (RMSE) in hover and waypoint navigation. Quantitative metrics including coverage ratio, collision count,</w:t>
      </w:r>
      <w:r>
        <w:t xml:space="preserve"> </w:t>
      </w:r>
      <w:r>
        <w:t>trajectory tracking RMSE, and fault recovery time will be reported in the full paper.</w:t>
      </w:r>
    </w:p>
    <w:p w14:paraId="602A8371" w14:textId="6A2EFE82" w:rsidR="003C535B" w:rsidRPr="003C535B" w:rsidRDefault="003C535B" w:rsidP="003C535B">
      <w:pPr>
        <w:pStyle w:val="Heading1"/>
        <w:rPr>
          <w:b w:val="0"/>
          <w:caps w:val="0"/>
          <w:sz w:val="20"/>
        </w:rPr>
      </w:pPr>
      <w:r>
        <w:t>conclusion</w:t>
      </w:r>
    </w:p>
    <w:p w14:paraId="0749377A" w14:textId="30912373" w:rsidR="003C535B" w:rsidRDefault="004B61DD" w:rsidP="004B61DD">
      <w:pPr>
        <w:pStyle w:val="Paragraph"/>
      </w:pPr>
      <w:r>
        <w:t>This paper presents a three-layer control architecture for autonomous non-convex geodesic mapping by resilient quadrotor swarms.</w:t>
      </w:r>
      <w:r>
        <w:t xml:space="preserve"> </w:t>
      </w:r>
      <w:r>
        <w:t>The main contributions include: (i) an end-to-end pipeline integrating non-convex Voronoi partitioning with Boustrophedon path</w:t>
      </w:r>
      <w:r>
        <w:t xml:space="preserve"> </w:t>
      </w:r>
      <w:r>
        <w:t>planning and FT-CC fault tolerance at the high level; (ii) decentralized ORCA-based collision avoidance at the mid level; (iii)</w:t>
      </w:r>
      <w:r>
        <w:t xml:space="preserve"> </w:t>
      </w:r>
      <w:r>
        <w:t>PID-LQR and PID-</w:t>
      </w:r>
      <m:oMath>
        <m:sSub>
          <m:sSubPr>
            <m:ctrlPr>
              <w:rPr>
                <w:rFonts w:ascii="Cambria Math" w:hAnsi="Cambria Math"/>
                <w:i/>
              </w:rPr>
            </m:ctrlPr>
          </m:sSubPr>
          <m:e>
            <m:r>
              <w:rPr>
                <w:rFonts w:ascii="Cambria Math" w:hAnsi="Cambria Math"/>
              </w:rPr>
              <m:t>H</m:t>
            </m:r>
          </m:e>
          <m:sub>
            <m:r>
              <w:rPr>
                <w:rFonts w:ascii="Cambria Math" w:hAnsi="Cambria Math"/>
              </w:rPr>
              <m:t>∞</m:t>
            </m:r>
          </m:sub>
        </m:sSub>
      </m:oMath>
      <w:r>
        <w:t xml:space="preserve"> robust cascade control at the low level; and (iv) validation through a high-fidelity ROS2-Gazebo-PX4</w:t>
      </w:r>
      <w:r>
        <w:t xml:space="preserve"> </w:t>
      </w:r>
      <w:r>
        <w:t>simulation framework. The architecture addresses critical gaps in non-convex coverage, multi-layer integration, fault tolerance, and</w:t>
      </w:r>
      <w:r>
        <w:t xml:space="preserve"> </w:t>
      </w:r>
      <w:r>
        <w:t>realistic simulation validation. Future work will focus on real-world outdoor flight experiments and extension to heterogeneous</w:t>
      </w:r>
      <w:r>
        <w:t xml:space="preserve"> </w:t>
      </w:r>
      <w:r>
        <w:t>multi-robot teams with diverse sensor payloads.</w:t>
      </w:r>
    </w:p>
    <w:p w14:paraId="010A0BA2" w14:textId="5CB3CEC7" w:rsidR="004B61DD" w:rsidRPr="003C535B" w:rsidRDefault="004B61DD" w:rsidP="004B61DD">
      <w:pPr>
        <w:pStyle w:val="Heading1"/>
        <w:rPr>
          <w:b w:val="0"/>
          <w:caps w:val="0"/>
          <w:sz w:val="20"/>
        </w:rPr>
      </w:pPr>
      <w:r>
        <w:t>references</w:t>
      </w:r>
    </w:p>
    <w:p w14:paraId="3B6D789F" w14:textId="77777777" w:rsidR="00182CFF" w:rsidRPr="00182CFF" w:rsidRDefault="00182CFF" w:rsidP="00182CFF">
      <w:pPr>
        <w:pStyle w:val="Bibliography"/>
      </w:pPr>
      <w:r>
        <w:fldChar w:fldCharType="begin"/>
      </w:r>
      <w:r>
        <w:instrText xml:space="preserve"> ADDIN ZOTERO_BIBL {"uncited":[],"omitted":[],"custom":[]} CSL_BIBLIOGRAPHY </w:instrText>
      </w:r>
      <w:r>
        <w:fldChar w:fldCharType="separate"/>
      </w:r>
      <w:r w:rsidRPr="00182CFF">
        <w:rPr>
          <w:vertAlign w:val="superscript"/>
        </w:rPr>
        <w:t>1</w:t>
      </w:r>
      <w:r w:rsidRPr="00182CFF">
        <w:t xml:space="preserve"> M. Belkheiri, A. Rabhi, A.E. Hajjaji, and C. Pegard, “Different linearization control techniques for a quadrotor system,” in </w:t>
      </w:r>
      <w:r w:rsidRPr="00182CFF">
        <w:rPr>
          <w:i/>
          <w:iCs/>
        </w:rPr>
        <w:t>CCCA12</w:t>
      </w:r>
      <w:r w:rsidRPr="00182CFF">
        <w:t>, (IEEE, Marseilles, France, 2012), pp. 1–6.</w:t>
      </w:r>
    </w:p>
    <w:p w14:paraId="07072442" w14:textId="5CDF217E" w:rsidR="004B61DD" w:rsidRDefault="00182CFF" w:rsidP="004B61DD">
      <w:pPr>
        <w:pStyle w:val="Paragraph"/>
      </w:pPr>
      <w:r>
        <w:fldChar w:fldCharType="end"/>
      </w:r>
    </w:p>
    <w:p w14:paraId="5CBD4DAE" w14:textId="77777777" w:rsidR="003C535B" w:rsidRDefault="003C535B" w:rsidP="003C535B">
      <w:pPr>
        <w:pStyle w:val="Paragraph"/>
      </w:pPr>
    </w:p>
    <w:sectPr w:rsidR="003C535B">
      <w:pgSz w:w="12240" w:h="15840"/>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1" w15:restartNumberingAfterBreak="0">
    <w:nsid w:val="104436C5"/>
    <w:multiLevelType w:val="multilevel"/>
    <w:tmpl w:val="B6988208"/>
    <w:lvl w:ilvl="0">
      <w:start w:val="1"/>
      <w:numFmt w:val="decimal"/>
      <w:lvlText w:val="%1."/>
      <w:lvlJc w:val="left"/>
      <w:pPr>
        <w:tabs>
          <w:tab w:val="num" w:pos="0"/>
        </w:tabs>
        <w:ind w:left="644"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79978EC"/>
    <w:multiLevelType w:val="multilevel"/>
    <w:tmpl w:val="7136B2B0"/>
    <w:lvl w:ilvl="0">
      <w:start w:val="1"/>
      <w:numFmt w:val="bullet"/>
      <w:pStyle w:val="Paragraphbulleted"/>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3" w15:restartNumberingAfterBreak="0">
    <w:nsid w:val="3C373FA3"/>
    <w:multiLevelType w:val="multilevel"/>
    <w:tmpl w:val="22C8CD4A"/>
    <w:lvl w:ilvl="0">
      <w:start w:val="1"/>
      <w:numFmt w:val="decimal"/>
      <w:pStyle w:val="Referen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3A433F7"/>
    <w:multiLevelType w:val="multilevel"/>
    <w:tmpl w:val="A41098AA"/>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43D46D7A"/>
    <w:multiLevelType w:val="multilevel"/>
    <w:tmpl w:val="607A85F8"/>
    <w:lvl w:ilvl="0">
      <w:start w:val="1"/>
      <w:numFmt w:val="decimal"/>
      <w:pStyle w:val="Paragraphnumbered"/>
      <w:lvlText w:val="%1."/>
      <w:lvlJc w:val="left"/>
      <w:pPr>
        <w:tabs>
          <w:tab w:val="num" w:pos="0"/>
        </w:tabs>
        <w:ind w:left="644"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778402D"/>
    <w:multiLevelType w:val="multilevel"/>
    <w:tmpl w:val="95123C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05867663">
    <w:abstractNumId w:val="4"/>
  </w:num>
  <w:num w:numId="2" w16cid:durableId="341515099">
    <w:abstractNumId w:val="3"/>
  </w:num>
  <w:num w:numId="3" w16cid:durableId="966739800">
    <w:abstractNumId w:val="2"/>
  </w:num>
  <w:num w:numId="4" w16cid:durableId="1620990594">
    <w:abstractNumId w:val="1"/>
  </w:num>
  <w:num w:numId="5" w16cid:durableId="1962304058">
    <w:abstractNumId w:val="5"/>
  </w:num>
  <w:num w:numId="6" w16cid:durableId="1243221758">
    <w:abstractNumId w:val="6"/>
  </w:num>
  <w:num w:numId="7" w16cid:durableId="108083113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C9"/>
    <w:rsid w:val="00182CFF"/>
    <w:rsid w:val="003C535B"/>
    <w:rsid w:val="004B61DD"/>
    <w:rsid w:val="0062503D"/>
    <w:rsid w:val="006C49C9"/>
    <w:rsid w:val="00730D4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9FBD"/>
  <w15:docId w15:val="{F7DEC7FD-7DEE-4310-B2C5-12DE5E30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CB2"/>
    <w:rPr>
      <w:sz w:val="24"/>
      <w:lang w:val="en-US" w:eastAsia="en-US"/>
    </w:rPr>
  </w:style>
  <w:style w:type="paragraph" w:styleId="Heading1">
    <w:name w:val="heading 1"/>
    <w:basedOn w:val="Normal"/>
    <w:next w:val="Paragraph"/>
    <w:link w:val="Heading1Char"/>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semiHidden/>
    <w:qFormat/>
    <w:rPr>
      <w:vertAlign w:val="superscript"/>
    </w:rPr>
  </w:style>
  <w:style w:type="character" w:styleId="FootnoteReference">
    <w:name w:val="footnote reference"/>
    <w:rPr>
      <w:vertAlign w:val="superscript"/>
    </w:rPr>
  </w:style>
  <w:style w:type="character" w:customStyle="1" w:styleId="BalloonTextChar">
    <w:name w:val="Balloon Text Char"/>
    <w:basedOn w:val="DefaultParagraphFont"/>
    <w:link w:val="BalloonText"/>
    <w:qFormat/>
    <w:rsid w:val="00114AB1"/>
    <w:rPr>
      <w:rFonts w:ascii="Tahoma" w:hAnsi="Tahoma" w:cs="Tahoma"/>
      <w:sz w:val="16"/>
      <w:szCs w:val="16"/>
      <w:lang w:val="en-US" w:eastAsia="en-US"/>
    </w:rPr>
  </w:style>
  <w:style w:type="character" w:styleId="Hyperlink">
    <w:name w:val="Hyperlink"/>
    <w:rPr>
      <w:color w:val="0000FF"/>
      <w:u w:val="single"/>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character" w:styleId="UnresolvedMention">
    <w:name w:val="Unresolved Mention"/>
    <w:basedOn w:val="DefaultParagraphFont"/>
    <w:uiPriority w:val="99"/>
    <w:semiHidden/>
    <w:unhideWhenUsed/>
    <w:qFormat/>
    <w:rsid w:val="00613B4D"/>
    <w:rPr>
      <w:color w:val="808080"/>
      <w:shd w:val="clear" w:color="auto" w:fill="E6E6E6"/>
    </w:rPr>
  </w:style>
  <w:style w:type="character" w:styleId="CommentReference">
    <w:name w:val="annotation reference"/>
    <w:basedOn w:val="DefaultParagraphFont"/>
    <w:semiHidden/>
    <w:unhideWhenUsed/>
    <w:qFormat/>
    <w:rsid w:val="005E71ED"/>
    <w:rPr>
      <w:sz w:val="16"/>
      <w:szCs w:val="16"/>
    </w:rPr>
  </w:style>
  <w:style w:type="character" w:customStyle="1" w:styleId="CommentTextChar">
    <w:name w:val="Comment Text Char"/>
    <w:basedOn w:val="DefaultParagraphFont"/>
    <w:link w:val="CommentText"/>
    <w:semiHidden/>
    <w:qFormat/>
    <w:rsid w:val="005E71ED"/>
    <w:rPr>
      <w:lang w:val="en-US" w:eastAsia="en-US"/>
    </w:rPr>
  </w:style>
  <w:style w:type="character" w:customStyle="1" w:styleId="CommentSubjectChar">
    <w:name w:val="Comment Subject Char"/>
    <w:basedOn w:val="CommentTextChar"/>
    <w:link w:val="CommentSubject"/>
    <w:semiHidden/>
    <w:qFormat/>
    <w:rsid w:val="005E71ED"/>
    <w:rPr>
      <w:b/>
      <w:bCs/>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rsid w:val="0062503D"/>
    <w:pPr>
      <w:suppressLineNumbers/>
      <w:spacing w:before="120" w:after="120"/>
    </w:pPr>
    <w:rPr>
      <w:rFonts w:cs="Noto Sans Devanagari"/>
      <w:b/>
      <w:iCs/>
      <w:sz w:val="18"/>
      <w:szCs w:val="24"/>
    </w:rPr>
  </w:style>
  <w:style w:type="paragraph" w:customStyle="1" w:styleId="Index">
    <w:name w:val="Index"/>
    <w:basedOn w:val="Normal"/>
    <w:qFormat/>
    <w:pPr>
      <w:suppressLineNumbers/>
    </w:pPr>
    <w:rPr>
      <w:rFonts w:cs="Noto Sans Devanagari"/>
    </w:rPr>
  </w:style>
  <w:style w:type="paragraph" w:styleId="FootnoteText">
    <w:name w:val="footnote text"/>
    <w:basedOn w:val="Normal"/>
    <w:semiHidden/>
    <w:rPr>
      <w:sz w:val="16"/>
    </w:rPr>
  </w:style>
  <w:style w:type="paragraph" w:customStyle="1" w:styleId="PaperTitle">
    <w:name w:val="Paper Title"/>
    <w:basedOn w:val="Normal"/>
    <w:next w:val="AuthorName"/>
    <w:qFormat/>
    <w:pPr>
      <w:spacing w:before="1200"/>
      <w:jc w:val="center"/>
    </w:pPr>
    <w:rPr>
      <w:b/>
      <w:sz w:val="36"/>
    </w:rPr>
  </w:style>
  <w:style w:type="paragraph" w:customStyle="1" w:styleId="AuthorName">
    <w:name w:val="Author Name"/>
    <w:basedOn w:val="Normal"/>
    <w:next w:val="AuthorAffiliation"/>
    <w:qFormat/>
    <w:pPr>
      <w:spacing w:before="360" w:after="360"/>
      <w:jc w:val="center"/>
    </w:pPr>
    <w:rPr>
      <w:sz w:val="28"/>
    </w:rPr>
  </w:style>
  <w:style w:type="paragraph" w:customStyle="1" w:styleId="AuthorAffiliation">
    <w:name w:val="Author Affiliation"/>
    <w:basedOn w:val="Normal"/>
    <w:qFormat/>
    <w:pPr>
      <w:jc w:val="center"/>
    </w:pPr>
    <w:rPr>
      <w:i/>
      <w:sz w:val="20"/>
    </w:rPr>
  </w:style>
  <w:style w:type="paragraph" w:customStyle="1" w:styleId="Abstract">
    <w:name w:val="Abstract"/>
    <w:basedOn w:val="Normal"/>
    <w:next w:val="Heading1"/>
    <w:qFormat/>
    <w:rsid w:val="00F20BFC"/>
    <w:pPr>
      <w:spacing w:before="360" w:after="360"/>
      <w:ind w:left="289" w:right="289"/>
      <w:jc w:val="both"/>
    </w:pPr>
    <w:rPr>
      <w:sz w:val="18"/>
    </w:rPr>
  </w:style>
  <w:style w:type="paragraph" w:customStyle="1" w:styleId="Paragraph">
    <w:name w:val="Paragraph"/>
    <w:basedOn w:val="Normal"/>
    <w:qFormat/>
    <w:rsid w:val="005E415C"/>
    <w:pPr>
      <w:ind w:firstLine="284"/>
      <w:jc w:val="both"/>
    </w:pPr>
    <w:rPr>
      <w:sz w:val="20"/>
    </w:rPr>
  </w:style>
  <w:style w:type="paragraph" w:customStyle="1" w:styleId="Reference">
    <w:name w:val="Reference"/>
    <w:basedOn w:val="Paragraph"/>
    <w:qFormat/>
    <w:rsid w:val="00AE7500"/>
    <w:pPr>
      <w:numPr>
        <w:numId w:val="2"/>
      </w:numPr>
      <w:ind w:left="426" w:hanging="426"/>
    </w:pPr>
  </w:style>
  <w:style w:type="paragraph" w:customStyle="1" w:styleId="FigureCaption">
    <w:name w:val="Figure Caption"/>
    <w:next w:val="Paragraph"/>
    <w:qFormat/>
    <w:rsid w:val="00161A5B"/>
    <w:pPr>
      <w:spacing w:before="120"/>
      <w:jc w:val="center"/>
    </w:pPr>
    <w:rPr>
      <w:sz w:val="18"/>
      <w:lang w:val="en-US" w:eastAsia="en-US"/>
    </w:rPr>
  </w:style>
  <w:style w:type="paragraph" w:customStyle="1" w:styleId="Figure">
    <w:name w:val="Figure"/>
    <w:basedOn w:val="Paragraph"/>
    <w:qFormat/>
    <w:pPr>
      <w:keepNext/>
      <w:ind w:firstLine="0"/>
      <w:jc w:val="center"/>
    </w:pPr>
  </w:style>
  <w:style w:type="paragraph" w:customStyle="1" w:styleId="Equation">
    <w:name w:val="Equation"/>
    <w:basedOn w:val="Paragraph"/>
    <w:qFormat/>
    <w:rsid w:val="001146DC"/>
    <w:pPr>
      <w:tabs>
        <w:tab w:val="center" w:pos="4320"/>
        <w:tab w:val="right" w:pos="9242"/>
      </w:tabs>
      <w:ind w:firstLine="0"/>
      <w:jc w:val="center"/>
    </w:pPr>
  </w:style>
  <w:style w:type="paragraph" w:styleId="BalloonText">
    <w:name w:val="Balloon Text"/>
    <w:basedOn w:val="Normal"/>
    <w:link w:val="BalloonTextChar"/>
    <w:qFormat/>
    <w:rsid w:val="00114AB1"/>
    <w:rPr>
      <w:rFonts w:ascii="Tahoma" w:hAnsi="Tahoma" w:cs="Tahoma"/>
      <w:sz w:val="16"/>
      <w:szCs w:val="16"/>
    </w:rPr>
  </w:style>
  <w:style w:type="paragraph" w:customStyle="1" w:styleId="Paragraphbulleted">
    <w:name w:val="Paragraph (bulleted)"/>
    <w:basedOn w:val="Paragraph"/>
    <w:qFormat/>
    <w:rsid w:val="0040225B"/>
    <w:pPr>
      <w:numPr>
        <w:numId w:val="3"/>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qFormat/>
    <w:rsid w:val="005F7475"/>
    <w:pPr>
      <w:spacing w:beforeAutospacing="1" w:afterAutospacing="1"/>
    </w:pPr>
    <w:rPr>
      <w:szCs w:val="24"/>
      <w:lang w:val="en-GB" w:eastAsia="en-GB"/>
    </w:rPr>
  </w:style>
  <w:style w:type="paragraph" w:customStyle="1" w:styleId="TableCaption">
    <w:name w:val="Table Caption"/>
    <w:basedOn w:val="FigureCaption"/>
    <w:qFormat/>
    <w:rsid w:val="005A0E21"/>
    <w:rPr>
      <w:szCs w:val="18"/>
    </w:rPr>
  </w:style>
  <w:style w:type="paragraph" w:customStyle="1" w:styleId="Paragraphnumbered">
    <w:name w:val="Paragraph (numbered)"/>
    <w:qFormat/>
    <w:rsid w:val="000B49C0"/>
    <w:pPr>
      <w:numPr>
        <w:numId w:val="5"/>
      </w:numPr>
      <w:jc w:val="both"/>
    </w:pPr>
    <w:rPr>
      <w:lang w:val="en-US" w:eastAsia="en-US"/>
    </w:rPr>
  </w:style>
  <w:style w:type="paragraph" w:styleId="ListParagraph">
    <w:name w:val="List Paragraph"/>
    <w:basedOn w:val="Normal"/>
    <w:uiPriority w:val="34"/>
    <w:qFormat/>
    <w:rsid w:val="006E4474"/>
    <w:pPr>
      <w:ind w:left="720"/>
      <w:contextualSpacing/>
    </w:pPr>
  </w:style>
  <w:style w:type="paragraph" w:styleId="CommentText">
    <w:name w:val="annotation text"/>
    <w:basedOn w:val="Normal"/>
    <w:link w:val="CommentTextChar"/>
    <w:semiHidden/>
    <w:unhideWhenUsed/>
    <w:rsid w:val="005E71ED"/>
    <w:rPr>
      <w:sz w:val="20"/>
    </w:rPr>
  </w:style>
  <w:style w:type="paragraph" w:styleId="CommentSubject">
    <w:name w:val="annotation subject"/>
    <w:basedOn w:val="CommentText"/>
    <w:next w:val="CommentText"/>
    <w:link w:val="CommentSubjectChar"/>
    <w:semiHidden/>
    <w:unhideWhenUsed/>
    <w:qFormat/>
    <w:rsid w:val="005E71ED"/>
    <w:rPr>
      <w:b/>
      <w:bCs/>
    </w:rPr>
  </w:style>
  <w:style w:type="paragraph" w:customStyle="1" w:styleId="FrameContents">
    <w:name w:val="Frame Contents"/>
    <w:basedOn w:val="Normal"/>
    <w:qFormat/>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C535B"/>
    <w:rPr>
      <w:b/>
      <w:caps/>
      <w:sz w:val="24"/>
      <w:lang w:val="en-US" w:eastAsia="en-US"/>
    </w:rPr>
  </w:style>
  <w:style w:type="character" w:styleId="PlaceholderText">
    <w:name w:val="Placeholder Text"/>
    <w:basedOn w:val="DefaultParagraphFont"/>
    <w:uiPriority w:val="99"/>
    <w:semiHidden/>
    <w:rsid w:val="003C535B"/>
    <w:rPr>
      <w:color w:val="666666"/>
    </w:rPr>
  </w:style>
  <w:style w:type="paragraph" w:styleId="Bibliography">
    <w:name w:val="Bibliography"/>
    <w:basedOn w:val="Normal"/>
    <w:next w:val="Normal"/>
    <w:uiPriority w:val="37"/>
    <w:unhideWhenUsed/>
    <w:rsid w:val="00182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3.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dc:description/>
  <cp:lastModifiedBy>Izma Herdian</cp:lastModifiedBy>
  <cp:revision>8</cp:revision>
  <cp:lastPrinted>2011-03-03T08:29:00Z</cp:lastPrinted>
  <dcterms:created xsi:type="dcterms:W3CDTF">2026-06-12T04:33:00Z</dcterms:created>
  <dcterms:modified xsi:type="dcterms:W3CDTF">2026-07-26T01:27:00Z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GrammarlyDocumentId">
    <vt:lpwstr>97d6fb94-979b-4f06-8913-db32815a5e28</vt:lpwstr>
  </property>
  <property fmtid="{D5CDD505-2E9C-101B-9397-08002B2CF9AE}" pid="4" name="MSIP_Label_38b525e5-f3da-4501-8f1e-526b6769fc56_ActionId">
    <vt:lpwstr>ee7bc1bf-6102-4480-b085-da681018c645</vt:lpwstr>
  </property>
  <property fmtid="{D5CDD505-2E9C-101B-9397-08002B2CF9AE}" pid="5" name="MSIP_Label_38b525e5-f3da-4501-8f1e-526b6769fc56_ContentBits">
    <vt:lpwstr>0</vt:lpwstr>
  </property>
  <property fmtid="{D5CDD505-2E9C-101B-9397-08002B2CF9AE}" pid="6" name="MSIP_Label_38b525e5-f3da-4501-8f1e-526b6769fc56_Enabled">
    <vt:lpwstr>true</vt:lpwstr>
  </property>
  <property fmtid="{D5CDD505-2E9C-101B-9397-08002B2CF9AE}" pid="7" name="MSIP_Label_38b525e5-f3da-4501-8f1e-526b6769fc56_Method">
    <vt:lpwstr>Standard</vt:lpwstr>
  </property>
  <property fmtid="{D5CDD505-2E9C-101B-9397-08002B2CF9AE}" pid="8" name="MSIP_Label_38b525e5-f3da-4501-8f1e-526b6769fc56_Name">
    <vt:lpwstr>defa4170-0d19-0005-0004-bc88714345d2</vt:lpwstr>
  </property>
  <property fmtid="{D5CDD505-2E9C-101B-9397-08002B2CF9AE}" pid="9" name="MSIP_Label_38b525e5-f3da-4501-8f1e-526b6769fc56_SetDate">
    <vt:lpwstr>2026-06-12T04:33:39Z</vt:lpwstr>
  </property>
  <property fmtid="{D5CDD505-2E9C-101B-9397-08002B2CF9AE}" pid="10" name="MSIP_Label_38b525e5-f3da-4501-8f1e-526b6769fc56_SiteId">
    <vt:lpwstr>db6e1183-4c65-405c-82ce-7cd53fa6e9dc</vt:lpwstr>
  </property>
  <property fmtid="{D5CDD505-2E9C-101B-9397-08002B2CF9AE}" pid="11" name="MSIP_Label_38b525e5-f3da-4501-8f1e-526b6769fc56_Tag">
    <vt:lpwstr>10, 3, 0, 1</vt:lpwstr>
  </property>
  <property fmtid="{D5CDD505-2E9C-101B-9397-08002B2CF9AE}" pid="12" name="ZOTERO_PREF_1">
    <vt:lpwstr>&lt;data data-version="3" zotero-version="9.0.5"&gt;&lt;session id="NYf5wloG"/&gt;&lt;style id="http://www.zotero.org/styles/american-institute-of-physics" hasBibliography="1" bibliographyStyleHasBeenSet="1"/&gt;&lt;prefs&gt;&lt;pref name="fieldType" value="Field"/&gt;&lt;/prefs&gt;&lt;/data&gt;</vt:lpwstr>
  </property>
</Properties>
</file>