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rPr>
        <w:t>决策阶段任务：编制项目建议书+编制可行性研究报告；设计准备阶段任务：编制设计任务书。自项目开始至项目完成指的是项目的实施阶段；“费用目标”对业主而言是投资目标，对施工方而言是成本目标。项目管理的核心任务是项目的目标控制。决策期主要任务：项目的定义，实施期的主要任务：目标的实现。</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rPr>
        <w:t>施工总承包管理模式与施工总承包模式相比具有以下优点：</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1</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合同总价不是一次确定，整</w:t>
      </w:r>
      <w:r>
        <w:rPr>
          <w:rFonts w:hint="eastAsia" w:asciiTheme="minorEastAsia" w:hAnsiTheme="minorEastAsia" w:eastAsiaTheme="minorEastAsia" w:cstheme="minorEastAsia"/>
          <w:sz w:val="18"/>
          <w:szCs w:val="18"/>
        </w:rPr>
        <w:t>个建设项目的合同总额的确定较有依据。</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2</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所有分包都通过招标获得有竞争力的投标报价，对业主方节约投资有利。</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3</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施工总承包管理单位只收取总包管理费，不赚取总包与分包之</w:t>
      </w:r>
      <w:r>
        <w:rPr>
          <w:rFonts w:hint="eastAsia" w:asciiTheme="minorEastAsia" w:hAnsiTheme="minorEastAsia" w:eastAsiaTheme="minorEastAsia" w:cstheme="minorEastAsia"/>
          <w:sz w:val="18"/>
          <w:szCs w:val="18"/>
        </w:rPr>
        <w:t>间的差价。</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4</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业主对分包单位的选择具有控制权。</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5</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可以边设计边施工，可以提前开工，</w:t>
      </w:r>
      <w:r>
        <w:rPr>
          <w:rFonts w:hint="eastAsia" w:asciiTheme="minorEastAsia" w:hAnsiTheme="minorEastAsia" w:eastAsiaTheme="minorEastAsia" w:cstheme="minorEastAsia"/>
          <w:sz w:val="18"/>
          <w:szCs w:val="18"/>
        </w:rPr>
        <w:t>缩短建设周期，有利于进度控制。</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3.</w:t>
      </w:r>
      <w:r>
        <w:rPr>
          <w:rFonts w:hint="eastAsia" w:asciiTheme="minorEastAsia" w:hAnsiTheme="minorEastAsia" w:eastAsiaTheme="minorEastAsia" w:cstheme="minorEastAsia"/>
          <w:sz w:val="18"/>
          <w:szCs w:val="18"/>
        </w:rPr>
        <w:t>组织结构模式反映了组织系统中各子系统之间或各元素</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各工作部门或各管理人员</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之间的</w:t>
      </w:r>
      <w:r>
        <w:rPr>
          <w:rFonts w:hint="eastAsia" w:asciiTheme="minorEastAsia" w:hAnsiTheme="minorEastAsia" w:eastAsiaTheme="minorEastAsia" w:cstheme="minorEastAsia"/>
          <w:sz w:val="18"/>
          <w:szCs w:val="18"/>
        </w:rPr>
        <w:t>指令关系。组织分工反映了各子系统或各元素的工作任务分工和管理职能分工。组织结构模式和组织分工都是一种相对静态的组织关系。工作流程组织则可反映一个组织系统中各项工作之间的逻辑关系，是一种动态关系。</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4.</w:t>
      </w:r>
      <w:r>
        <w:rPr>
          <w:rFonts w:hint="eastAsia" w:asciiTheme="minorEastAsia" w:hAnsiTheme="minorEastAsia" w:eastAsiaTheme="minorEastAsia" w:cstheme="minorEastAsia"/>
          <w:sz w:val="18"/>
          <w:szCs w:val="18"/>
        </w:rPr>
        <w:t>施工部署及施工方案：依据人、材、机、钱部署任务、安排施工顺序、确定施工方案。施工进度计划：编制人力和时间安排计划、资源需求计划、和施工准备计划。施工平面图：在空间上的安排、使现场文明施工。</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val="en-US" w:eastAsia="zh-CN"/>
        </w:rPr>
        <w:t>5.</w:t>
      </w:r>
      <w:r>
        <w:rPr>
          <w:rFonts w:hint="eastAsia" w:asciiTheme="minorEastAsia" w:hAnsiTheme="minorEastAsia" w:eastAsiaTheme="minorEastAsia" w:cstheme="minorEastAsia"/>
          <w:sz w:val="18"/>
          <w:szCs w:val="18"/>
        </w:rPr>
        <w:t>施工组织总设计的编制程序</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rPr>
        <w:t>收集资料、计算工程量、总体部署、施工方案、进度计划、资源需求、施工准备、总平面图、技术经济指标</w:t>
      </w:r>
      <w:r>
        <w:rPr>
          <w:rFonts w:hint="eastAsia" w:asciiTheme="minorEastAsia" w:hAnsiTheme="minorEastAsia" w:eastAsiaTheme="minorEastAsia" w:cstheme="minorEastAsia"/>
          <w:sz w:val="18"/>
          <w:szCs w:val="18"/>
          <w:lang w:eastAsia="zh-CN"/>
        </w:rPr>
        <w:t>。</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6.纠偏措施：</w:t>
      </w:r>
    </w:p>
    <w:tbl>
      <w:tblPr>
        <w:tblStyle w:val="5"/>
        <w:tblW w:w="0" w:type="auto"/>
        <w:tblInd w:w="265" w:type="dxa"/>
        <w:tblBorders>
          <w:top w:val="single" w:color="070000" w:sz="6" w:space="0"/>
          <w:left w:val="single" w:color="070000" w:sz="6" w:space="0"/>
          <w:bottom w:val="single" w:color="070000" w:sz="6" w:space="0"/>
          <w:right w:val="single" w:color="070000" w:sz="6" w:space="0"/>
          <w:insideH w:val="single" w:color="070000" w:sz="6" w:space="0"/>
          <w:insideV w:val="single" w:color="070000" w:sz="6" w:space="0"/>
        </w:tblBorders>
        <w:tblLayout w:type="fixed"/>
        <w:tblCellMar>
          <w:top w:w="0" w:type="dxa"/>
          <w:left w:w="0" w:type="dxa"/>
          <w:bottom w:w="0" w:type="dxa"/>
          <w:right w:w="0" w:type="dxa"/>
        </w:tblCellMar>
      </w:tblPr>
      <w:tblGrid>
        <w:gridCol w:w="1028"/>
        <w:gridCol w:w="7272"/>
      </w:tblGrid>
      <w:tr>
        <w:tblPrEx>
          <w:tblBorders>
            <w:top w:val="single" w:color="070000" w:sz="6" w:space="0"/>
            <w:left w:val="single" w:color="070000" w:sz="6" w:space="0"/>
            <w:bottom w:val="single" w:color="070000" w:sz="6" w:space="0"/>
            <w:right w:val="single" w:color="070000" w:sz="6" w:space="0"/>
            <w:insideH w:val="single" w:color="070000" w:sz="6" w:space="0"/>
            <w:insideV w:val="single" w:color="070000" w:sz="6" w:space="0"/>
          </w:tblBorders>
          <w:tblCellMar>
            <w:top w:w="0" w:type="dxa"/>
            <w:left w:w="0" w:type="dxa"/>
            <w:bottom w:w="0" w:type="dxa"/>
            <w:right w:w="0" w:type="dxa"/>
          </w:tblCellMar>
        </w:tblPrEx>
        <w:trPr>
          <w:trHeight w:val="255" w:hRule="atLeast"/>
        </w:trPr>
        <w:tc>
          <w:tcPr>
            <w:tcW w:w="1028" w:type="dxa"/>
          </w:tcPr>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组织措施</w:t>
            </w:r>
          </w:p>
        </w:tc>
        <w:tc>
          <w:tcPr>
            <w:tcW w:w="7272" w:type="dxa"/>
          </w:tcPr>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调整组织结构、换人</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个人+法人</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、分工、流程、会议。</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第 2、6 章</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编制成本控制计划，采购计划，施工定额管理和施工任务单管理，动态管理，控制活劳动和物化劳动的消耗，加强施工调度。</w:t>
            </w:r>
          </w:p>
        </w:tc>
      </w:tr>
      <w:tr>
        <w:tblPrEx>
          <w:tblBorders>
            <w:top w:val="single" w:color="070000" w:sz="6" w:space="0"/>
            <w:left w:val="single" w:color="070000" w:sz="6" w:space="0"/>
            <w:bottom w:val="single" w:color="070000" w:sz="6" w:space="0"/>
            <w:right w:val="single" w:color="070000" w:sz="6" w:space="0"/>
            <w:insideH w:val="single" w:color="070000" w:sz="6" w:space="0"/>
            <w:insideV w:val="single" w:color="070000" w:sz="6" w:space="0"/>
          </w:tblBorders>
          <w:tblCellMar>
            <w:top w:w="0" w:type="dxa"/>
            <w:left w:w="0" w:type="dxa"/>
            <w:bottom w:w="0" w:type="dxa"/>
            <w:right w:w="0" w:type="dxa"/>
          </w:tblCellMar>
        </w:tblPrEx>
        <w:trPr>
          <w:trHeight w:val="90" w:hRule="atLeast"/>
        </w:trPr>
        <w:tc>
          <w:tcPr>
            <w:tcW w:w="1028" w:type="dxa"/>
          </w:tcPr>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管理措施 </w:t>
            </w:r>
          </w:p>
        </w:tc>
        <w:tc>
          <w:tcPr>
            <w:tcW w:w="7272" w:type="dxa"/>
          </w:tcPr>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调整管理思想、管理方法、管理手段、合同管理、索赔、BIM 技术、信息技术、网络计划、风险管理、选择承发包模式、编制……计划。</w:t>
            </w:r>
          </w:p>
        </w:tc>
      </w:tr>
      <w:tr>
        <w:tblPrEx>
          <w:tblBorders>
            <w:top w:val="single" w:color="070000" w:sz="6" w:space="0"/>
            <w:left w:val="single" w:color="070000" w:sz="6" w:space="0"/>
            <w:bottom w:val="single" w:color="070000" w:sz="6" w:space="0"/>
            <w:right w:val="single" w:color="070000" w:sz="6" w:space="0"/>
            <w:insideH w:val="single" w:color="070000" w:sz="6" w:space="0"/>
            <w:insideV w:val="single" w:color="070000" w:sz="6" w:space="0"/>
          </w:tblBorders>
          <w:tblCellMar>
            <w:top w:w="0" w:type="dxa"/>
            <w:left w:w="0" w:type="dxa"/>
            <w:bottom w:w="0" w:type="dxa"/>
            <w:right w:w="0" w:type="dxa"/>
          </w:tblCellMar>
        </w:tblPrEx>
        <w:trPr>
          <w:trHeight w:val="90" w:hRule="atLeast"/>
        </w:trPr>
        <w:tc>
          <w:tcPr>
            <w:tcW w:w="1028" w:type="dxa"/>
          </w:tcPr>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经济措施</w:t>
            </w:r>
          </w:p>
        </w:tc>
        <w:tc>
          <w:tcPr>
            <w:tcW w:w="7272" w:type="dxa"/>
          </w:tcPr>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编制资金使用计划、编制资源使用计划</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第 2、6 章</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对成本管理目标进行风险分析，并制定防范对策。及时做好增减账，落实业主签证并结算工程款，偏差分析及未完工程预测。</w:t>
            </w:r>
          </w:p>
        </w:tc>
      </w:tr>
      <w:tr>
        <w:tblPrEx>
          <w:tblBorders>
            <w:top w:val="single" w:color="070000" w:sz="6" w:space="0"/>
            <w:left w:val="single" w:color="070000" w:sz="6" w:space="0"/>
            <w:bottom w:val="single" w:color="070000" w:sz="6" w:space="0"/>
            <w:right w:val="single" w:color="070000" w:sz="6" w:space="0"/>
            <w:insideH w:val="single" w:color="070000" w:sz="6" w:space="0"/>
            <w:insideV w:val="single" w:color="070000" w:sz="6" w:space="0"/>
          </w:tblBorders>
          <w:tblCellMar>
            <w:top w:w="0" w:type="dxa"/>
            <w:left w:w="0" w:type="dxa"/>
            <w:bottom w:w="0" w:type="dxa"/>
            <w:right w:w="0" w:type="dxa"/>
          </w:tblCellMar>
        </w:tblPrEx>
        <w:trPr>
          <w:trHeight w:val="90" w:hRule="atLeast"/>
        </w:trPr>
        <w:tc>
          <w:tcPr>
            <w:tcW w:w="1028" w:type="dxa"/>
          </w:tcPr>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技术措施</w:t>
            </w:r>
          </w:p>
        </w:tc>
        <w:tc>
          <w:tcPr>
            <w:tcW w:w="7272" w:type="dxa"/>
          </w:tcPr>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调整勘察方案、设计方案、施工方案、物资、机具，对不同方案进行技  术经济分析。</w:t>
            </w:r>
          </w:p>
        </w:tc>
      </w:tr>
      <w:tr>
        <w:tblPrEx>
          <w:tblBorders>
            <w:top w:val="single" w:color="070000" w:sz="6" w:space="0"/>
            <w:left w:val="single" w:color="070000" w:sz="6" w:space="0"/>
            <w:bottom w:val="single" w:color="070000" w:sz="6" w:space="0"/>
            <w:right w:val="single" w:color="070000" w:sz="6" w:space="0"/>
            <w:insideH w:val="single" w:color="070000" w:sz="6" w:space="0"/>
            <w:insideV w:val="single" w:color="070000" w:sz="6" w:space="0"/>
          </w:tblBorders>
          <w:tblCellMar>
            <w:top w:w="0" w:type="dxa"/>
            <w:left w:w="0" w:type="dxa"/>
            <w:bottom w:w="0" w:type="dxa"/>
            <w:right w:w="0" w:type="dxa"/>
          </w:tblCellMar>
        </w:tblPrEx>
        <w:trPr>
          <w:trHeight w:val="90" w:hRule="atLeast"/>
        </w:trPr>
        <w:tc>
          <w:tcPr>
            <w:tcW w:w="1028" w:type="dxa"/>
          </w:tcPr>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合同措施</w:t>
            </w:r>
          </w:p>
        </w:tc>
        <w:tc>
          <w:tcPr>
            <w:tcW w:w="7272" w:type="dxa"/>
          </w:tcPr>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合同相关+索赔</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第 1、3、7 章无合同措施，有管理措施</w:t>
            </w:r>
            <w:r>
              <w:rPr>
                <w:rFonts w:hint="eastAsia" w:asciiTheme="minorEastAsia" w:hAnsiTheme="minorEastAsia" w:eastAsiaTheme="minorEastAsia" w:cstheme="minorEastAsia"/>
                <w:sz w:val="18"/>
                <w:szCs w:val="18"/>
                <w:lang w:eastAsia="zh-CN"/>
              </w:rPr>
              <w:t>)</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第 2、6 章无管理措施，增加合同措施</w:t>
            </w:r>
            <w:r>
              <w:rPr>
                <w:rFonts w:hint="eastAsia" w:asciiTheme="minorEastAsia" w:hAnsiTheme="minorEastAsia" w:eastAsiaTheme="minorEastAsia" w:cstheme="minorEastAsia"/>
                <w:sz w:val="18"/>
                <w:szCs w:val="18"/>
                <w:lang w:eastAsia="zh-CN"/>
              </w:rPr>
              <w:t>)</w:t>
            </w:r>
          </w:p>
        </w:tc>
      </w:tr>
    </w:tbl>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7.</w:t>
      </w:r>
      <w:r>
        <w:rPr>
          <w:rFonts w:hint="eastAsia" w:asciiTheme="minorEastAsia" w:hAnsiTheme="minorEastAsia" w:eastAsiaTheme="minorEastAsia" w:cstheme="minorEastAsia"/>
          <w:sz w:val="18"/>
          <w:szCs w:val="18"/>
        </w:rPr>
        <w:t xml:space="preserve">紧急情况，项目经理确保安全，可以先采取措施，48 </w:t>
      </w:r>
      <w:r>
        <w:rPr>
          <w:rFonts w:hint="eastAsia" w:asciiTheme="minorEastAsia" w:hAnsiTheme="minorEastAsia" w:eastAsiaTheme="minorEastAsia" w:cstheme="minorEastAsia"/>
          <w:sz w:val="18"/>
          <w:szCs w:val="18"/>
        </w:rPr>
        <w:t>小时内书面报告总监和发包人。承包人更换项目经理：承包人提前 14 天书面通知发包人和监理人，并征得发包人书面同</w:t>
      </w:r>
      <w:r>
        <w:rPr>
          <w:rFonts w:hint="eastAsia" w:asciiTheme="minorEastAsia" w:hAnsiTheme="minorEastAsia" w:eastAsiaTheme="minorEastAsia" w:cstheme="minorEastAsia"/>
          <w:sz w:val="18"/>
          <w:szCs w:val="18"/>
        </w:rPr>
        <w:t>意。发包人要求更换项目经理</w:t>
      </w:r>
      <w:r>
        <w:rPr>
          <w:rFonts w:hint="eastAsia" w:asciiTheme="minorEastAsia" w:hAnsiTheme="minorEastAsia" w:eastAsiaTheme="minorEastAsia" w:cstheme="minorEastAsia"/>
          <w:sz w:val="18"/>
          <w:szCs w:val="18"/>
        </w:rPr>
        <w:t>：承包人接到通知后 14 天</w:t>
      </w:r>
      <w:r>
        <w:rPr>
          <w:rFonts w:hint="eastAsia" w:asciiTheme="minorEastAsia" w:hAnsiTheme="minorEastAsia" w:eastAsiaTheme="minorEastAsia" w:cstheme="minorEastAsia"/>
          <w:sz w:val="18"/>
          <w:szCs w:val="18"/>
        </w:rPr>
        <w:t>内提出改进报告，第二次接到更换通知 28 天内更换。授权下属履行职责：提前 7 天</w:t>
      </w:r>
      <w:r>
        <w:rPr>
          <w:rFonts w:hint="eastAsia" w:asciiTheme="minorEastAsia" w:hAnsiTheme="minorEastAsia" w:eastAsiaTheme="minorEastAsia" w:cstheme="minorEastAsia"/>
          <w:sz w:val="18"/>
          <w:szCs w:val="18"/>
        </w:rPr>
        <w:t>书面通知监理下属姓名和权限，并征得发包人书面同意。</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8.</w:t>
      </w:r>
      <w:r>
        <w:rPr>
          <w:rFonts w:hint="eastAsia" w:asciiTheme="minorEastAsia" w:hAnsiTheme="minorEastAsia" w:eastAsiaTheme="minorEastAsia" w:cstheme="minorEastAsia"/>
          <w:sz w:val="18"/>
          <w:szCs w:val="18"/>
        </w:rPr>
        <w:t>项目机构负责人的职责与权限</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lang w:val="en-US" w:eastAsia="zh-CN"/>
        </w:rPr>
        <w:t>五参与两授权一主持一制定)</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9.风险量：A、B、C、D 四个区域——A 最大；风险等级矩阵表——风险等级=(概率＋损失量)/2，取小整数。</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10.施工风险类型：组织风险：人员的能力。经济与管理风险：宏观和微观经济、资金、合同风险、防火设施的可用性及数量、事故防范措施和计划人身安全控制计划、信息安全控制计划等。工程环境风险：自然灾害、地质条件和水文条件、气象条件、引起火灾和爆炸的因素。技术风险：工程勘察测资料和有关文件、工程施工方案、工程物资、工程机械。</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lang w:val="en-US" w:eastAsia="zh-CN"/>
        </w:rPr>
      </w:pPr>
      <w:bookmarkStart w:id="0" w:name="风险识别"/>
      <w:bookmarkEnd w:id="0"/>
      <w:bookmarkStart w:id="1" w:name="风险应对"/>
      <w:bookmarkEnd w:id="1"/>
      <w:bookmarkStart w:id="2" w:name="1.质量管理条例相关规定："/>
      <w:bookmarkEnd w:id="2"/>
      <w:r>
        <w:rPr>
          <w:rFonts w:hint="eastAsia" w:asciiTheme="minorEastAsia" w:hAnsiTheme="minorEastAsia" w:eastAsiaTheme="minorEastAsia" w:cstheme="minorEastAsia"/>
          <w:sz w:val="18"/>
          <w:szCs w:val="18"/>
          <w:lang w:val="en-US" w:eastAsia="zh-CN"/>
        </w:rPr>
        <w:t>11.质量管理条例相关规定：</w:t>
      </w:r>
      <w:bookmarkStart w:id="3" w:name="（1）未经监理工程师签字——材料和设备不得使用或者安装，不得进行下一道工序；"/>
      <w:bookmarkEnd w:id="3"/>
      <w:bookmarkStart w:id="4" w:name="（1）未经监理工程师签字——材料和设备不得使用或者安装，不得进行下一道工序；"/>
      <w:bookmarkEnd w:id="4"/>
      <w:r>
        <w:rPr>
          <w:rFonts w:hint="eastAsia" w:asciiTheme="minorEastAsia" w:hAnsiTheme="minorEastAsia" w:eastAsiaTheme="minorEastAsia" w:cstheme="minorEastAsia"/>
          <w:sz w:val="18"/>
          <w:szCs w:val="18"/>
          <w:lang w:val="en-US" w:eastAsia="zh-CN"/>
        </w:rPr>
        <w:t>未经监理工程师签字——材料和设备不得使用或者安装，不得进行下一道工序；</w:t>
      </w:r>
      <w:bookmarkStart w:id="5" w:name="（2）未经总监理工程师签字：建设单位不拨付工程款，不进行竣工验收。"/>
      <w:bookmarkEnd w:id="5"/>
      <w:bookmarkStart w:id="6" w:name="（2）未经总监理工程师签字：建设单位不拨付工程款，不进行竣工验收。"/>
      <w:bookmarkEnd w:id="6"/>
      <w:r>
        <w:rPr>
          <w:rFonts w:hint="eastAsia" w:asciiTheme="minorEastAsia" w:hAnsiTheme="minorEastAsia" w:eastAsiaTheme="minorEastAsia" w:cstheme="minorEastAsia"/>
          <w:sz w:val="18"/>
          <w:szCs w:val="18"/>
          <w:lang w:val="en-US" w:eastAsia="zh-CN"/>
        </w:rPr>
        <w:t>未经总监理工程师签字：建设单位不拨付工程款，不进行竣工验收。</w:t>
      </w:r>
      <w:bookmarkStart w:id="7" w:name="（3）监理工程师应当按照工程监理规范的要求采取旁站、巡视、平行检验形式实施监理工"/>
      <w:bookmarkEnd w:id="7"/>
      <w:bookmarkStart w:id="8" w:name="（3）监理工程师应当按照工程监理规范的要求采取旁站、巡视、平行检验形式实施监理工"/>
      <w:bookmarkEnd w:id="8"/>
      <w:r>
        <w:rPr>
          <w:rFonts w:hint="eastAsia" w:asciiTheme="minorEastAsia" w:hAnsiTheme="minorEastAsia" w:eastAsiaTheme="minorEastAsia" w:cstheme="minorEastAsia"/>
          <w:sz w:val="18"/>
          <w:szCs w:val="18"/>
          <w:lang w:val="en-US" w:eastAsia="zh-CN"/>
        </w:rPr>
        <w:t>监理工程师应当按照工程监理规范的要求采取旁站、巡视、平行检验形式实施监理工作。</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12.安全管理条例相关规定：(1)检查安全技术措施和专项施工方案是否符合强制性标准；(2) 发现隐患的：整改；(2)情况严重：停止施工+报告建设单位；(4)拒不整改或不停工：向有关主管部门报告。</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lang w:val="en-US" w:eastAsia="zh-CN"/>
        </w:rPr>
      </w:pPr>
      <w:bookmarkStart w:id="9" w:name="（1）监理规划：签订监理合同或收到设计文件后编制，第一次工地会议前报送业主。总监"/>
      <w:bookmarkEnd w:id="9"/>
      <w:bookmarkStart w:id="10" w:name="（1）监理规划：签订监理合同或收到设计文件后编制，第一次工地会议前报送业主。总监"/>
      <w:bookmarkEnd w:id="10"/>
      <w:r>
        <w:rPr>
          <w:rFonts w:hint="eastAsia" w:asciiTheme="minorEastAsia" w:hAnsiTheme="minorEastAsia" w:eastAsiaTheme="minorEastAsia" w:cstheme="minorEastAsia"/>
          <w:sz w:val="18"/>
          <w:szCs w:val="18"/>
          <w:lang w:val="en-US" w:eastAsia="zh-CN"/>
        </w:rPr>
        <w:t>13.监理规划：签订监理合同或收到设计文件后编制，第一次工地会议前报送业主。总监组织专监编制，监理单位技术负责人审批</w:t>
      </w:r>
      <w:bookmarkStart w:id="11" w:name="（2）监理实施细则：开工针对四新工程、专业性较强、危险性较大的工程编制。专监编制"/>
      <w:bookmarkEnd w:id="11"/>
      <w:bookmarkStart w:id="12" w:name="（2）监理实施细则：开工针对四新工程、专业性较强、危险性较大的工程编制。专监编制"/>
      <w:bookmarkEnd w:id="12"/>
      <w:r>
        <w:rPr>
          <w:rFonts w:hint="eastAsia" w:asciiTheme="minorEastAsia" w:hAnsiTheme="minorEastAsia" w:eastAsiaTheme="minorEastAsia" w:cstheme="minorEastAsia"/>
          <w:sz w:val="18"/>
          <w:szCs w:val="18"/>
          <w:lang w:val="en-US" w:eastAsia="zh-CN"/>
        </w:rPr>
        <w:t>。监理实施细则：专监编制，总监审批。编制依据：监理规划、相关标准和工程设计文件、施工组织设计与专项施工方案。其内容有：监理工作方法及措施、专业工程特点、监理工作要点、监理工作流程。</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14.建安费按照费用构成分为：人材机管利规税；</w:t>
      </w:r>
      <w:r>
        <w:rPr>
          <w:rFonts w:hint="eastAsia" w:asciiTheme="minorEastAsia" w:hAnsiTheme="minorEastAsia" w:eastAsiaTheme="minorEastAsia" w:cstheme="minorEastAsia"/>
          <w:sz w:val="18"/>
          <w:szCs w:val="18"/>
        </w:rPr>
        <w:t>按照造价形成分为：分措其规税</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lang w:val="en-US" w:eastAsia="zh-CN"/>
        </w:rPr>
        <w:t>台班折旧费=机械预算价格×(1-残值率)/耐用台班总数；增值税销项税额=税前造价×9％。</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lang w:val="en-US" w:eastAsia="zh-CN"/>
        </w:rPr>
      </w:pPr>
      <w:bookmarkStart w:id="13" w:name="考点二：建安费按照造价形成分为：分措其规税"/>
      <w:bookmarkEnd w:id="13"/>
      <w:r>
        <w:rPr>
          <w:rFonts w:hint="eastAsia" w:asciiTheme="minorEastAsia" w:hAnsiTheme="minorEastAsia" w:eastAsiaTheme="minorEastAsia" w:cstheme="minorEastAsia"/>
          <w:sz w:val="18"/>
          <w:szCs w:val="18"/>
          <w:lang w:val="en-US" w:eastAsia="zh-CN"/>
        </w:rPr>
        <w:t>15.措施项目费：安全文明施工费、夜间施工增加费、二次搬运费、冬雨期施工增加费、已完工程及设备保护费、工程定位复测费、特殊地区施工增加费、大型机械进出场及安拆费、脚手架工程费。</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16.</w:t>
      </w:r>
      <w:r>
        <w:rPr>
          <w:rFonts w:hint="eastAsia" w:asciiTheme="minorEastAsia" w:hAnsiTheme="minorEastAsia" w:eastAsiaTheme="minorEastAsia" w:cstheme="minorEastAsia"/>
          <w:sz w:val="18"/>
          <w:szCs w:val="18"/>
        </w:rPr>
        <w:t>其他项目费：暂列金额、计日工、总承包服务费。</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17.</w:t>
      </w:r>
      <w:r>
        <w:rPr>
          <w:rFonts w:hint="eastAsia" w:asciiTheme="minorEastAsia" w:hAnsiTheme="minorEastAsia" w:eastAsiaTheme="minorEastAsia" w:cstheme="minorEastAsia"/>
          <w:sz w:val="18"/>
          <w:szCs w:val="18"/>
        </w:rPr>
        <w:t>人工定额的编制方法：技术测定法、统计分析法、比较类推法、经验估计法</w:t>
      </w:r>
      <w:r>
        <w:rPr>
          <w:rFonts w:hint="eastAsia" w:asciiTheme="minorEastAsia" w:hAnsiTheme="minorEastAsia" w:eastAsiaTheme="minorEastAsia" w:cstheme="minorEastAsia"/>
          <w:sz w:val="18"/>
          <w:szCs w:val="18"/>
          <w:lang w:eastAsia="zh-CN"/>
        </w:rPr>
        <w:t>。</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18.</w:t>
      </w:r>
      <w:r>
        <w:rPr>
          <w:rFonts w:hint="eastAsia" w:asciiTheme="minorEastAsia" w:hAnsiTheme="minorEastAsia" w:eastAsiaTheme="minorEastAsia" w:cstheme="minorEastAsia"/>
          <w:sz w:val="18"/>
          <w:szCs w:val="18"/>
        </w:rPr>
        <w:t>周转材料消耗与下列因素有关：第一次消耗；每周转一次的消耗</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补充量</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；周转次数；最终回收折价。</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19.</w:t>
      </w:r>
      <w:r>
        <w:rPr>
          <w:rFonts w:hint="eastAsia" w:asciiTheme="minorEastAsia" w:hAnsiTheme="minorEastAsia" w:eastAsiaTheme="minorEastAsia" w:cstheme="minorEastAsia"/>
          <w:sz w:val="18"/>
          <w:szCs w:val="18"/>
        </w:rPr>
        <w:t>投标报价的编制原则：①投标人自主确定，但必须执行《计价规范》的强制性规定。②不得高于招标控制价。③不得低于成本价。④双方责任划分为基础。⑤报价应以施工方案、技术措施为基本条件。</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20.</w:t>
      </w:r>
      <w:r>
        <w:rPr>
          <w:rFonts w:hint="eastAsia" w:asciiTheme="minorEastAsia" w:hAnsiTheme="minorEastAsia" w:eastAsiaTheme="minorEastAsia" w:cstheme="minorEastAsia"/>
          <w:sz w:val="18"/>
          <w:szCs w:val="18"/>
        </w:rPr>
        <w:t xml:space="preserve">工程量偏差：当工程量增加15%以上时，其增加部分调低单价。当工程量减少 </w:t>
      </w:r>
      <w:r>
        <w:rPr>
          <w:rFonts w:hint="eastAsia" w:asciiTheme="minorEastAsia" w:hAnsiTheme="minorEastAsia" w:eastAsiaTheme="minorEastAsia" w:cstheme="minorEastAsia"/>
          <w:sz w:val="18"/>
          <w:szCs w:val="18"/>
        </w:rPr>
        <w:t>15%以上时，减少后剩余部分全部调高。</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21.</w:t>
      </w:r>
      <w:r>
        <w:rPr>
          <w:rFonts w:hint="eastAsia" w:asciiTheme="minorEastAsia" w:hAnsiTheme="minorEastAsia" w:eastAsiaTheme="minorEastAsia" w:cstheme="minorEastAsia"/>
          <w:sz w:val="18"/>
          <w:szCs w:val="18"/>
        </w:rPr>
        <w:t xml:space="preserve">安全文明施工费：发包人应在开工后 </w:t>
      </w:r>
      <w:r>
        <w:rPr>
          <w:rFonts w:hint="eastAsia" w:asciiTheme="minorEastAsia" w:hAnsiTheme="minorEastAsia" w:eastAsiaTheme="minorEastAsia" w:cstheme="minorEastAsia"/>
          <w:sz w:val="18"/>
          <w:szCs w:val="18"/>
        </w:rPr>
        <w:t>28 天内预付安全文明施工费总额的 50%，其余与进度款同期支付。</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22.</w:t>
      </w:r>
      <w:r>
        <w:rPr>
          <w:rFonts w:hint="eastAsia" w:asciiTheme="minorEastAsia" w:hAnsiTheme="minorEastAsia" w:eastAsiaTheme="minorEastAsia" w:cstheme="minorEastAsia"/>
          <w:sz w:val="18"/>
          <w:szCs w:val="18"/>
        </w:rPr>
        <w:t>承包人提供质量保证金的三种方式：质量保证金保函</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优先采用</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、相应比例的工程款、其他方式。</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23.</w:t>
      </w:r>
      <w:r>
        <w:rPr>
          <w:rFonts w:hint="eastAsia" w:asciiTheme="minorEastAsia" w:hAnsiTheme="minorEastAsia" w:eastAsiaTheme="minorEastAsia" w:cstheme="minorEastAsia"/>
          <w:sz w:val="18"/>
          <w:szCs w:val="18"/>
        </w:rPr>
        <w:t>成本计划是以货币</w:t>
      </w:r>
      <w:r>
        <w:rPr>
          <w:rFonts w:hint="eastAsia" w:asciiTheme="minorEastAsia" w:hAnsiTheme="minorEastAsia" w:eastAsiaTheme="minorEastAsia" w:cstheme="minorEastAsia"/>
          <w:sz w:val="18"/>
          <w:szCs w:val="18"/>
        </w:rPr>
        <w:t>形式编制的书面方案。它是建立施工项目成本管理责任制、开展成本控制和核算的基础。此外，它还是项目降低成本的指导文件，是设立目标成本的依据。施工成本核算一般以单位工程</w:t>
      </w:r>
      <w:r>
        <w:rPr>
          <w:rFonts w:hint="eastAsia" w:asciiTheme="minorEastAsia" w:hAnsiTheme="minorEastAsia" w:eastAsiaTheme="minorEastAsia" w:cstheme="minorEastAsia"/>
          <w:sz w:val="18"/>
          <w:szCs w:val="18"/>
        </w:rPr>
        <w:t>为对象。成本偏差的控制，分析是关键，纠偏是核心。按成本组成编制成本计划的方法：</w:t>
      </w:r>
      <w:r>
        <w:rPr>
          <w:rFonts w:hint="eastAsia" w:asciiTheme="minorEastAsia" w:hAnsiTheme="minorEastAsia" w:eastAsiaTheme="minorEastAsia" w:cstheme="minorEastAsia"/>
          <w:sz w:val="18"/>
          <w:szCs w:val="18"/>
        </w:rPr>
        <w:t>分解为人</w:t>
      </w:r>
      <w:r>
        <w:rPr>
          <w:rFonts w:hint="eastAsia" w:asciiTheme="minorEastAsia" w:hAnsiTheme="minorEastAsia" w:eastAsiaTheme="minorEastAsia" w:cstheme="minorEastAsia"/>
          <w:sz w:val="18"/>
          <w:szCs w:val="18"/>
        </w:rPr>
        <w:t>工费、材</w:t>
      </w:r>
      <w:r>
        <w:rPr>
          <w:rFonts w:hint="eastAsia" w:asciiTheme="minorEastAsia" w:hAnsiTheme="minorEastAsia" w:eastAsiaTheme="minorEastAsia" w:cstheme="minorEastAsia"/>
          <w:sz w:val="18"/>
          <w:szCs w:val="18"/>
        </w:rPr>
        <w:t>料费、施工机</w:t>
      </w:r>
      <w:r>
        <w:rPr>
          <w:rFonts w:hint="eastAsia" w:asciiTheme="minorEastAsia" w:hAnsiTheme="minorEastAsia" w:eastAsiaTheme="minorEastAsia" w:cstheme="minorEastAsia"/>
          <w:sz w:val="18"/>
          <w:szCs w:val="18"/>
        </w:rPr>
        <w:t>具使用费和企业管</w:t>
      </w:r>
      <w:r>
        <w:rPr>
          <w:rFonts w:hint="eastAsia" w:asciiTheme="minorEastAsia" w:hAnsiTheme="minorEastAsia" w:eastAsiaTheme="minorEastAsia" w:cstheme="minorEastAsia"/>
          <w:sz w:val="18"/>
          <w:szCs w:val="18"/>
        </w:rPr>
        <w:t>理费等。按项目结构编制成本计划的方法：单项</w:t>
      </w:r>
      <w:r>
        <w:rPr>
          <w:rFonts w:hint="eastAsia" w:asciiTheme="minorEastAsia" w:hAnsiTheme="minorEastAsia" w:eastAsiaTheme="minorEastAsia" w:cstheme="minorEastAsia"/>
          <w:sz w:val="18"/>
          <w:szCs w:val="18"/>
        </w:rPr>
        <w:t>工程成本—单位</w:t>
      </w:r>
      <w:r>
        <w:rPr>
          <w:rFonts w:hint="eastAsia" w:asciiTheme="minorEastAsia" w:hAnsiTheme="minorEastAsia" w:eastAsiaTheme="minorEastAsia" w:cstheme="minorEastAsia"/>
          <w:sz w:val="18"/>
          <w:szCs w:val="18"/>
        </w:rPr>
        <w:t>工程成本—分部</w:t>
      </w:r>
      <w:r>
        <w:rPr>
          <w:rFonts w:hint="eastAsia" w:asciiTheme="minorEastAsia" w:hAnsiTheme="minorEastAsia" w:eastAsiaTheme="minorEastAsia" w:cstheme="minorEastAsia"/>
          <w:sz w:val="18"/>
          <w:szCs w:val="18"/>
        </w:rPr>
        <w:t>工程成本—分项</w:t>
      </w:r>
      <w:r>
        <w:rPr>
          <w:rFonts w:hint="eastAsia" w:asciiTheme="minorEastAsia" w:hAnsiTheme="minorEastAsia" w:eastAsiaTheme="minorEastAsia" w:cstheme="minorEastAsia"/>
          <w:sz w:val="18"/>
          <w:szCs w:val="18"/>
        </w:rPr>
        <w:t>工程成本。按工程实施阶段编制成本计划的方法：直方图</w:t>
      </w:r>
      <w:r>
        <w:rPr>
          <w:rFonts w:hint="eastAsia" w:asciiTheme="minorEastAsia" w:hAnsiTheme="minorEastAsia" w:eastAsiaTheme="minorEastAsia" w:cstheme="minorEastAsia"/>
          <w:sz w:val="18"/>
          <w:szCs w:val="18"/>
        </w:rPr>
        <w:t>、时间—成本累积曲线</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S 形曲线</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24.</w:t>
      </w:r>
      <w:r>
        <w:rPr>
          <w:rFonts w:hint="eastAsia" w:asciiTheme="minorEastAsia" w:hAnsiTheme="minorEastAsia" w:eastAsiaTheme="minorEastAsia" w:cstheme="minorEastAsia"/>
          <w:sz w:val="18"/>
          <w:szCs w:val="18"/>
        </w:rPr>
        <w:t>管理行为控制程序是对成本全过程控制的基础，指标控制程序则是成本进行过程控制的重点。两个程序既相对独立又相互联系，既相互补充又相互制约。成本管理体系的建立没有社会组织来评审和认证。</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施工成本控制的方法—</w:t>
      </w:r>
      <w:r>
        <w:rPr>
          <w:rFonts w:hint="eastAsia" w:asciiTheme="minorEastAsia" w:hAnsiTheme="minorEastAsia" w:eastAsiaTheme="minorEastAsia" w:cstheme="minorEastAsia"/>
          <w:sz w:val="18"/>
          <w:szCs w:val="18"/>
          <w:lang w:val="en-US" w:eastAsia="zh-CN"/>
        </w:rPr>
        <w:t>挣</w:t>
      </w:r>
      <w:r>
        <w:rPr>
          <w:rFonts w:hint="eastAsia" w:asciiTheme="minorEastAsia" w:hAnsiTheme="minorEastAsia" w:eastAsiaTheme="minorEastAsia" w:cstheme="minorEastAsia"/>
          <w:sz w:val="18"/>
          <w:szCs w:val="18"/>
        </w:rPr>
        <w:t>值法</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成本核算的原则：形象进度</w:t>
      </w:r>
      <w:r>
        <w:rPr>
          <w:rFonts w:hint="eastAsia" w:asciiTheme="minorEastAsia" w:hAnsiTheme="minorEastAsia" w:eastAsiaTheme="minorEastAsia" w:cstheme="minorEastAsia"/>
          <w:sz w:val="18"/>
          <w:szCs w:val="18"/>
        </w:rPr>
        <w:t>、产值统计</w:t>
      </w:r>
      <w:r>
        <w:rPr>
          <w:rFonts w:hint="eastAsia" w:asciiTheme="minorEastAsia" w:hAnsiTheme="minorEastAsia" w:eastAsiaTheme="minorEastAsia" w:cstheme="minorEastAsia"/>
          <w:sz w:val="18"/>
          <w:szCs w:val="18"/>
        </w:rPr>
        <w:t>、成本归集</w:t>
      </w:r>
      <w:r>
        <w:rPr>
          <w:rFonts w:hint="eastAsia" w:asciiTheme="minorEastAsia" w:hAnsiTheme="minorEastAsia" w:eastAsiaTheme="minorEastAsia" w:cstheme="minorEastAsia"/>
          <w:sz w:val="18"/>
          <w:szCs w:val="18"/>
        </w:rPr>
        <w:t>同步的原则，三者工程量</w:t>
      </w:r>
      <w:r>
        <w:rPr>
          <w:rFonts w:hint="eastAsia" w:asciiTheme="minorEastAsia" w:hAnsiTheme="minorEastAsia" w:eastAsiaTheme="minorEastAsia" w:cstheme="minorEastAsia"/>
          <w:sz w:val="18"/>
          <w:szCs w:val="18"/>
        </w:rPr>
        <w:t>均应是相同的数值。表格核算法进行工程项目施工各岗位成本或各环节的责任核算和控制。会计核算法进行企业或工程项目成本核算。</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25.</w:t>
      </w:r>
      <w:r>
        <w:rPr>
          <w:rFonts w:hint="eastAsia" w:asciiTheme="minorEastAsia" w:hAnsiTheme="minorEastAsia" w:eastAsiaTheme="minorEastAsia" w:cstheme="minorEastAsia"/>
          <w:sz w:val="18"/>
          <w:szCs w:val="18"/>
        </w:rPr>
        <w:t>施工成本分析的基本方法：比较法、因素分析法</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连环置换法</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、差额计算法、比率法。</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综合成本的分析方法：分部分项工程成本分析、月度成本分析、年度成本分析、竣工成本分析。</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单位工程竣工成本分析，应包括以下三方面内容：</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1</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竣工成本分析；</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2</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主要资源节超对比分析；</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3</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主要技术节约措施及经济效果分析。专项成本分析方法：成本盈亏异常分析、工期成本分析、资金成本分析。</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26.</w:t>
      </w:r>
      <w:r>
        <w:rPr>
          <w:rFonts w:hint="eastAsia" w:asciiTheme="minorEastAsia" w:hAnsiTheme="minorEastAsia" w:eastAsiaTheme="minorEastAsia" w:cstheme="minorEastAsia"/>
          <w:sz w:val="18"/>
          <w:szCs w:val="18"/>
        </w:rPr>
        <w:t>以项目成本降低额、项目成本降低率作为对项目管理机构成本考核主要指标。</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27.</w:t>
      </w:r>
      <w:r>
        <w:rPr>
          <w:rFonts w:hint="eastAsia" w:asciiTheme="minorEastAsia" w:hAnsiTheme="minorEastAsia" w:eastAsiaTheme="minorEastAsia" w:cstheme="minorEastAsia"/>
          <w:sz w:val="18"/>
          <w:szCs w:val="18"/>
        </w:rPr>
        <w:t>总进度纲要的主要内容包括：</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1</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项目实施的总体部署；</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2</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总进度规划；</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3</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各子系统进度规划；</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4</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确定里程碑事件的计划进度目标；</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5</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总进度目标实现条件和应采取的措 施。</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28.</w:t>
      </w:r>
      <w:r>
        <w:rPr>
          <w:rFonts w:hint="eastAsia" w:asciiTheme="minorEastAsia" w:hAnsiTheme="minorEastAsia" w:eastAsiaTheme="minorEastAsia" w:cstheme="minorEastAsia"/>
          <w:sz w:val="18"/>
          <w:szCs w:val="18"/>
        </w:rPr>
        <w:t>不同深度的进度计划系统：</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1</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总进度规划；</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2</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子系统进度规划；</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3</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 xml:space="preserve">单项工程进度   </w:t>
      </w:r>
      <w:r>
        <w:rPr>
          <w:rFonts w:hint="eastAsia" w:asciiTheme="minorEastAsia" w:hAnsiTheme="minorEastAsia" w:eastAsiaTheme="minorEastAsia" w:cstheme="minorEastAsia"/>
          <w:sz w:val="18"/>
          <w:szCs w:val="18"/>
        </w:rPr>
        <w:t>计划。</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不同功能的进度计划系统：</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1</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控制性进度计划；</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2</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指导性进度计划；</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3</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 xml:space="preserve">实施性进   </w:t>
      </w:r>
      <w:r>
        <w:rPr>
          <w:rFonts w:hint="eastAsia" w:asciiTheme="minorEastAsia" w:hAnsiTheme="minorEastAsia" w:eastAsiaTheme="minorEastAsia" w:cstheme="minorEastAsia"/>
          <w:sz w:val="18"/>
          <w:szCs w:val="18"/>
        </w:rPr>
        <w:t>度计划。</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29.</w:t>
      </w:r>
      <w:r>
        <w:rPr>
          <w:rFonts w:hint="eastAsia" w:asciiTheme="minorEastAsia" w:hAnsiTheme="minorEastAsia" w:eastAsiaTheme="minorEastAsia" w:cstheme="minorEastAsia"/>
          <w:sz w:val="18"/>
          <w:szCs w:val="18"/>
        </w:rPr>
        <w:t>实施性施工进度计划的主要作用</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月/旬</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1</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确定施工作业的具体安排；</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2</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确定一个月度或旬的人工需求、机械需求、材料需求、资金需求。</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30.</w:t>
      </w:r>
      <w:r>
        <w:rPr>
          <w:rFonts w:hint="eastAsia" w:asciiTheme="minorEastAsia" w:hAnsiTheme="minorEastAsia" w:eastAsiaTheme="minorEastAsia" w:cstheme="minorEastAsia"/>
          <w:sz w:val="18"/>
          <w:szCs w:val="18"/>
        </w:rPr>
        <w:t>横道图</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形象、直观、易看懂计划编制的意图。</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31.</w:t>
      </w:r>
      <w:r>
        <w:rPr>
          <w:rFonts w:hint="eastAsia" w:asciiTheme="minorEastAsia" w:hAnsiTheme="minorEastAsia" w:eastAsiaTheme="minorEastAsia" w:cstheme="minorEastAsia"/>
          <w:sz w:val="18"/>
          <w:szCs w:val="18"/>
        </w:rPr>
        <w:t>网络图</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双代号网络计划</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单代号网络计划</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①总时差最小的工作是关键工作。②当计划工期等于计算工期时，总时差为零的工作就是关键工作。③最迟开始时间与最早开始时间差值最小的工作是关键工作。④最迟完成时间与最早完成时间差值最小的工作是关键工作。</w:t>
      </w:r>
      <w:r>
        <w:rPr>
          <w:rFonts w:hint="eastAsia" w:asciiTheme="minorEastAsia" w:hAnsiTheme="minorEastAsia" w:eastAsiaTheme="minorEastAsia" w:cstheme="minorEastAsia"/>
          <w:sz w:val="18"/>
          <w:szCs w:val="18"/>
        </w:rPr>
        <w:t>⑤关键线路上的工作是关键工作。</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bookmarkStart w:id="14" w:name="3.检查后编制的进度报告的内容：（1）进度计划实施情况的综合描述。（2）实际工程"/>
      <w:bookmarkEnd w:id="14"/>
      <w:bookmarkStart w:id="15" w:name="3.检查后编制的进度报告的内容：（1）进度计划实施情况的综合描述。（2）实际工程"/>
      <w:bookmarkEnd w:id="15"/>
      <w:r>
        <w:rPr>
          <w:rFonts w:hint="eastAsia" w:asciiTheme="minorEastAsia" w:hAnsiTheme="minorEastAsia" w:eastAsiaTheme="minorEastAsia" w:cstheme="minorEastAsia"/>
          <w:sz w:val="18"/>
          <w:szCs w:val="18"/>
          <w:lang w:val="en-US" w:eastAsia="zh-CN"/>
        </w:rPr>
        <w:t>32.</w:t>
      </w:r>
      <w:r>
        <w:rPr>
          <w:rFonts w:hint="eastAsia" w:asciiTheme="minorEastAsia" w:hAnsiTheme="minorEastAsia" w:eastAsiaTheme="minorEastAsia" w:cstheme="minorEastAsia"/>
          <w:sz w:val="18"/>
          <w:szCs w:val="18"/>
        </w:rPr>
        <w:t>检查后编制的进度报告的内容：进度计划实施情况的综合描述。实际工程进度与计划进度的比较。进度计划在实施过程中存在的问题及其原因分析。进度执行情况对工程质量、安全和施工成本的影响情况。将采取的措施。进度的预测。</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33.</w:t>
      </w:r>
      <w:r>
        <w:rPr>
          <w:rFonts w:hint="eastAsia" w:asciiTheme="minorEastAsia" w:hAnsiTheme="minorEastAsia" w:eastAsiaTheme="minorEastAsia" w:cstheme="minorEastAsia"/>
          <w:sz w:val="18"/>
          <w:szCs w:val="18"/>
        </w:rPr>
        <w:t>影响施工质量的主要因素</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人的因素：决定性的作用。所以，施工质量控制应以控制人的因素为基本出发点。材料的因素：材料质量是工程质量的基础。包括原材料、半成品、成品、构配件和周转材料等。</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机械的因素：工程设备：组成工程实体的工艺设备和各类机具。如电梯、泵机，通风空调、消防、环保设备等。施工机械：施工过程中使用的各类机具设备。如运输、吊装、工具、仪器、设施等。</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环境的因素：①自然环境：地质、水文、气象、地下、不可抗力。②管理环境：质量管理体系、质量管理制度和各单位之间的协调。③作业环境：能源介质、照明、通风、防护、场地、给排水、交通等。</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34.</w:t>
      </w:r>
      <w:r>
        <w:rPr>
          <w:rFonts w:hint="eastAsia" w:asciiTheme="minorEastAsia" w:hAnsiTheme="minorEastAsia" w:eastAsiaTheme="minorEastAsia" w:cstheme="minorEastAsia"/>
          <w:sz w:val="18"/>
          <w:szCs w:val="18"/>
        </w:rPr>
        <w:t>施工质量控制的特点</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rPr>
        <w:t>需要控制的因素多；控制的难度大；过程控制要求高；终检局限大。</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35.</w:t>
      </w:r>
      <w:r>
        <w:rPr>
          <w:rFonts w:hint="eastAsia" w:asciiTheme="minorEastAsia" w:hAnsiTheme="minorEastAsia" w:eastAsiaTheme="minorEastAsia" w:cstheme="minorEastAsia"/>
          <w:sz w:val="18"/>
          <w:szCs w:val="18"/>
        </w:rPr>
        <w:t>施工质量保证体系的内容</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rPr>
        <w:t>项目施工质量目标：以工程承包合同为依据。项目施工质量计划</w:t>
      </w:r>
      <w:r>
        <w:rPr>
          <w:rFonts w:hint="eastAsia" w:asciiTheme="minorEastAsia" w:hAnsiTheme="minorEastAsia" w:eastAsiaTheme="minorEastAsia" w:cstheme="minorEastAsia"/>
          <w:sz w:val="18"/>
          <w:szCs w:val="18"/>
          <w:lang w:val="en-US" w:eastAsia="zh-CN"/>
        </w:rPr>
        <w:t>:包括</w:t>
      </w:r>
      <w:r>
        <w:rPr>
          <w:rFonts w:hint="eastAsia" w:asciiTheme="minorEastAsia" w:hAnsiTheme="minorEastAsia" w:eastAsiaTheme="minorEastAsia" w:cstheme="minorEastAsia"/>
          <w:sz w:val="18"/>
          <w:szCs w:val="18"/>
        </w:rPr>
        <w:t>施工质量工作计划</w:t>
      </w:r>
      <w:r>
        <w:rPr>
          <w:rFonts w:hint="eastAsia" w:asciiTheme="minorEastAsia" w:hAnsiTheme="minorEastAsia" w:eastAsiaTheme="minorEastAsia" w:cstheme="minorEastAsia"/>
          <w:sz w:val="18"/>
          <w:szCs w:val="18"/>
          <w:lang w:val="en-US" w:eastAsia="zh-CN"/>
        </w:rPr>
        <w:t>和</w:t>
      </w:r>
      <w:r>
        <w:rPr>
          <w:rFonts w:hint="eastAsia" w:asciiTheme="minorEastAsia" w:hAnsiTheme="minorEastAsia" w:eastAsiaTheme="minorEastAsia" w:cstheme="minorEastAsia"/>
          <w:sz w:val="18"/>
          <w:szCs w:val="18"/>
        </w:rPr>
        <w:t>施工质量成本计划</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运行质量成本+外部质量保证成本</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思想保证体系：用全面质量管理的思想、观点和方法使全员树立质量意识、一切为用户服务。组织保证体系：成立质量管理小组、健全各种规章制度、明确人员职责权限、建立质量信息系统。工作保证体系</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 xml:space="preserve">运行以质量计划为主线，以过程管理为重心，按照 </w:t>
      </w:r>
      <w:r>
        <w:rPr>
          <w:rFonts w:hint="eastAsia" w:asciiTheme="minorEastAsia" w:hAnsiTheme="minorEastAsia" w:eastAsiaTheme="minorEastAsia" w:cstheme="minorEastAsia"/>
          <w:sz w:val="18"/>
          <w:szCs w:val="18"/>
        </w:rPr>
        <w:t>PDCA 循环的原理。</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36.</w:t>
      </w:r>
      <w:r>
        <w:rPr>
          <w:rFonts w:hint="eastAsia" w:asciiTheme="minorEastAsia" w:hAnsiTheme="minorEastAsia" w:eastAsiaTheme="minorEastAsia" w:cstheme="minorEastAsia"/>
          <w:sz w:val="18"/>
          <w:szCs w:val="18"/>
        </w:rPr>
        <w:t>企业质量管理体系文件的构成：质量手册</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纲领性文件</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：质量方针目标、组织机构和质量职责、基本程序和要素、评审修改办法。程序文件</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质量手册的支持性文件</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企业质量管理体系由公正的第三方机构认证。有效期为三年。每年1次接受监督管理。</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37.</w:t>
      </w:r>
      <w:r>
        <w:rPr>
          <w:rFonts w:hint="eastAsia" w:asciiTheme="minorEastAsia" w:hAnsiTheme="minorEastAsia" w:eastAsiaTheme="minorEastAsia" w:cstheme="minorEastAsia"/>
          <w:sz w:val="18"/>
          <w:szCs w:val="18"/>
        </w:rPr>
        <w:t>开工前技术交底：由项目技术负责人向承担施工的负责人或分包人进行书面交底。总结：技术交底、测量方案、计量方案等：编制人：技术员。审批人：项目技术负责人。复核人：监理工程师。</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38.</w:t>
      </w:r>
      <w:r>
        <w:rPr>
          <w:rFonts w:hint="eastAsia" w:asciiTheme="minorEastAsia" w:hAnsiTheme="minorEastAsia" w:eastAsiaTheme="minorEastAsia" w:cstheme="minorEastAsia"/>
          <w:sz w:val="18"/>
          <w:szCs w:val="18"/>
        </w:rPr>
        <w:t>严重质量缺陷或超过检验批范围内的缺陷，不能满足最低限度的安全储备和使用功能时，则必须进行加固处理，经返修或加固处理的分项、分部工程，满足安全及使用功能要求时，可按技术处理方案和协商文件的要求予以验收。返修加固后不满足安全或重要使用功能，严禁验收。</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38.</w:t>
      </w:r>
      <w:r>
        <w:rPr>
          <w:rFonts w:hint="eastAsia" w:asciiTheme="minorEastAsia" w:hAnsiTheme="minorEastAsia" w:eastAsiaTheme="minorEastAsia" w:cstheme="minorEastAsia"/>
          <w:sz w:val="18"/>
          <w:szCs w:val="18"/>
        </w:rPr>
        <w:t>按事故责任分类：指导责任事故、操作责任事故、自然灾害事故。按事故发生的原因分类：①技术原因：设计错误、地质情况估计错误、采用不合适的施工方法、工艺。②管理原因：管理体系不完善、检验制度不严、措施落实不力。③社会原因：投标随意压低标价、施工中随意修改方案或偷工减料</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不正之风</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。④其他原因：自然灾害、不可抗力。</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39.</w:t>
      </w:r>
      <w:r>
        <w:rPr>
          <w:rFonts w:hint="eastAsia" w:asciiTheme="minorEastAsia" w:hAnsiTheme="minorEastAsia" w:eastAsiaTheme="minorEastAsia" w:cstheme="minorEastAsia"/>
          <w:sz w:val="18"/>
          <w:szCs w:val="18"/>
        </w:rPr>
        <w:t>不作处理</w:t>
      </w:r>
      <w:r>
        <w:rPr>
          <w:rFonts w:hint="eastAsia" w:asciiTheme="minorEastAsia" w:hAnsiTheme="minorEastAsia" w:eastAsiaTheme="minorEastAsia" w:cstheme="minorEastAsia"/>
          <w:sz w:val="18"/>
          <w:szCs w:val="18"/>
          <w:lang w:val="en-US" w:eastAsia="zh-CN"/>
        </w:rPr>
        <w:t>的情况</w:t>
      </w:r>
      <w:r>
        <w:rPr>
          <w:rFonts w:hint="eastAsia" w:asciiTheme="minorEastAsia" w:hAnsiTheme="minorEastAsia" w:eastAsiaTheme="minorEastAsia" w:cstheme="minorEastAsia"/>
          <w:sz w:val="18"/>
          <w:szCs w:val="18"/>
        </w:rPr>
        <w:t>：不影响结构安全和使用功能</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放线偏差，表面养护不够的裂缝</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；后道工序可以弥补的质量缺陷</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轻微麻面可抹灰，平整度偏差可找平</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；法定检测单位鉴定合格的；经鉴定机构检测达不到设计要求的，但经原设计单位核算，仍能满足结构安全和使用功能的。</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40.</w:t>
      </w:r>
      <w:r>
        <w:rPr>
          <w:rFonts w:hint="eastAsia" w:asciiTheme="minorEastAsia" w:hAnsiTheme="minorEastAsia" w:eastAsiaTheme="minorEastAsia" w:cstheme="minorEastAsia"/>
          <w:sz w:val="18"/>
          <w:szCs w:val="18"/>
        </w:rPr>
        <w:t>工程项目开工前，监督机构接受建设单位有关建设工程质量监督的申报手续，审查合格签发有关质量监督文件。工程质量监督手续可以与施工许可证或者开工报告合并办理。</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41.</w:t>
      </w:r>
      <w:r>
        <w:rPr>
          <w:rFonts w:hint="eastAsia" w:asciiTheme="minorEastAsia" w:hAnsiTheme="minorEastAsia" w:eastAsiaTheme="minorEastAsia" w:cstheme="minorEastAsia"/>
          <w:sz w:val="18"/>
          <w:szCs w:val="18"/>
        </w:rPr>
        <w:t>建设工程质量监督档案按单位工程建立。经监督机构负责人签字后归档，按规定年限保存。</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42.</w:t>
      </w:r>
      <w:r>
        <w:rPr>
          <w:rFonts w:hint="eastAsia" w:asciiTheme="minorEastAsia" w:hAnsiTheme="minorEastAsia" w:eastAsiaTheme="minorEastAsia" w:cstheme="minorEastAsia"/>
          <w:sz w:val="18"/>
          <w:szCs w:val="18"/>
        </w:rPr>
        <w:t xml:space="preserve">安全生产责任制是最基本的安全管理制度，是所有安全生产管理制度的核心。企业新上岗的从业人员，岗前培训时间不得少于 </w:t>
      </w:r>
      <w:r>
        <w:rPr>
          <w:rFonts w:hint="eastAsia" w:asciiTheme="minorEastAsia" w:hAnsiTheme="minorEastAsia" w:eastAsiaTheme="minorEastAsia" w:cstheme="minorEastAsia"/>
          <w:sz w:val="18"/>
          <w:szCs w:val="18"/>
        </w:rPr>
        <w:t>24 学时。第一类危险源的控制方法：消除危害源，限制能量和危险物质隔离、个体防护，实施应急援救等。</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43.</w:t>
      </w:r>
      <w:r>
        <w:rPr>
          <w:rFonts w:hint="eastAsia" w:asciiTheme="minorEastAsia" w:hAnsiTheme="minorEastAsia" w:eastAsiaTheme="minorEastAsia" w:cstheme="minorEastAsia"/>
          <w:sz w:val="18"/>
          <w:szCs w:val="18"/>
        </w:rPr>
        <w:t>安全生产事故的分类：一般事故、较大事故、重大事故、特别重大事故。</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44.四不放过</w:t>
      </w:r>
      <w:r>
        <w:rPr>
          <w:rFonts w:hint="eastAsia" w:asciiTheme="minorEastAsia" w:hAnsiTheme="minorEastAsia" w:eastAsiaTheme="minorEastAsia" w:cstheme="minorEastAsia"/>
          <w:sz w:val="18"/>
          <w:szCs w:val="18"/>
        </w:rPr>
        <w:t>原则：事故原因未查清不放过；责任人员没有受到处理不放过；整改措施没有落实不放过；有关人员没有受到教育不放过。现场有关人员立即向施工单位负责人报告，施工单位负责人1小时内向县级以上建设行政主管部门报告。情况紧急时，事故现场有关人员可以直接向县级以上报告。每级上报的时间≤2小时。</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45.</w:t>
      </w:r>
      <w:r>
        <w:rPr>
          <w:rFonts w:hint="eastAsia" w:asciiTheme="minorEastAsia" w:hAnsiTheme="minorEastAsia" w:eastAsiaTheme="minorEastAsia" w:cstheme="minorEastAsia"/>
          <w:sz w:val="18"/>
          <w:szCs w:val="18"/>
        </w:rPr>
        <w:t xml:space="preserve">安全事故的法律责任：①不立即抢救、事故调查处理期间擅离职守、迟报或漏报，事故单位   主要负责人处上年收入 </w:t>
      </w:r>
      <w:r>
        <w:rPr>
          <w:rFonts w:hint="eastAsia" w:asciiTheme="minorEastAsia" w:hAnsiTheme="minorEastAsia" w:eastAsiaTheme="minorEastAsia" w:cstheme="minorEastAsia"/>
          <w:sz w:val="18"/>
          <w:szCs w:val="18"/>
        </w:rPr>
        <w:t>40%-80%罚款。②谎报或瞒报，伪造故意破坏、销毁证据、拒绝接受调查、逃逸，事故单位处100-500万罚款、主要负责人处上年收入 60%-100%罚款。</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46.</w:t>
      </w:r>
      <w:r>
        <w:rPr>
          <w:rFonts w:hint="eastAsia" w:asciiTheme="minorEastAsia" w:hAnsiTheme="minorEastAsia" w:eastAsiaTheme="minorEastAsia" w:cstheme="minorEastAsia"/>
          <w:sz w:val="18"/>
          <w:szCs w:val="18"/>
        </w:rPr>
        <w:t>项目经理为现场文明施工的第一责任人。沿工地四周连续设置围挡，市区主要路段和其他涉及市容景观路段的工地设置围挡的高度不低于2.5m，其他工地的围挡高度不低于1.8m。“五牌一图”：工程概况牌、管理人员名单及监督电话牌、消防保卫</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防火职责</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牌、安全   生产牌、文明施工牌和施工现场平面图。</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47.</w:t>
      </w:r>
      <w:r>
        <w:rPr>
          <w:rFonts w:hint="eastAsia" w:asciiTheme="minorEastAsia" w:hAnsiTheme="minorEastAsia" w:eastAsiaTheme="minorEastAsia" w:cstheme="minorEastAsia"/>
          <w:sz w:val="18"/>
          <w:szCs w:val="18"/>
        </w:rPr>
        <w:t xml:space="preserve">噪声污染的处理：在人口稠密区进行强噪声作业时，须严格控制作业时间，一般晚 </w:t>
      </w:r>
      <w:r>
        <w:rPr>
          <w:rFonts w:hint="eastAsia" w:asciiTheme="minorEastAsia" w:hAnsiTheme="minorEastAsia" w:eastAsiaTheme="minorEastAsia" w:cstheme="minorEastAsia"/>
          <w:sz w:val="18"/>
          <w:szCs w:val="18"/>
        </w:rPr>
        <w:t xml:space="preserve">10点到次日早 </w:t>
      </w:r>
      <w:r>
        <w:rPr>
          <w:rFonts w:hint="eastAsia" w:asciiTheme="minorEastAsia" w:hAnsiTheme="minorEastAsia" w:eastAsiaTheme="minorEastAsia" w:cstheme="minorEastAsia"/>
          <w:sz w:val="18"/>
          <w:szCs w:val="18"/>
        </w:rPr>
        <w:t xml:space="preserve">6 点之间停止强噪声作业。施工场界环境噪声排放限值，昼间 </w:t>
      </w:r>
      <w:r>
        <w:rPr>
          <w:rFonts w:hint="eastAsia" w:asciiTheme="minorEastAsia" w:hAnsiTheme="minorEastAsia" w:eastAsiaTheme="minorEastAsia" w:cstheme="minorEastAsia"/>
          <w:sz w:val="18"/>
          <w:szCs w:val="18"/>
        </w:rPr>
        <w:t xml:space="preserve">70dB(A)，夜间 </w:t>
      </w:r>
      <w:r>
        <w:rPr>
          <w:rFonts w:hint="eastAsia" w:asciiTheme="minorEastAsia" w:hAnsiTheme="minorEastAsia" w:eastAsiaTheme="minorEastAsia" w:cstheme="minorEastAsia"/>
          <w:sz w:val="18"/>
          <w:szCs w:val="18"/>
        </w:rPr>
        <w:t xml:space="preserve">55dB(A)。夜间噪声最大声级超过限值的幅度不得高于 </w:t>
      </w:r>
      <w:r>
        <w:rPr>
          <w:rFonts w:hint="eastAsia" w:asciiTheme="minorEastAsia" w:hAnsiTheme="minorEastAsia" w:eastAsiaTheme="minorEastAsia" w:cstheme="minorEastAsia"/>
          <w:sz w:val="18"/>
          <w:szCs w:val="18"/>
        </w:rPr>
        <w:t xml:space="preserve">15dB(A)。招标信息修改：①时限为投标截止日 </w:t>
      </w:r>
      <w:r>
        <w:rPr>
          <w:rFonts w:hint="eastAsia" w:asciiTheme="minorEastAsia" w:hAnsiTheme="minorEastAsia" w:eastAsiaTheme="minorEastAsia" w:cstheme="minorEastAsia"/>
          <w:sz w:val="18"/>
          <w:szCs w:val="18"/>
        </w:rPr>
        <w:t>15 日前。②必须以书面形式，直接通知所有招标文件的收受人。</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48.</w:t>
      </w:r>
      <w:r>
        <w:rPr>
          <w:rFonts w:hint="eastAsia" w:asciiTheme="minorEastAsia" w:hAnsiTheme="minorEastAsia" w:eastAsiaTheme="minorEastAsia" w:cstheme="minorEastAsia"/>
          <w:sz w:val="18"/>
          <w:szCs w:val="18"/>
        </w:rPr>
        <w:t>评标：初步评审</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符合性审查</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。详细评审</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实质性审查，核心</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，包括技术评审和商务评审。</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49.</w:t>
      </w:r>
      <w:r>
        <w:rPr>
          <w:rFonts w:hint="eastAsia" w:asciiTheme="minorEastAsia" w:hAnsiTheme="minorEastAsia" w:eastAsiaTheme="minorEastAsia" w:cstheme="minorEastAsia"/>
          <w:sz w:val="18"/>
          <w:szCs w:val="18"/>
        </w:rPr>
        <w:t>施工劳务分包合同</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保险：谁的东西谁买保险。物资采购合同的主要内容</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验收方式：驻厂验收、提运验收、接运验收、入库验收</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应用最广</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交货期限：供货方负责送货的，以采购方收货戳记的日期为准。采购方提货的，以供货方按合同规定通知的提货日期为准。凡委托运输部门或单位运输、送货或代运的产品，一般以供货方发运产品时承运单位签发的日期为准。</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50.</w:t>
      </w:r>
      <w:r>
        <w:rPr>
          <w:rFonts w:hint="eastAsia" w:asciiTheme="minorEastAsia" w:hAnsiTheme="minorEastAsia" w:eastAsiaTheme="minorEastAsia" w:cstheme="minorEastAsia"/>
          <w:sz w:val="18"/>
          <w:szCs w:val="18"/>
        </w:rPr>
        <w:t>成本加酬金合同形式—业主承担风险</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成本加固定费用合同：适用于工程总成本一开始估计不准，可能变化不大的情况</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成本加固定比例费用合同：适用于一般在工程初期很难描述工作范围和性质，或工期紧迫的   项目。成本加奖金合同：图纸、规范等准备不充分，不能据以确定合同价格，而仅能制定一个估算指标时可采用这种形式。最大成本加费用合同：当设计深度达到可以报总价的深度时，适用于此类合同。</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51.</w:t>
      </w:r>
      <w:r>
        <w:rPr>
          <w:rFonts w:hint="eastAsia" w:asciiTheme="minorEastAsia" w:hAnsiTheme="minorEastAsia" w:eastAsiaTheme="minorEastAsia" w:cstheme="minorEastAsia"/>
          <w:sz w:val="18"/>
          <w:szCs w:val="18"/>
        </w:rPr>
        <w:t>合同实施趋势分析：最终的工程状况</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承包商将承担什么样的后果</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最终工程经济效益</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利润</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水平。</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52.</w:t>
      </w:r>
      <w:r>
        <w:rPr>
          <w:rFonts w:hint="eastAsia" w:asciiTheme="minorEastAsia" w:hAnsiTheme="minorEastAsia" w:eastAsiaTheme="minorEastAsia" w:cstheme="minorEastAsia"/>
          <w:sz w:val="18"/>
          <w:szCs w:val="18"/>
        </w:rPr>
        <w:t>索赔成立的前提条件：与合同对照，事件已造成了承包人工程项目成本的额外支出，或直接工期损失；造成费用增加或工期损失的原因，按合同约定不属于承包人的行为责任或风险责任；承包人按合同规定的程序和时间提交索赔意向通知和索赔报告。这三个条件必须同时具备，缺一不可。首先要提出索赔意向，这是索赔工作程序的第一步。</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53.</w:t>
      </w:r>
      <w:r>
        <w:rPr>
          <w:rFonts w:hint="eastAsia" w:asciiTheme="minorEastAsia" w:hAnsiTheme="minorEastAsia" w:eastAsiaTheme="minorEastAsia" w:cstheme="minorEastAsia"/>
          <w:sz w:val="18"/>
          <w:szCs w:val="18"/>
        </w:rPr>
        <w:t>工程一切险：国内工程通常由项目法人办理保险，国际工程一般要求承包人办理保险。CIP保险的优点是：以最优的价格提供最佳的保障范围。能实施有效的风险管理。降低赔付率，进而降低保险费率。避免诉讼，便于索赔。建设工程项目的信息管理的目的旨在通过有效的项目信息传输的组织和控制为项目建设的增值服务。</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54.</w:t>
      </w:r>
      <w:r>
        <w:rPr>
          <w:rFonts w:hint="eastAsia" w:asciiTheme="minorEastAsia" w:hAnsiTheme="minorEastAsia" w:eastAsiaTheme="minorEastAsia" w:cstheme="minorEastAsia"/>
          <w:sz w:val="18"/>
          <w:szCs w:val="18"/>
        </w:rPr>
        <w:t>信息管理手册是信息管理的核心指导文件。各方都应编制各自的信息管理手册。施工方信息管理手段的核心是实现工程管理信息化。</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55.</w:t>
      </w:r>
      <w:r>
        <w:rPr>
          <w:rFonts w:hint="eastAsia" w:asciiTheme="minorEastAsia" w:hAnsiTheme="minorEastAsia" w:eastAsiaTheme="minorEastAsia" w:cstheme="minorEastAsia"/>
          <w:sz w:val="18"/>
          <w:szCs w:val="18"/>
        </w:rPr>
        <w:t>工程管理的信息资源包括：</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1</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组织类工程信息，如建筑业的组织信息、项目参与方的组织信息、与建筑业有关的组织信息和专家信息等；</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2</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管理类工程信息，如与投资控制、进度控制、质量</w:t>
      </w:r>
      <w:bookmarkStart w:id="16" w:name="_GoBack"/>
      <w:bookmarkEnd w:id="16"/>
      <w:r>
        <w:rPr>
          <w:rFonts w:hint="eastAsia" w:asciiTheme="minorEastAsia" w:hAnsiTheme="minorEastAsia" w:eastAsiaTheme="minorEastAsia" w:cstheme="minorEastAsia"/>
          <w:sz w:val="18"/>
          <w:szCs w:val="18"/>
        </w:rPr>
        <w:t>控制、合同管理和信息管理有关的信息等；</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3</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经济类工程信息，如建设物资的市场信息、项同融资的信息等；</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4</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技术类工程信息，如与设计、施工和物资有关的技术信息等；</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5</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法规类信息等。</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56.</w:t>
      </w:r>
      <w:r>
        <w:rPr>
          <w:rFonts w:hint="eastAsia" w:asciiTheme="minorEastAsia" w:hAnsiTheme="minorEastAsia" w:eastAsiaTheme="minorEastAsia" w:cstheme="minorEastAsia"/>
          <w:sz w:val="18"/>
          <w:szCs w:val="18"/>
        </w:rPr>
        <w:t>工程质量控制资料：</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1</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工程项目原材料、构配件、成品、半成品和设备的出厂合格证及进场检</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试</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验报告。</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2</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施工试验记录和见证检测报告。</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3</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隐蔽工程验收记录文件。</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4</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 xml:space="preserve"> 交接检查记录。</w:t>
      </w:r>
    </w:p>
    <w:p>
      <w:pPr>
        <w:pStyle w:val="8"/>
        <w:numPr>
          <w:ilvl w:val="0"/>
          <w:numId w:val="0"/>
        </w:numPr>
        <w:tabs>
          <w:tab w:val="left" w:pos="339"/>
        </w:tabs>
        <w:spacing w:before="5" w:after="0" w:line="240" w:lineRule="auto"/>
        <w:ind w:left="126" w:leftChars="0" w:right="0" w:righ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57.</w:t>
      </w:r>
      <w:r>
        <w:rPr>
          <w:rFonts w:hint="eastAsia" w:asciiTheme="minorEastAsia" w:hAnsiTheme="minorEastAsia" w:eastAsiaTheme="minorEastAsia" w:cstheme="minorEastAsia"/>
          <w:sz w:val="18"/>
          <w:szCs w:val="18"/>
        </w:rPr>
        <w:t>竣工验收文件按单位工程、专业组卷。卷内文件的排列</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确定的在前，不确定的在后；批复在前、请示在后；印本在前、定稿在后；主件在前附件在后；文字材料排前，图纸排后。工程档案一般不少于两套，一套由建设单位保管，一套</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原件</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移交当地城建档案馆</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室</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rPr>
        <w:t>。</w:t>
      </w:r>
    </w:p>
    <w:sectPr>
      <w:footerReference r:id="rId3" w:type="default"/>
      <w:pgSz w:w="10380" w:h="14690"/>
      <w:pgMar w:top="720" w:right="720" w:bottom="720" w:left="720" w:header="0" w:footer="1162"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行楷">
    <w:panose1 w:val="02010800040101010101"/>
    <w:charset w:val="86"/>
    <w:family w:val="auto"/>
    <w:pitch w:val="default"/>
    <w:sig w:usb0="00000001" w:usb1="080F0000" w:usb2="00000000" w:usb3="00000000" w:csb0="00040000" w:csb1="00000000"/>
  </w:font>
  <w:font w:name="MT Extra">
    <w:panose1 w:val="05050102010205020202"/>
    <w:charset w:val="02"/>
    <w:family w:val="roman"/>
    <w:pitch w:val="default"/>
    <w:sig w:usb0="80000000" w:usb1="00000000" w:usb2="00000000" w:usb3="00000000" w:csb0="0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ind w:left="0"/>
      <w:rPr>
        <w:sz w:val="20"/>
      </w:rPr>
    </w:pPr>
    <w:r>
      <mc:AlternateContent>
        <mc:Choice Requires="wps">
          <w:drawing>
            <wp:anchor distT="0" distB="0" distL="114300" distR="114300" simplePos="0" relativeHeight="249240576" behindDoc="1" locked="0" layoutInCell="1" allowOverlap="1">
              <wp:simplePos x="0" y="0"/>
              <wp:positionH relativeFrom="page">
                <wp:posOffset>3208020</wp:posOffset>
              </wp:positionH>
              <wp:positionV relativeFrom="page">
                <wp:posOffset>8422005</wp:posOffset>
              </wp:positionV>
              <wp:extent cx="172085" cy="144780"/>
              <wp:effectExtent l="0" t="0" r="0" b="0"/>
              <wp:wrapNone/>
              <wp:docPr id="2" name="文本框 4"/>
              <wp:cNvGraphicFramePr/>
              <a:graphic xmlns:a="http://schemas.openxmlformats.org/drawingml/2006/main">
                <a:graphicData uri="http://schemas.microsoft.com/office/word/2010/wordprocessingShape">
                  <wps:wsp>
                    <wps:cNvSpPr txBox="1"/>
                    <wps:spPr>
                      <a:xfrm>
                        <a:off x="0" y="0"/>
                        <a:ext cx="172085" cy="144780"/>
                      </a:xfrm>
                      <a:prstGeom prst="rect">
                        <a:avLst/>
                      </a:prstGeom>
                      <a:noFill/>
                      <a:ln>
                        <a:noFill/>
                      </a:ln>
                    </wps:spPr>
                    <wps:txbx>
                      <w:txbxContent>
                        <w:p>
                          <w:pPr>
                            <w:spacing w:before="0" w:line="228" w:lineRule="exact"/>
                            <w:ind w:left="40" w:right="0" w:firstLine="0"/>
                            <w:jc w:val="left"/>
                            <w:rPr>
                              <w:rFonts w:ascii="等线"/>
                              <w:sz w:val="18"/>
                            </w:rPr>
                          </w:pPr>
                          <w:r>
                            <w:fldChar w:fldCharType="begin"/>
                          </w:r>
                          <w:r>
                            <w:rPr>
                              <w:rFonts w:ascii="等线"/>
                              <w:sz w:val="18"/>
                            </w:rPr>
                            <w:instrText xml:space="preserve"> PAGE </w:instrText>
                          </w:r>
                          <w:r>
                            <w:fldChar w:fldCharType="separate"/>
                          </w:r>
                          <w:r>
                            <w:t>30</w:t>
                          </w:r>
                          <w:r>
                            <w:fldChar w:fldCharType="end"/>
                          </w:r>
                        </w:p>
                      </w:txbxContent>
                    </wps:txbx>
                    <wps:bodyPr lIns="0" tIns="0" rIns="0" bIns="0" upright="1"/>
                  </wps:wsp>
                </a:graphicData>
              </a:graphic>
            </wp:anchor>
          </w:drawing>
        </mc:Choice>
        <mc:Fallback>
          <w:pict>
            <v:shape id="文本框 4" o:spid="_x0000_s1026" o:spt="202" type="#_x0000_t202" style="position:absolute;left:0pt;margin-left:252.6pt;margin-top:663.15pt;height:11.4pt;width:13.55pt;mso-position-horizontal-relative:page;mso-position-vertical-relative:page;z-index:-254075904;mso-width-relative:page;mso-height-relative:page;" filled="f" stroked="f" coordsize="21600,21600" o:gfxdata="UEsDBAoAAAAAAIdO4kAAAAAAAAAAAAAAAAAEAAAAZHJzL1BLAwQUAAAACACHTuJAQWlq8toAAAAN&#10;AQAADwAAAGRycy9kb3ducmV2LnhtbE2PT0+EMBDF7yZ+h2ZMvLktIMRFysYYPZkYWTx4LLQLzdIp&#10;0u4fv72zJ73NzHt583vV5uwmdjRLsB4lJCsBzGDvtcVBwmf7evcALESFWk0ejYQfE2BTX19VqtT+&#10;hI05buPAKARDqSSMMc4l56EfjVNh5WeDpO384lSkdRm4XtSJwt3EUyEK7pRF+jCq2TyPpt9vD07C&#10;0xc2L/b7vftodo1t27XAt2Iv5e1NIh6BRXOOf2a44BM61MTU+QPqwCYJuchTspKQpUUGjCx5ltLQ&#10;XU736wR4XfH/LepfUEsDBBQAAAAIAIdO4kAqPyYgugEAAHEDAAAOAAAAZHJzL2Uyb0RvYy54bWyt&#10;U0uOEzEQ3SPNHSzviTtRYKJWOiOhaEZICJCGOYDjttOW/FPZSXcuADdgxYY958o5KDvpzIfNLNi4&#10;y+Xyq/deuZc3gzVkLyFq7xo6nVSUSCd8q922oQ/fbt8uKImJu5Yb72RDDzLSm9XVm2UfajnznTet&#10;BIIgLtZ9aGiXUqgZi6KTlseJD9LhofJgecItbFkLvEd0a9isqt6z3kMbwAsZI2bXp0N6RoTXAHql&#10;tJBrL3ZWunRCBWl4Qkmx0yHSVWGrlBTpi1JRJmIaikpTWbEJxpu8stWS11vgodPiTIG/hsILTZZr&#10;h00vUGueONmB/gfKagE+epUmwlt2ElIcQRXT6oU39x0PsmhBq2O4mB7/H6z4vP8KRLcNnVHiuMWB&#10;H3/+OP76c/z9ncyzPX2INVbdB6xLwwc/4KMZ8xGTWfWgwOYv6iF4juYeLubKIRGRL13PqsU7SgQe&#10;Tefz60Uxnz1eDhDTnfSW5KChgLMrlvL9p5iQCJaOJbmX87famDI/454lsDBnWGZ+YpijNGyGs5yN&#10;bw+oxnx06GR+FWMAY7AZg10Ave2QTtFcIHEShcz51eRRP92Xxo9/yuo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QWlq8toAAAANAQAADwAAAAAAAAABACAAAAAiAAAAZHJzL2Rvd25yZXYueG1sUEsB&#10;AhQAFAAAAAgAh07iQCo/JiC6AQAAcQMAAA4AAAAAAAAAAQAgAAAAKQEAAGRycy9lMm9Eb2MueG1s&#10;UEsFBgAAAAAGAAYAWQEAAFUFAAAAAA==&#10;">
              <v:fill on="f" focussize="0,0"/>
              <v:stroke on="f"/>
              <v:imagedata o:title=""/>
              <o:lock v:ext="edit" aspectratio="f"/>
              <v:textbox inset="0mm,0mm,0mm,0mm">
                <w:txbxContent>
                  <w:p>
                    <w:pPr>
                      <w:spacing w:before="0" w:line="228" w:lineRule="exact"/>
                      <w:ind w:left="40" w:right="0" w:firstLine="0"/>
                      <w:jc w:val="left"/>
                      <w:rPr>
                        <w:rFonts w:ascii="等线"/>
                        <w:sz w:val="18"/>
                      </w:rPr>
                    </w:pPr>
                    <w:r>
                      <w:fldChar w:fldCharType="begin"/>
                    </w:r>
                    <w:r>
                      <w:rPr>
                        <w:rFonts w:ascii="等线"/>
                        <w:sz w:val="18"/>
                      </w:rPr>
                      <w:instrText xml:space="preserve"> PAGE </w:instrText>
                    </w:r>
                    <w:r>
                      <w:fldChar w:fldCharType="separate"/>
                    </w:r>
                    <w:r>
                      <w:t>30</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A54FF"/>
    <w:rsid w:val="06E3372B"/>
    <w:rsid w:val="0A204DA7"/>
    <w:rsid w:val="29CB02ED"/>
    <w:rsid w:val="50E06B61"/>
    <w:rsid w:val="76C4764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ind w:left="127"/>
      <w:outlineLvl w:val="1"/>
    </w:pPr>
    <w:rPr>
      <w:rFonts w:ascii="宋体" w:hAnsi="宋体" w:eastAsia="宋体" w:cs="宋体"/>
      <w:b/>
      <w:bCs/>
      <w:sz w:val="24"/>
      <w:szCs w:val="24"/>
      <w:lang w:val="zh-CN" w:eastAsia="zh-CN" w:bidi="zh-CN"/>
    </w:rPr>
  </w:style>
  <w:style w:type="paragraph" w:styleId="3">
    <w:name w:val="heading 2"/>
    <w:basedOn w:val="1"/>
    <w:next w:val="1"/>
    <w:qFormat/>
    <w:uiPriority w:val="1"/>
    <w:pPr>
      <w:ind w:left="127"/>
      <w:outlineLvl w:val="2"/>
    </w:pPr>
    <w:rPr>
      <w:rFonts w:ascii="华文楷体" w:hAnsi="华文楷体" w:eastAsia="华文楷体" w:cs="华文楷体"/>
      <w:b/>
      <w:bCs/>
      <w:sz w:val="21"/>
      <w:szCs w:val="21"/>
      <w:lang w:val="zh-CN" w:eastAsia="zh-CN" w:bidi="zh-CN"/>
    </w:rPr>
  </w:style>
  <w:style w:type="character" w:default="1" w:styleId="6">
    <w:name w:val="Default Paragraph Font"/>
    <w:semiHidden/>
    <w:unhideWhenUsed/>
    <w:qFormat/>
    <w:uiPriority w:val="1"/>
  </w:style>
  <w:style w:type="table" w:default="1" w:styleId="5">
    <w:name w:val="Normal Table"/>
    <w:semiHidden/>
    <w:uiPriority w:val="0"/>
    <w:tblPr>
      <w:tblCellMar>
        <w:top w:w="0" w:type="dxa"/>
        <w:left w:w="108" w:type="dxa"/>
        <w:bottom w:w="0" w:type="dxa"/>
        <w:right w:w="108" w:type="dxa"/>
      </w:tblCellMar>
    </w:tblPr>
  </w:style>
  <w:style w:type="paragraph" w:styleId="4">
    <w:name w:val="Body Text"/>
    <w:basedOn w:val="1"/>
    <w:qFormat/>
    <w:uiPriority w:val="1"/>
    <w:pPr>
      <w:ind w:left="127"/>
    </w:pPr>
    <w:rPr>
      <w:rFonts w:ascii="宋体" w:hAnsi="宋体" w:eastAsia="宋体" w:cs="宋体"/>
      <w:sz w:val="21"/>
      <w:szCs w:val="21"/>
      <w:lang w:val="zh-CN" w:eastAsia="zh-CN" w:bidi="zh-CN"/>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127"/>
    </w:pPr>
    <w:rPr>
      <w:rFonts w:ascii="宋体" w:hAnsi="宋体" w:eastAsia="宋体" w:cs="宋体"/>
      <w:lang w:val="zh-CN" w:eastAsia="zh-CN" w:bidi="zh-CN"/>
    </w:rPr>
  </w:style>
  <w:style w:type="paragraph" w:customStyle="1" w:styleId="9">
    <w:name w:val="Table Paragraph"/>
    <w:basedOn w:val="1"/>
    <w:qFormat/>
    <w:uiPriority w:val="1"/>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44</TotalTime>
  <ScaleCrop>false</ScaleCrop>
  <LinksUpToDate>false</LinksUpToDate>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2020-11-28T10:15:00Z</dcterms:created>
  <dc:creator>浩然 张</dc:creator>
  <cp:lastModifiedBy>风往北吹</cp:lastModifiedBy>
  <dcterms:modified xsi:type="dcterms:W3CDTF">2020-11-28T11:19:46Z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2020-09-30T00:00:00Z</vt:filetime>
  </property>
  <property fmtid="{D5CDD505-2E9C-101B-9397-08002B2CF9AE}" pid="3" name="Creator">
    <vt:lpwstr>WPS 文字</vt:lpwstr>
  </property>
  <property fmtid="{D5CDD505-2E9C-101B-9397-08002B2CF9AE}" pid="4" name="LastSaved">
    <vt:filetime>2020-11-28T00:00:00Z</vt:filetime>
  </property>
  <property fmtid="{D5CDD505-2E9C-101B-9397-08002B2CF9AE}" pid="5" name="KSOProductBuildVer">
    <vt:lpwstr>2052-11.1.0.10132</vt:lpwstr>
  </property>
</Properties>
</file>