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CellSpacing w:w="15" w:type="dxa"/>
        <w:tblInd w:w="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36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河北省住房和城乡建设厅关于重新调整《建筑业营改增河北省建筑工程计价依据调整办法》的通知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 来源: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本站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 加入时间: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2019/4/4 8:57:05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 浏览次数: 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3405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DCDCDC"/>
              </w:rPr>
            </w:pPr>
            <w:r>
              <w:pict>
                <v:rect id="_x0000_i1025" o:spt="1" style="height:0.75pt;width:435pt;" fillcolor="#DCDCDC" filled="t" stroked="f" coordsize="21600,21600" o:hr="t" o:hrstd="t" o:hrnoshade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Style w:val="4"/>
              <w:tblW w:w="4750" w:type="pct"/>
              <w:jc w:val="center"/>
              <w:tblCellSpacing w:w="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2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eastAsia="zh-CN"/>
                    </w:rPr>
                    <w:t xml:space="preserve">河北省住房和城乡建设厅 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eastAsia="zh-CN"/>
                    </w:rPr>
                    <w:t xml:space="preserve">关于重新调整《建筑业营改增河北省建筑 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eastAsia="zh-CN"/>
                    </w:rPr>
                    <w:t xml:space="preserve">工程计价依据调整办法》的通知 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eastAsia="zh-CN"/>
                    </w:rPr>
                    <w:t xml:space="preserve">冀建建市〔2019〕3号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各市（含定州、辛集市）住房和城乡建设局（建设局）、雄安新区管委会规划建设局、各相关单位：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根据财政部、税务总局、海关总署《关于深化增值税改革有关政策的公告》（财政部 税务总局 海关总署公告2019年第39号）及住房和城乡建设部办公厅《关于重新调整建设工程计价依据增值税税率的通知》（建办标函〔2019〕193号）的规定和要求，现将我省《建筑业营改增河北省建筑工程计价依据调整办法》（冀建市〔2016〕10号）中有关内容重新调整如下：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eastAsia="zh-CN"/>
                    </w:rPr>
                    <w:t>　　一、增值税销项税率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一般计税方法中销项税税率由10%调整为9%，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销项税额=（税前工程造价-进项税额）×9%。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二、附加税费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附加税费费率调整如下：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附加税费费率  </w:t>
                  </w:r>
                </w:p>
                <w:tbl>
                  <w:tblPr>
                    <w:tblStyle w:val="4"/>
                    <w:tblW w:w="7500" w:type="dxa"/>
                    <w:jc w:val="center"/>
                    <w:tblCellSpacing w:w="0" w:type="dxa"/>
                    <w:tblBorders>
                      <w:top w:val="outset" w:color="auto" w:sz="6" w:space="0"/>
                      <w:left w:val="outset" w:color="auto" w:sz="6" w:space="0"/>
                      <w:bottom w:val="outset" w:color="auto" w:sz="6" w:space="0"/>
                      <w:right w:val="outset" w:color="auto" w:sz="6" w:space="0"/>
                      <w:insideH w:val="outset" w:color="auto" w:sz="6" w:space="0"/>
                      <w:insideV w:val="outset" w:color="auto" w:sz="6" w:space="0"/>
                    </w:tblBorders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275"/>
                    <w:gridCol w:w="1275"/>
                    <w:gridCol w:w="1050"/>
                    <w:gridCol w:w="1275"/>
                    <w:gridCol w:w="2625"/>
                  </w:tblGrid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</w:tblPrEx>
                    <w:trPr>
                      <w:trHeight w:val="301" w:hRule="atLeast"/>
                      <w:tblCellSpacing w:w="0" w:type="dxa"/>
                      <w:jc w:val="center"/>
                    </w:trPr>
                    <w:tc>
                      <w:tcPr>
                        <w:tcW w:w="850" w:type="pct"/>
                        <w:vMerge w:val="restar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项目名称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pct"/>
                        <w:vMerge w:val="restar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计算基数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00" w:type="pct"/>
                        <w:gridSpan w:val="3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费率（%）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1" w:hRule="atLeast"/>
                      <w:tblCellSpacing w:w="0" w:type="dxa"/>
                      <w:jc w:val="center"/>
                    </w:trPr>
                    <w:tc>
                      <w:tcPr>
                        <w:tcW w:w="850" w:type="pct"/>
                        <w:vMerge w:val="continue"/>
                        <w:shd w:val="clear" w:color="auto" w:fill="auto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50" w:type="pct"/>
                        <w:vMerge w:val="continue"/>
                        <w:shd w:val="clear" w:color="auto" w:fill="auto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市区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县城、镇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不在市区、县城、镇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1" w:hRule="atLeast"/>
                      <w:tblCellSpacing w:w="0" w:type="dxa"/>
                      <w:jc w:val="center"/>
                    </w:trPr>
                    <w:tc>
                      <w:tcPr>
                        <w:tcW w:w="8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费率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应纳税额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13.22%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11.00%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6.58%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 　　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三、除税系数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（一）材料、设备除税系数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材料、设备除税系数调整如下：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材料、设备除税系数 </w:t>
                  </w:r>
                </w:p>
                <w:tbl>
                  <w:tblPr>
                    <w:tblStyle w:val="4"/>
                    <w:tblW w:w="7500" w:type="dxa"/>
                    <w:jc w:val="center"/>
                    <w:tblCellSpacing w:w="0" w:type="dxa"/>
                    <w:tblBorders>
                      <w:top w:val="outset" w:color="auto" w:sz="6" w:space="0"/>
                      <w:left w:val="outset" w:color="auto" w:sz="6" w:space="0"/>
                      <w:bottom w:val="outset" w:color="auto" w:sz="6" w:space="0"/>
                      <w:right w:val="outset" w:color="auto" w:sz="6" w:space="0"/>
                      <w:insideH w:val="outset" w:color="auto" w:sz="6" w:space="0"/>
                      <w:insideV w:val="outset" w:color="auto" w:sz="6" w:space="0"/>
                    </w:tblBorders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75"/>
                    <w:gridCol w:w="2925"/>
                    <w:gridCol w:w="600"/>
                    <w:gridCol w:w="900"/>
                  </w:tblGrid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材料名称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依据文件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税率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除税 系数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  <w:lang w:eastAsia="zh-CN"/>
                          </w:rPr>
                          <w:t xml:space="preserve">建筑用和生产建筑材料所用的砂、土、石料、自来水、商品混凝土(仅限于以水泥为原料生产的水泥混凝土)；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以自己采掘的砂、土、石料或其他矿物连续生产的砖、瓦、石灰（不含粘土实心砖、瓦）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《关于简并增值税征收率政策的通知》（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instrText xml:space="preserve"> HYPERLINK "http://www.shui5.cn/article/26/72137.html" </w:instrTex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宋体" w:hAnsi="宋体" w:eastAsia="宋体" w:cs="宋体"/>
                            <w:color w:val="333333"/>
                            <w:sz w:val="18"/>
                            <w:szCs w:val="18"/>
                            <w:lang w:eastAsia="zh-CN"/>
                          </w:rPr>
                          <w:t>财税[2014]57号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hint="eastAsia" w:ascii="宋体" w:hAnsi="宋体" w:eastAsia="宋体" w:cs="宋体"/>
                            <w:color w:val="333333"/>
                            <w:sz w:val="18"/>
                            <w:szCs w:val="18"/>
                            <w:lang w:eastAsia="zh-CN"/>
                          </w:rPr>
                          <w:t>）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3％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2.86%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农膜、草皮、麦秸（糠）、稻草（壳）、暖气、冷气、热水、煤气、石油液化气、天然气、沼气、居民用煤炭制品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《关于深化增值税改革有关政策的公告》（财政部 税务总局 海关总署公告2019年第39号）、《关于调整增值税税率的通知》（财税〔2018〕32号）、《关于简并增值税税率有关政策的通知》（财税〔2017〕37号）、《关于印发〈农业产品征税范围注释〉的通知》（财税字〔1995〕52号）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9％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8.09%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其余材料（含租赁材料）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《关于深化增值税改革有关政策的公告》（财政部 税务总局 海关总署公告2019年第39号）、《关于调整增值税税率的通知》（财税〔2018〕32号）、《关于全面推开营业税改征增值税试点的通知》（财税〔2016〕36 号）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13％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11.28%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以“元”为单位的专项材料费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4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4%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以费率计算的措施费中材料费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4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6%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2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设备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4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13％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11.36%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 　　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（二）机械费除税系数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施工机械台班单价除税系数按下表计算：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机械台班单价调整方法及适用税率  </w:t>
                  </w:r>
                </w:p>
                <w:tbl>
                  <w:tblPr>
                    <w:tblStyle w:val="4"/>
                    <w:tblW w:w="7500" w:type="dxa"/>
                    <w:jc w:val="center"/>
                    <w:tblCellSpacing w:w="0" w:type="dxa"/>
                    <w:tblBorders>
                      <w:top w:val="outset" w:color="auto" w:sz="6" w:space="0"/>
                      <w:left w:val="outset" w:color="auto" w:sz="6" w:space="0"/>
                      <w:bottom w:val="outset" w:color="auto" w:sz="6" w:space="0"/>
                      <w:right w:val="outset" w:color="auto" w:sz="6" w:space="0"/>
                      <w:insideH w:val="outset" w:color="auto" w:sz="6" w:space="0"/>
                      <w:insideV w:val="outset" w:color="auto" w:sz="6" w:space="0"/>
                    </w:tblBorders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25"/>
                    <w:gridCol w:w="1575"/>
                    <w:gridCol w:w="5400"/>
                  </w:tblGrid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序号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台班单价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调整方法及适用税率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机械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各组成内容按以下方法分别扣减。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1.1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折旧费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以购进货物适用的税率13%扣减。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1.2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大修费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考虑全部委外维修，以接受修理修配劳务适用的税率13%扣减。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1.3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经常修理费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考虑委外维修费用占70％，以接受修理修配劳务适用的税率13%扣减。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1.4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安拆费及场外运输费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按自行安拆运输考虑，一般不予扣减。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1.5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人工费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组成内容为工资总额，不予扣减。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1.6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燃料动力费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以购进货物适用的相应税率或征收率扣减。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1.7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车船税费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税收费率，不予扣减。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租赁机械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以接受租赁有形动产适用的税率扣减。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仪器仪表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按以下方法分别扣减。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3.1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摊销费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以购进货物适用的税率扣减。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outset" w:color="auto" w:sz="6" w:space="0"/>
                        <w:left w:val="outset" w:color="auto" w:sz="6" w:space="0"/>
                        <w:bottom w:val="outset" w:color="auto" w:sz="6" w:space="0"/>
                        <w:right w:val="outset" w:color="auto" w:sz="6" w:space="0"/>
                        <w:insideH w:val="outset" w:color="auto" w:sz="6" w:space="0"/>
                        <w:insideV w:val="outset" w:color="auto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3.2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维修费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pct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both"/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szCs w:val="18"/>
                            <w:lang w:eastAsia="zh-CN"/>
                          </w:rPr>
                          <w:t>以接受修理修配劳务适用的税率扣减。</w:t>
                        </w:r>
                        <w:r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 　　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（三）企业管理费除税系数调整为2.06%。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四、执行原则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（一）《建筑业营改增河北省建筑工程计价依据调整办法》（冀建市〔2016〕10号）继续执行，但与本通知不一致的，以本通知为准。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　　（二）本通知自2019年4月1日起施行。《关于调整〈建筑业营改增河北省建筑工程计价依据调整办法〉的通知》（冀建工〔2018〕18号）同时废止。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eastAsia="zh-CN"/>
                    </w:rPr>
                    <w:t>河北省住房和城乡建设厅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 xml:space="preserve">2019年4月1日 </w:t>
                  </w:r>
                </w:p>
              </w:tc>
            </w:tr>
          </w:tbl>
          <w:p>
            <w:pPr>
              <w:jc w:val="right"/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64F4"/>
    <w:rsid w:val="18045E08"/>
    <w:rsid w:val="23015649"/>
    <w:rsid w:val="26E16168"/>
    <w:rsid w:val="2C7B1EF2"/>
    <w:rsid w:val="31CB689F"/>
    <w:rsid w:val="34933B28"/>
    <w:rsid w:val="35F543C8"/>
    <w:rsid w:val="45790522"/>
    <w:rsid w:val="4EAB5114"/>
    <w:rsid w:val="4F7B52A8"/>
    <w:rsid w:val="59821004"/>
    <w:rsid w:val="59F21005"/>
    <w:rsid w:val="5CC80561"/>
    <w:rsid w:val="5FEE0844"/>
    <w:rsid w:val="726B1BBE"/>
    <w:rsid w:val="737535E8"/>
    <w:rsid w:val="788C75FC"/>
    <w:rsid w:val="7DC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zshui</cp:lastModifiedBy>
  <cp:lastPrinted>2019-11-22T02:47:00Z</cp:lastPrinted>
  <dcterms:modified xsi:type="dcterms:W3CDTF">2019-11-22T02:48:21Z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