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1F3864"/>
          <w:sz w:val="40"/>
          <w:szCs w:val="40"/>
        </w:rPr>
        <w:t xml:space="preserve">Reflective AI</w:t>
      </w:r>
    </w:p>
    <w:p>
      <w:pPr>
        <w:spacing w:after="60"/>
      </w:pPr>
      <w:r>
        <w:rPr>
          <w:rFonts w:ascii="Yu Gothic" w:cs="Yu Gothic" w:eastAsia="Yu Gothic" w:hAnsi="Yu Gothic"/>
          <w:b/>
          <w:bCs/>
          <w:color w:val="2E5395"/>
          <w:sz w:val="30"/>
          <w:szCs w:val="30"/>
        </w:rPr>
        <w:t xml:space="preserve">企業内カウンセリング活用に向けた設計ドキュメント</w:t>
      </w:r>
    </w:p>
    <w:p>
      <w:pPr>
        <w:pBdr>
          <w:bottom w:val="single" w:color="8FAADC" w:sz="6" w:space="6"/>
        </w:pBdr>
        <w:spacing w:after="300"/>
      </w:pPr>
      <w:r>
        <w:rPr>
          <w:rFonts w:ascii="Yu Gothic" w:cs="Yu Gothic" w:eastAsia="Yu Gothic" w:hAnsi="Yu Gothic"/>
          <w:color w:val="666666"/>
          <w:sz w:val="19"/>
          <w:szCs w:val="19"/>
        </w:rPr>
        <w:t xml:space="preserve">2026年8月 作成／社内検討用</w:t>
      </w:r>
    </w:p>
    <w:p>
      <w:pPr>
        <w:pStyle w:val="Heading1"/>
        <w:spacing w:after="160" w:before="320"/>
      </w:pPr>
      <w:r>
        <w:rPr>
          <w:rFonts w:ascii="Yu Gothic" w:cs="Yu Gothic" w:eastAsia="Yu Gothic" w:hAnsi="Yu Gothic"/>
          <w:b/>
          <w:bCs/>
          <w:color w:val="1F3864"/>
          <w:sz w:val="30"/>
          <w:szCs w:val="30"/>
        </w:rPr>
        <w:t xml:space="preserve">1. 本ドキュメントの目的</w:t>
      </w:r>
    </w:p>
    <w:p>
      <w:pPr>
        <w:spacing w:after="140" w:line="300"/>
      </w:pPr>
      <w:r>
        <w:rPr>
          <w:rFonts w:ascii="Yu Gothic" w:cs="Yu Gothic" w:eastAsia="Yu Gothic" w:hAnsi="Yu Gothic"/>
          <w:sz w:val="21"/>
          <w:szCs w:val="21"/>
        </w:rPr>
        <w:t xml:space="preserve">個人向けセルフケアツール「Reflective AI」を、企業内カウンセリング（キャリア面談・復職支援等）の文脈でも活用できるよう発展させるための設計方針を整理する。オープンダイアローグのリフレクティングという手法的裏付けと、現行アプリの実装の対応関係を明確にした上で、企業導入に向けて優先的に着手すべき機能（特に危機対応の導線・応答品質の一貫性）の仕様をまとめる。</w:t>
      </w:r>
    </w:p>
    <w:p>
      <w:pPr>
        <w:pStyle w:val="Heading1"/>
        <w:spacing w:after="160" w:before="320"/>
      </w:pPr>
      <w:r>
        <w:rPr>
          <w:rFonts w:ascii="Yu Gothic" w:cs="Yu Gothic" w:eastAsia="Yu Gothic" w:hAnsi="Yu Gothic"/>
          <w:b/>
          <w:bCs/>
          <w:color w:val="1F3864"/>
          <w:sz w:val="30"/>
          <w:szCs w:val="30"/>
        </w:rPr>
        <w:t xml:space="preserve">2. アプリの現状の構造</w:t>
      </w:r>
    </w:p>
    <w:p>
      <w:pPr>
        <w:spacing w:after="140" w:line="300"/>
      </w:pPr>
      <w:r>
        <w:rPr>
          <w:rFonts w:ascii="Yu Gothic" w:cs="Yu Gothic" w:eastAsia="Yu Gothic" w:hAnsi="Yu Gothic"/>
          <w:sz w:val="21"/>
          <w:szCs w:val="21"/>
        </w:rPr>
        <w:t xml:space="preserve">現行アプリは「本人が書く → AI（Reflective AI）が判断・助言を行わずに応答する → 内容は保存・学習されない」という一人称の壁打ち構造を持つ。この構造は、以下のように整理できる。</w:t>
      </w:r>
    </w:p>
    <w:p>
      <w:pPr>
        <w:pStyle w:val="Heading2"/>
        <w:spacing w:after="120" w:before="260"/>
      </w:pPr>
      <w:r>
        <w:rPr>
          <w:rFonts w:ascii="Yu Gothic" w:cs="Yu Gothic" w:eastAsia="Yu Gothic" w:hAnsi="Yu Gothic"/>
          <w:b/>
          <w:bCs/>
          <w:color w:val="2E5395"/>
          <w:sz w:val="25"/>
          <w:szCs w:val="25"/>
        </w:rPr>
        <w:t xml:space="preserve">2.1 三者構造としての解釈</w:t>
      </w:r>
    </w:p>
    <w:p>
      <w:pPr>
        <w:spacing w:after="140" w:line="300"/>
      </w:pPr>
      <w:r>
        <w:rPr>
          <w:rFonts w:ascii="Yu Gothic" w:cs="Yu Gothic" w:eastAsia="Yu Gothic" w:hAnsi="Yu Gothic"/>
          <w:sz w:val="21"/>
          <w:szCs w:val="21"/>
        </w:rPr>
        <w:t xml:space="preserve">本人・相手役（AIが代行）・Reflective AI という三者構造として説明できる余地がある。ただし、現状の応答が単一の地の文として返る場合、この説明は設計意図としては成立するが、利用者の体験としては未分化である点に留意する。応答内で「相手役の言葉」と「第三者としての所感」を構造的に分ける拡張を行えば、体験レベルでも三者構造・複数の声（ポリフォニー）の主張がしやすくなる。</w:t>
      </w:r>
    </w:p>
    <w:p>
      <w:pPr>
        <w:pStyle w:val="Heading2"/>
        <w:spacing w:after="120" w:before="260"/>
      </w:pPr>
      <w:r>
        <w:rPr>
          <w:rFonts w:ascii="Yu Gothic" w:cs="Yu Gothic" w:eastAsia="Yu Gothic" w:hAnsi="Yu Gothic"/>
          <w:b/>
          <w:bCs/>
          <w:color w:val="2E5395"/>
          <w:sz w:val="25"/>
          <w:szCs w:val="25"/>
        </w:rPr>
        <w:t xml:space="preserve">2.2 「読む」ことと「聞く」ことの関係</w:t>
      </w:r>
    </w:p>
    <w:p>
      <w:pPr>
        <w:spacing w:after="140" w:line="300"/>
      </w:pPr>
      <w:r>
        <w:rPr>
          <w:rFonts w:ascii="Yu Gothic" w:cs="Yu Gothic" w:eastAsia="Yu Gothic" w:hAnsi="Yu Gothic"/>
          <w:sz w:val="21"/>
          <w:szCs w:val="21"/>
        </w:rPr>
        <w:t xml:space="preserve">Cooper et al.（2022）が示す「聞く立場に回ることの自己理解効果」の核心は、感覚モダリティ（聴覚）そのものよりも、「応答義務のない受け手の立場に回る」という構造的な役割の変化にあると解釈できる。この解釈に立てば、「読む」という行為もこの効果の条件を部分的に満たすと考えられる。ただし、これは原論文の直接的実証ではなく理論的な再解釈であり、資料上は類推的裏付けとして扱う。</w:t>
      </w:r>
    </w:p>
    <w:p>
      <w:pPr>
        <w:pStyle w:val="Heading2"/>
        <w:spacing w:after="120" w:before="260"/>
      </w:pPr>
      <w:r>
        <w:rPr>
          <w:rFonts w:ascii="Yu Gothic" w:cs="Yu Gothic" w:eastAsia="Yu Gothic" w:hAnsi="Yu Gothic"/>
          <w:b/>
          <w:bCs/>
          <w:color w:val="2E5395"/>
          <w:sz w:val="25"/>
          <w:szCs w:val="25"/>
        </w:rPr>
        <w:t xml:space="preserve">2.3 ポリフォニーを採用していない理由</w:t>
      </w:r>
    </w:p>
    <w:p>
      <w:pPr>
        <w:spacing w:after="140" w:line="300"/>
      </w:pPr>
      <w:r>
        <w:rPr>
          <w:rFonts w:ascii="Yu Gothic" w:cs="Yu Gothic" w:eastAsia="Yu Gothic" w:hAnsi="Yu Gothic"/>
          <w:sz w:val="21"/>
          <w:szCs w:val="21"/>
        </w:rPr>
        <w:t xml:space="preserve">セッション内で複数の応答を返すと、1回の利用にかかる時間が長くなり、継続利用率を損なうリスクがある。この点を踏まえ、現状は単一応答を採用し、複数視点の提示は将来的な人間同士のリフレクティングセッションとの連携で補完する方針とする。</w:t>
      </w:r>
    </w:p>
    <w:p>
      <w:pPr>
        <w:pStyle w:val="Heading2"/>
        <w:spacing w:after="120" w:before="260"/>
      </w:pPr>
      <w:r>
        <w:rPr>
          <w:rFonts w:ascii="Yu Gothic" w:cs="Yu Gothic" w:eastAsia="Yu Gothic" w:hAnsi="Yu Gothic"/>
          <w:b/>
          <w:bCs/>
          <w:color w:val="2E5395"/>
          <w:sz w:val="25"/>
          <w:szCs w:val="25"/>
        </w:rPr>
        <w:t xml:space="preserve">2.4 記録を残さない設計思想</w:t>
      </w:r>
    </w:p>
    <w:p>
      <w:pPr>
        <w:spacing w:after="140" w:line="300"/>
      </w:pPr>
      <w:r>
        <w:rPr>
          <w:rFonts w:ascii="Yu Gothic" w:cs="Yu Gothic" w:eastAsia="Yu Gothic" w:hAnsi="Yu Gothic"/>
          <w:sz w:val="21"/>
          <w:szCs w:val="21"/>
        </w:rPr>
        <w:t xml:space="preserve">オープンダイアローグ本来の「記録は残さず、記憶のみで翌朝も開催する」という原則に倣い、本アプリでも発言内容を保存・学習させない設計を採用している。これは運用上の工夫ではなく、「その場限りだからこそ本音を言える」という心理的安全性の根幹であり、他の対話型AIサービスとの重要な差別化要素である。</w:t>
      </w:r>
    </w:p>
    <w:p>
      <w:pPr>
        <w:pStyle w:val="Heading1"/>
        <w:spacing w:after="160" w:before="320"/>
      </w:pPr>
      <w:r>
        <w:rPr>
          <w:rFonts w:ascii="Yu Gothic" w:cs="Yu Gothic" w:eastAsia="Yu Gothic" w:hAnsi="Yu Gothic"/>
          <w:b/>
          <w:bCs/>
          <w:color w:val="1F3864"/>
          <w:sz w:val="30"/>
          <w:szCs w:val="30"/>
        </w:rPr>
        <w:t xml:space="preserve">3. 学術的裏付けの整理</w:t>
      </w:r>
    </w:p>
    <w:p>
      <w:pPr>
        <w:spacing w:after="140" w:line="300"/>
      </w:pPr>
      <w:r>
        <w:rPr>
          <w:rFonts w:ascii="Yu Gothic" w:cs="Yu Gothic" w:eastAsia="Yu Gothic" w:hAnsi="Yu Gothic"/>
          <w:sz w:val="21"/>
          <w:szCs w:val="21"/>
        </w:rPr>
        <w:t xml:space="preserve">企業向け説明においては、根拠の強度をそのまま製品説明にも反映し、過大に主張しないことを原則とする。</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900"/>
      </w:tblGrid>
      <w:tr>
        <w:trPr>
          <w:tblHeader/>
        </w:trPr>
        <w:tc>
          <w:tcPr>
            <w:tcW w:type="dxa" w:w="46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根拠</w:t>
            </w:r>
          </w:p>
        </w:tc>
        <w:tc>
          <w:tcPr>
            <w:tcW w:type="dxa" w:w="24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裏付けの水準</w:t>
            </w:r>
          </w:p>
        </w:tc>
        <w:tc>
          <w:tcPr>
            <w:tcW w:type="dxa" w:w="29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現行アプリでの対応度</w:t>
            </w:r>
          </w:p>
        </w:tc>
      </w:tr>
      <w:tr>
        <w:tc>
          <w:tcPr>
            <w:tcW w:type="dxa" w:w="4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4.1 聞く立場に回ることによる自己理解（Cooper et al., 2022）</w:t>
            </w:r>
          </w:p>
        </w:tc>
        <w:tc>
          <w:tcPr>
            <w:tcW w:type="dxa" w:w="24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直接的（一部は理論的再解釈）</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　「読む」を「聞く」の構造的等価として再解釈</w:t>
            </w:r>
          </w:p>
        </w:tc>
      </w:tr>
      <w:tr>
        <w:tc>
          <w:tcPr>
            <w:tcW w:type="dxa" w:w="4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4.2 外在化による思考の可視化（ヴィゴツキー内言理論）</w:t>
            </w:r>
          </w:p>
        </w:tc>
        <w:tc>
          <w:tcPr>
            <w:tcW w:type="dxa" w:w="24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類推的</w:t>
            </w:r>
          </w:p>
        </w:tc>
        <w:tc>
          <w:tcPr>
            <w:tcW w:type="dxa" w:w="29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　書いた内容が言葉として返る構造に直接対応</w:t>
            </w:r>
          </w:p>
        </w:tc>
      </w:tr>
      <w:tr>
        <w:tc>
          <w:tcPr>
            <w:tcW w:type="dxa" w:w="4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4.3 複数の解釈の並存による視野拡張（バフチン／Seikkula &amp; Olson）</w:t>
            </w:r>
          </w:p>
        </w:tc>
        <w:tc>
          <w:tcPr>
            <w:tcW w:type="dxa" w:w="24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理論的</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　現状は単一応答のため未対応。将来拡張の対象</w:t>
            </w:r>
          </w:p>
        </w:tc>
      </w:tr>
      <w:tr>
        <w:tc>
          <w:tcPr>
            <w:tcW w:type="dxa" w:w="4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4.4 感情と思考の分離（自己距離化研究：Kross &amp; Ayduk）</w:t>
            </w:r>
          </w:p>
        </w:tc>
        <w:tc>
          <w:tcPr>
            <w:tcW w:type="dxa" w:w="24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実験的（類推的接続）</w:t>
            </w:r>
          </w:p>
        </w:tc>
        <w:tc>
          <w:tcPr>
            <w:tcW w:type="dxa" w:w="29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　外在化された言葉を介した振り返り構造に対応</w:t>
            </w:r>
          </w:p>
        </w:tc>
      </w:tr>
    </w:tbl>
    <w:p>
      <w:pPr>
        <w:spacing w:after="140" w:line="300"/>
      </w:pPr>
      <w:r>
        <w:rPr>
          <w:rFonts w:ascii="Yu Gothic" w:cs="Yu Gothic" w:eastAsia="Yu Gothic" w:hAnsi="Yu Gothic"/>
          <w:sz w:val="21"/>
          <w:szCs w:val="21"/>
        </w:rPr>
        <w:t xml:space="preserve"/>
      </w:r>
    </w:p>
    <w:p>
      <w:pPr>
        <w:spacing w:after="140" w:line="300"/>
      </w:pPr>
      <w:r>
        <w:rPr>
          <w:rFonts w:ascii="Yu Gothic" w:cs="Yu Gothic" w:eastAsia="Yu Gothic" w:hAnsi="Yu Gothic"/>
          <w:sz w:val="21"/>
          <w:szCs w:val="21"/>
        </w:rPr>
        <w:t xml:space="preserve">現行アプリの訴求の中心は4.2・4.4（外在化・自己距離化）に置き、4.1・4.3は将来拡張（複数の声の実装、人間セッションとの連携）のロードマップとして位置づける。</w:t>
      </w:r>
    </w:p>
    <w:p>
      <w:pPr>
        <w:pStyle w:val="Heading1"/>
        <w:spacing w:after="160" w:before="320"/>
      </w:pPr>
      <w:r>
        <w:rPr>
          <w:rFonts w:ascii="Yu Gothic" w:cs="Yu Gothic" w:eastAsia="Yu Gothic" w:hAnsi="Yu Gothic"/>
          <w:b/>
          <w:bCs/>
          <w:color w:val="1F3864"/>
          <w:sz w:val="30"/>
          <w:szCs w:val="30"/>
        </w:rPr>
        <w:t xml:space="preserve">4. 企業内での活用場面と優先順位</w:t>
      </w:r>
    </w:p>
    <w:p>
      <w:pPr>
        <w:pStyle w:val="Heading2"/>
        <w:spacing w:after="120" w:before="260"/>
      </w:pPr>
      <w:r>
        <w:rPr>
          <w:rFonts w:ascii="Yu Gothic" w:cs="Yu Gothic" w:eastAsia="Yu Gothic" w:hAnsi="Yu Gothic"/>
          <w:b/>
          <w:bCs/>
          <w:color w:val="2E5395"/>
          <w:sz w:val="25"/>
          <w:szCs w:val="25"/>
        </w:rPr>
        <w:t xml:space="preserve">4.1 想定される活用場面</w:t>
      </w:r>
    </w:p>
    <w:p>
      <w:pPr>
        <w:pStyle w:val="ListParagraph"/>
        <w:numPr>
          <w:ilvl w:val="0"/>
          <w:numId w:val="2"/>
        </w:numPr>
        <w:spacing w:after="80" w:line="280"/>
      </w:pPr>
      <w:r>
        <w:rPr>
          <w:rFonts w:ascii="Yu Gothic" w:cs="Yu Gothic" w:eastAsia="Yu Gothic" w:hAnsi="Yu Gothic"/>
          <w:sz w:val="21"/>
          <w:szCs w:val="21"/>
        </w:rPr>
        <w:t xml:space="preserve">休職者の職場復帰支援（リワーク）：関係者間で見立てが割れやすい場面での視点提示</w:t>
      </w:r>
    </w:p>
    <w:p>
      <w:pPr>
        <w:pStyle w:val="ListParagraph"/>
        <w:numPr>
          <w:ilvl w:val="0"/>
          <w:numId w:val="2"/>
        </w:numPr>
        <w:spacing w:after="80" w:line="280"/>
      </w:pPr>
      <w:r>
        <w:rPr>
          <w:rFonts w:ascii="Yu Gothic" w:cs="Yu Gothic" w:eastAsia="Yu Gothic" w:hAnsi="Yu Gothic"/>
          <w:sz w:val="21"/>
          <w:szCs w:val="21"/>
        </w:rPr>
        <w:t xml:space="preserve">キャリア面談・ライフキャリアの意思決定支援：セルフ・キャリアドック等の制度と接続しやすい</w:t>
      </w:r>
    </w:p>
    <w:p>
      <w:pPr>
        <w:pStyle w:val="ListParagraph"/>
        <w:numPr>
          <w:ilvl w:val="0"/>
          <w:numId w:val="2"/>
        </w:numPr>
        <w:spacing w:after="80" w:line="280"/>
      </w:pPr>
      <w:r>
        <w:rPr>
          <w:rFonts w:ascii="Yu Gothic" w:cs="Yu Gothic" w:eastAsia="Yu Gothic" w:hAnsi="Yu Gothic"/>
          <w:sz w:val="21"/>
          <w:szCs w:val="21"/>
        </w:rPr>
        <w:t xml:space="preserve">管理職の1on1・部下対応相談：マネージャー自身の思考整理</w:t>
      </w:r>
    </w:p>
    <w:p>
      <w:pPr>
        <w:pStyle w:val="ListParagraph"/>
        <w:numPr>
          <w:ilvl w:val="0"/>
          <w:numId w:val="2"/>
        </w:numPr>
        <w:spacing w:after="80" w:line="280"/>
      </w:pPr>
      <w:r>
        <w:rPr>
          <w:rFonts w:ascii="Yu Gothic" w:cs="Yu Gothic" w:eastAsia="Yu Gothic" w:hAnsi="Yu Gothic"/>
          <w:sz w:val="21"/>
          <w:szCs w:val="21"/>
        </w:rPr>
        <w:t xml:space="preserve">部署間・世代間対立、ハラスメント周辺の相談：中立性の担保が課題、慎重な扱いが必要</w:t>
      </w:r>
    </w:p>
    <w:p>
      <w:pPr>
        <w:pStyle w:val="ListParagraph"/>
        <w:numPr>
          <w:ilvl w:val="0"/>
          <w:numId w:val="2"/>
        </w:numPr>
        <w:spacing w:after="80" w:line="280"/>
      </w:pPr>
      <w:r>
        <w:rPr>
          <w:rFonts w:ascii="Yu Gothic" w:cs="Yu Gothic" w:eastAsia="Yu Gothic" w:hAnsi="Yu Gothic"/>
          <w:sz w:val="21"/>
          <w:szCs w:val="21"/>
        </w:rPr>
        <w:t xml:space="preserve">新入社員・中途入社者のオンボーディング面談：漠然とした違和感の言語化</w:t>
      </w:r>
    </w:p>
    <w:p>
      <w:pPr>
        <w:pStyle w:val="Heading2"/>
        <w:spacing w:after="120" w:before="260"/>
      </w:pPr>
      <w:r>
        <w:rPr>
          <w:rFonts w:ascii="Yu Gothic" w:cs="Yu Gothic" w:eastAsia="Yu Gothic" w:hAnsi="Yu Gothic"/>
          <w:b/>
          <w:bCs/>
          <w:color w:val="2E5395"/>
          <w:sz w:val="25"/>
          <w:szCs w:val="25"/>
        </w:rPr>
        <w:t xml:space="preserve">4.2 現行アプリ（一人称構造）が特に適する用途</w:t>
      </w:r>
    </w:p>
    <w:p>
      <w:pPr>
        <w:pStyle w:val="ListParagraph"/>
        <w:numPr>
          <w:ilvl w:val="0"/>
          <w:numId w:val="2"/>
        </w:numPr>
        <w:spacing w:after="80" w:line="280"/>
      </w:pPr>
      <w:r>
        <w:rPr>
          <w:rFonts w:ascii="Yu Gothic" w:cs="Yu Gothic" w:eastAsia="Yu Gothic" w:hAnsi="Yu Gothic"/>
          <w:sz w:val="21"/>
          <w:szCs w:val="21"/>
        </w:rPr>
        <w:t xml:space="preserve">キャリア面談・復職面談の「前」の言語化支援</w:t>
      </w:r>
    </w:p>
    <w:p>
      <w:pPr>
        <w:pStyle w:val="ListParagraph"/>
        <w:numPr>
          <w:ilvl w:val="0"/>
          <w:numId w:val="2"/>
        </w:numPr>
        <w:spacing w:after="80" w:line="280"/>
      </w:pPr>
      <w:r>
        <w:rPr>
          <w:rFonts w:ascii="Yu Gothic" w:cs="Yu Gothic" w:eastAsia="Yu Gothic" w:hAnsi="Yu Gothic"/>
          <w:sz w:val="21"/>
          <w:szCs w:val="21"/>
        </w:rPr>
        <w:t xml:space="preserve">面談と面談の「間」の日常的なセルフケア</w:t>
      </w:r>
    </w:p>
    <w:p>
      <w:pPr>
        <w:pStyle w:val="ListParagraph"/>
        <w:numPr>
          <w:ilvl w:val="0"/>
          <w:numId w:val="2"/>
        </w:numPr>
        <w:spacing w:after="80" w:line="280"/>
      </w:pPr>
      <w:r>
        <w:rPr>
          <w:rFonts w:ascii="Yu Gothic" w:cs="Yu Gothic" w:eastAsia="Yu Gothic" w:hAnsi="Yu Gothic"/>
          <w:sz w:val="21"/>
          <w:szCs w:val="21"/>
        </w:rPr>
        <w:t xml:space="preserve">産業医・カウンセラーが対応できない夜間・休日の受け皿（危機対応導線とセットで）</w:t>
      </w:r>
    </w:p>
    <w:p>
      <w:pPr>
        <w:pStyle w:val="Heading1"/>
        <w:spacing w:after="160" w:before="320"/>
      </w:pPr>
      <w:r>
        <w:rPr>
          <w:rFonts w:ascii="Yu Gothic" w:cs="Yu Gothic" w:eastAsia="Yu Gothic" w:hAnsi="Yu Gothic"/>
          <w:b/>
          <w:bCs/>
          <w:color w:val="1F3864"/>
          <w:sz w:val="30"/>
          <w:szCs w:val="30"/>
        </w:rPr>
        <w:t xml:space="preserve">5. 改善施策の優先順位</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600"/>
        <w:gridCol w:w="1500"/>
      </w:tblGrid>
      <w:tr>
        <w:trPr>
          <w:tblHeader/>
        </w:trPr>
        <w:tc>
          <w:tcPr>
            <w:tcW w:type="dxa" w:w="32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施策</w:t>
            </w:r>
          </w:p>
        </w:tc>
        <w:tc>
          <w:tcPr>
            <w:tcW w:type="dxa" w:w="18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説得力への影響</w:t>
            </w:r>
          </w:p>
        </w:tc>
        <w:tc>
          <w:tcPr>
            <w:tcW w:type="dxa" w:w="18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継続利用率への影響</w:t>
            </w:r>
          </w:p>
        </w:tc>
        <w:tc>
          <w:tcPr>
            <w:tcW w:type="dxa" w:w="16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実装コスト</w:t>
            </w:r>
          </w:p>
        </w:tc>
        <w:tc>
          <w:tcPr>
            <w:tcW w:type="dxa" w:w="15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優先度</w:t>
            </w:r>
          </w:p>
        </w:tc>
      </w:tr>
      <w:tr>
        <w:tc>
          <w:tcPr>
            <w:tcW w:type="dxa" w:w="3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危機対応の導線</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低〜中</w:t>
            </w:r>
          </w:p>
        </w:tc>
        <w:tc>
          <w:tcPr>
            <w:tcW w:type="dxa" w:w="1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1位</w:t>
            </w:r>
          </w:p>
        </w:tc>
      </w:tr>
      <w:tr>
        <w:tc>
          <w:tcPr>
            <w:tcW w:type="dxa" w:w="3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「聞く」体験の追加（読み上げ等）</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低</w:t>
            </w:r>
          </w:p>
        </w:tc>
        <w:tc>
          <w:tcPr>
            <w:tcW w:type="dxa" w:w="15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2位</w:t>
            </w:r>
          </w:p>
        </w:tc>
      </w:tr>
      <w:tr>
        <w:tc>
          <w:tcPr>
            <w:tcW w:type="dxa" w:w="3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匿名集計での効果測定</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中</w:t>
            </w:r>
          </w:p>
        </w:tc>
        <w:tc>
          <w:tcPr>
            <w:tcW w:type="dxa" w:w="1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3位</w:t>
            </w:r>
          </w:p>
        </w:tc>
      </w:tr>
      <w:tr>
        <w:tc>
          <w:tcPr>
            <w:tcW w:type="dxa" w:w="3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利用のきっかけ作り（起動時の説明文）</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低</w:t>
            </w:r>
          </w:p>
        </w:tc>
        <w:tc>
          <w:tcPr>
            <w:tcW w:type="dxa" w:w="15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4位</w:t>
            </w:r>
          </w:p>
        </w:tc>
      </w:tr>
      <w:tr>
        <w:tc>
          <w:tcPr>
            <w:tcW w:type="dxa" w:w="3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複数の声（ポリフォニー化）</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中〜高</w:t>
            </w:r>
          </w:p>
        </w:tc>
        <w:tc>
          <w:tcPr>
            <w:tcW w:type="dxa" w:w="1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5位</w:t>
            </w:r>
          </w:p>
        </w:tc>
      </w:tr>
      <w:tr>
        <w:tc>
          <w:tcPr>
            <w:tcW w:type="dxa" w:w="3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応答品質の一貫性チェック体制</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中（継続運用）</w:t>
            </w:r>
          </w:p>
        </w:tc>
        <w:tc>
          <w:tcPr>
            <w:tcW w:type="dxa" w:w="15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並行対応</w:t>
            </w:r>
          </w:p>
        </w:tc>
      </w:tr>
      <w:tr>
        <w:tc>
          <w:tcPr>
            <w:tcW w:type="dxa" w:w="3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面談への接続動線（本人同意共有）</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8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w:t>
            </w:r>
          </w:p>
        </w:tc>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中</w:t>
            </w:r>
          </w:p>
        </w:tc>
        <w:tc>
          <w:tcPr>
            <w:tcW w:type="dxa" w:w="1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7位</w:t>
            </w:r>
          </w:p>
        </w:tc>
      </w:tr>
    </w:tbl>
    <w:p>
      <w:pPr>
        <w:spacing w:after="140" w:line="300"/>
      </w:pPr>
      <w:r>
        <w:rPr>
          <w:rFonts w:ascii="Yu Gothic" w:cs="Yu Gothic" w:eastAsia="Yu Gothic" w:hAnsi="Yu Gothic"/>
          <w:sz w:val="21"/>
          <w:szCs w:val="21"/>
        </w:rPr>
        <w:t xml:space="preserve"/>
      </w:r>
    </w:p>
    <w:p>
      <w:pPr>
        <w:pBdr>
          <w:left w:val="single" w:color="8FAADC" w:sz="12" w:space="8"/>
        </w:pBdr>
        <w:spacing w:after="160" w:line="280"/>
        <w:ind w:left="200"/>
      </w:pPr>
      <w:r>
        <w:rPr>
          <w:rFonts w:ascii="Yu Gothic" w:cs="Yu Gothic" w:eastAsia="Yu Gothic" w:hAnsi="Yu Gothic"/>
          <w:i/>
          <w:iCs/>
          <w:color w:val="44546A"/>
          <w:sz w:val="20"/>
          <w:szCs w:val="20"/>
        </w:rPr>
        <w:t xml:space="preserve">利用のきっかけ作りは、起動時の説明文（読んでも読まなくてもよい）で「開いた後」の体験は整えられるが、「そもそも開く」動機付けは別課題として残る。ここはキャリアコンサルタントによる面談前の案内など、運用面での補完を想定する。</w:t>
      </w:r>
    </w:p>
    <w:p>
      <w:pPr>
        <w:pStyle w:val="Heading1"/>
        <w:spacing w:after="160" w:before="320"/>
      </w:pPr>
      <w:r>
        <w:rPr>
          <w:rFonts w:ascii="Yu Gothic" w:cs="Yu Gothic" w:eastAsia="Yu Gothic" w:hAnsi="Yu Gothic"/>
          <w:b/>
          <w:bCs/>
          <w:color w:val="1F3864"/>
          <w:sz w:val="30"/>
          <w:szCs w:val="30"/>
        </w:rPr>
        <w:t xml:space="preserve">6. 危機対応の導線設計</w:t>
      </w:r>
    </w:p>
    <w:p>
      <w:pPr>
        <w:pStyle w:val="Heading2"/>
        <w:spacing w:after="120" w:before="260"/>
      </w:pPr>
      <w:r>
        <w:rPr>
          <w:rFonts w:ascii="Yu Gothic" w:cs="Yu Gothic" w:eastAsia="Yu Gothic" w:hAnsi="Yu Gothic"/>
          <w:b/>
          <w:bCs/>
          <w:color w:val="2E5395"/>
          <w:sz w:val="25"/>
          <w:szCs w:val="25"/>
        </w:rPr>
        <w:t xml:space="preserve">6.1 検知対象の階層</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500"/>
      </w:tblGrid>
      <w:tr>
        <w:trPr>
          <w:tblHeader/>
        </w:trPr>
        <w:tc>
          <w:tcPr>
            <w:tcW w:type="dxa" w:w="16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階層</w:t>
            </w:r>
          </w:p>
        </w:tc>
        <w:tc>
          <w:tcPr>
            <w:tcW w:type="dxa" w:w="53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内容</w:t>
            </w:r>
          </w:p>
        </w:tc>
        <w:tc>
          <w:tcPr>
            <w:tcW w:type="dxa" w:w="25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対応</w:t>
            </w:r>
          </w:p>
        </w:tc>
      </w:tr>
      <w:tr>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A（最優先）</w:t>
            </w:r>
          </w:p>
        </w:tc>
        <w:tc>
          <w:tcPr>
            <w:tcW w:type="dxa" w:w="5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自殺念慮・自傷（具体的計画を含む／直接的な希死念慮の表現）、緊急性の高いハラスメント被害（身体的暴力・性暴力・明確な脅迫）</w:t>
            </w:r>
          </w:p>
        </w:tc>
        <w:tc>
          <w:tcPr>
            <w:tcW w:type="dxa" w:w="2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即時介入。窓口情報を明示表示</w:t>
            </w:r>
          </w:p>
        </w:tc>
      </w:tr>
      <w:tr>
        <w:tc>
          <w:tcPr>
            <w:tcW w:type="dxa" w:w="16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B（中程度）</w:t>
            </w:r>
          </w:p>
        </w:tc>
        <w:tc>
          <w:tcPr>
            <w:tcW w:type="dxa" w:w="53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一般的なハラスメント相談、継続的な強い絶望感の訴え</w:t>
            </w:r>
          </w:p>
        </w:tc>
        <w:tc>
          <w:tcPr>
            <w:tcW w:type="dxa" w:w="25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案内のみ。通報機能は持たせない。控えめな表示</w:t>
            </w:r>
          </w:p>
        </w:tc>
      </w:tr>
      <w:tr>
        <w:tc>
          <w:tcPr>
            <w:tcW w:type="dxa" w:w="16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C（対象外）</w:t>
            </w:r>
          </w:p>
        </w:tc>
        <w:tc>
          <w:tcPr>
            <w:tcW w:type="dxa" w:w="5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一般的な業務ストレス・人間関係の悩み・キャリアの迷い</w:t>
            </w:r>
          </w:p>
        </w:tc>
        <w:tc>
          <w:tcPr>
            <w:tcW w:type="dxa" w:w="25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通常のリフレクティング応答をそのまま提供</w:t>
            </w:r>
          </w:p>
        </w:tc>
      </w:tr>
    </w:tbl>
    <w:p>
      <w:pPr>
        <w:spacing w:after="140" w:line="300"/>
      </w:pPr>
      <w:r>
        <w:rPr>
          <w:rFonts w:ascii="Yu Gothic" w:cs="Yu Gothic" w:eastAsia="Yu Gothic" w:hAnsi="Yu Gothic"/>
          <w:sz w:val="21"/>
          <w:szCs w:val="21"/>
        </w:rPr>
        <w:t xml:space="preserve"/>
      </w:r>
    </w:p>
    <w:p>
      <w:pPr>
        <w:spacing w:after="140" w:line="300"/>
      </w:pPr>
      <w:r>
        <w:rPr>
          <w:rFonts w:ascii="Yu Gothic" w:cs="Yu Gothic" w:eastAsia="Yu Gothic" w:hAnsi="Yu Gothic"/>
          <w:sz w:val="21"/>
          <w:szCs w:val="21"/>
        </w:rPr>
        <w:t xml:space="preserve">ハラスメント被害は「案内のみ」に留め、本人の同意なく人事等へエスカレーションする通報機能は持たせない。危機対応の例外は「本人の生命に関わる場合」に限定し、それ以外は原則（判断しない・記録しない）を崩さない。</w:t>
      </w:r>
    </w:p>
    <w:p>
      <w:pPr>
        <w:pStyle w:val="Heading2"/>
        <w:spacing w:after="120" w:before="260"/>
      </w:pPr>
      <w:r>
        <w:rPr>
          <w:rFonts w:ascii="Yu Gothic" w:cs="Yu Gothic" w:eastAsia="Yu Gothic" w:hAnsi="Yu Gothic"/>
          <w:b/>
          <w:bCs/>
          <w:color w:val="2E5395"/>
          <w:sz w:val="25"/>
          <w:szCs w:val="25"/>
        </w:rPr>
        <w:t xml:space="preserve">6.2 判定方式</w:t>
      </w:r>
    </w:p>
    <w:p>
      <w:pPr>
        <w:spacing w:after="140" w:line="300"/>
      </w:pPr>
      <w:r>
        <w:rPr>
          <w:rFonts w:ascii="Yu Gothic" w:cs="Yu Gothic" w:eastAsia="Yu Gothic" w:hAnsi="Yu Gothic"/>
          <w:sz w:val="21"/>
          <w:szCs w:val="21"/>
        </w:rPr>
        <w:t xml:space="preserve">固定キーワードリストではなく、専用の分類プロンプトによるAI判定を採用する。本体の応答生成プロンプトとは完全に分離した分類器とし、判定結果（high／medium／low）と短い判定根拠（reason）のみを出力させる。reasonには本文の引用を含めない。</w:t>
      </w:r>
    </w:p>
    <w:p>
      <w:pPr>
        <w:pStyle w:val="Heading3"/>
        <w:spacing w:after="100" w:before="200"/>
      </w:pPr>
      <w:r>
        <w:rPr>
          <w:rFonts w:ascii="Yu Gothic" w:cs="Yu Gothic" w:eastAsia="Yu Gothic" w:hAnsi="Yu Gothic"/>
          <w:b/>
          <w:bCs/>
          <w:color w:val="44546A"/>
          <w:sz w:val="22"/>
          <w:szCs w:val="22"/>
        </w:rPr>
        <w:t xml:space="preserve">判定プロンプトの骨子</w:t>
      </w:r>
    </w:p>
    <w:p>
      <w:pPr>
        <w:pStyle w:val="ListParagraph"/>
        <w:numPr>
          <w:ilvl w:val="0"/>
          <w:numId w:val="2"/>
        </w:numPr>
        <w:spacing w:after="80" w:line="280"/>
      </w:pPr>
      <w:r>
        <w:rPr>
          <w:rFonts w:ascii="Yu Gothic" w:cs="Yu Gothic" w:eastAsia="Yu Gothic" w:hAnsi="Yu Gothic"/>
          <w:sz w:val="21"/>
          <w:szCs w:val="21"/>
        </w:rPr>
        <w:t xml:space="preserve">役割：テキストの緊急性（自傷・自殺リスク）を判定する分類器。カウンセリングや助言は行わない</w:t>
      </w:r>
    </w:p>
    <w:p>
      <w:pPr>
        <w:pStyle w:val="ListParagraph"/>
        <w:numPr>
          <w:ilvl w:val="0"/>
          <w:numId w:val="2"/>
        </w:numPr>
        <w:spacing w:after="80" w:line="280"/>
      </w:pPr>
      <w:r>
        <w:rPr>
          <w:rFonts w:ascii="Yu Gothic" w:cs="Yu Gothic" w:eastAsia="Yu Gothic" w:hAnsi="Yu Gothic"/>
          <w:sz w:val="21"/>
          <w:szCs w:val="21"/>
        </w:rPr>
        <w:t xml:space="preserve">high：具体的な方法・時期・計画への言及／直接的な希死念慮の表現／強い自己否定</w:t>
      </w:r>
    </w:p>
    <w:p>
      <w:pPr>
        <w:pStyle w:val="ListParagraph"/>
        <w:numPr>
          <w:ilvl w:val="0"/>
          <w:numId w:val="2"/>
        </w:numPr>
        <w:spacing w:after="80" w:line="280"/>
      </w:pPr>
      <w:r>
        <w:rPr>
          <w:rFonts w:ascii="Yu Gothic" w:cs="Yu Gothic" w:eastAsia="Yu Gothic" w:hAnsi="Yu Gothic"/>
          <w:sz w:val="21"/>
          <w:szCs w:val="21"/>
        </w:rPr>
        <w:t xml:space="preserve">medium：直接的な希死念慮はないが、強い絶望感・無価値感・間接的な示唆がある</w:t>
      </w:r>
    </w:p>
    <w:p>
      <w:pPr>
        <w:pStyle w:val="ListParagraph"/>
        <w:numPr>
          <w:ilvl w:val="0"/>
          <w:numId w:val="2"/>
        </w:numPr>
        <w:spacing w:after="80" w:line="280"/>
      </w:pPr>
      <w:r>
        <w:rPr>
          <w:rFonts w:ascii="Yu Gothic" w:cs="Yu Gothic" w:eastAsia="Yu Gothic" w:hAnsi="Yu Gothic"/>
          <w:sz w:val="21"/>
          <w:szCs w:val="21"/>
        </w:rPr>
        <w:t xml:space="preserve">low：上記に該当しない</w:t>
      </w:r>
    </w:p>
    <w:p>
      <w:pPr>
        <w:pStyle w:val="ListParagraph"/>
        <w:numPr>
          <w:ilvl w:val="0"/>
          <w:numId w:val="2"/>
        </w:numPr>
        <w:spacing w:after="80" w:line="280"/>
      </w:pPr>
      <w:r>
        <w:rPr>
          <w:rFonts w:ascii="Yu Gothic" w:cs="Yu Gothic" w:eastAsia="Yu Gothic" w:hAnsi="Yu Gothic"/>
          <w:sz w:val="21"/>
          <w:szCs w:val="21"/>
        </w:rPr>
        <w:t xml:space="preserve">出力はJSON形式のみ（level, reason）。前置き・説明は出力させない</w:t>
      </w:r>
    </w:p>
    <w:p>
      <w:pPr>
        <w:pStyle w:val="ListParagraph"/>
        <w:numPr>
          <w:ilvl w:val="0"/>
          <w:numId w:val="2"/>
        </w:numPr>
        <w:spacing w:after="80" w:line="280"/>
      </w:pPr>
      <w:r>
        <w:rPr>
          <w:rFonts w:ascii="Yu Gothic" w:cs="Yu Gothic" w:eastAsia="Yu Gothic" w:hAnsi="Yu Gothic"/>
          <w:sz w:val="21"/>
          <w:szCs w:val="21"/>
        </w:rPr>
        <w:t xml:space="preserve">比喩的表現は low とするが、判断に迷う場合は一段階高く判定する（過検知許容の明示）</w:t>
      </w:r>
    </w:p>
    <w:p>
      <w:pPr>
        <w:pStyle w:val="Heading2"/>
        <w:spacing w:after="120" w:before="260"/>
      </w:pPr>
      <w:r>
        <w:rPr>
          <w:rFonts w:ascii="Yu Gothic" w:cs="Yu Gothic" w:eastAsia="Yu Gothic" w:hAnsi="Yu Gothic"/>
          <w:b/>
          <w:bCs/>
          <w:color w:val="2E5395"/>
          <w:sz w:val="25"/>
          <w:szCs w:val="25"/>
        </w:rPr>
        <w:t xml:space="preserve">6.3 誤検知の許容方針</w:t>
      </w:r>
    </w:p>
    <w:p>
      <w:pPr>
        <w:spacing w:after="140" w:line="300"/>
      </w:pPr>
      <w:r>
        <w:rPr>
          <w:rFonts w:ascii="Yu Gothic" w:cs="Yu Gothic" w:eastAsia="Yu Gothic" w:hAnsi="Yu Gothic"/>
          <w:sz w:val="21"/>
          <w:szCs w:val="21"/>
        </w:rPr>
        <w:t xml:space="preserve">見逃し（false negative）と過検知（false positive）のコストは非対称であり、見逃しは取り返しがつかない一方、過検知は体験の一時的な低下に留まる。この非対称性から、閾値は意図的に敏感寄りに設定する。運用上は high と medium をともに「何らかの案内を表示する」対象とし、両者の違いは表示の温度感のみに反映させる。</w:t>
      </w:r>
    </w:p>
    <w:p>
      <w:pPr>
        <w:pStyle w:val="ListParagraph"/>
        <w:numPr>
          <w:ilvl w:val="0"/>
          <w:numId w:val="2"/>
        </w:numPr>
        <w:spacing w:after="80" w:line="280"/>
      </w:pPr>
      <w:r>
        <w:rPr>
          <w:rFonts w:ascii="Yu Gothic" w:cs="Yu Gothic" w:eastAsia="Yu Gothic" w:hAnsi="Yu Gothic"/>
          <w:sz w:val="21"/>
          <w:szCs w:val="21"/>
        </w:rPr>
        <w:t xml:space="preserve">リリース初期は広めに検知し、過検知は許容する</w:t>
      </w:r>
    </w:p>
    <w:p>
      <w:pPr>
        <w:pStyle w:val="ListParagraph"/>
        <w:numPr>
          <w:ilvl w:val="0"/>
          <w:numId w:val="2"/>
        </w:numPr>
        <w:spacing w:after="80" w:line="280"/>
      </w:pPr>
      <w:r>
        <w:rPr>
          <w:rFonts w:ascii="Yu Gothic" w:cs="Yu Gothic" w:eastAsia="Yu Gothic" w:hAnsi="Yu Gothic"/>
          <w:sz w:val="21"/>
          <w:szCs w:val="21"/>
        </w:rPr>
        <w:t xml:space="preserve">過検知時のユーザー負担を最小化する表示設計とセットで運用する（6.4参照）</w:t>
      </w:r>
    </w:p>
    <w:p>
      <w:pPr>
        <w:pStyle w:val="ListParagraph"/>
        <w:numPr>
          <w:ilvl w:val="0"/>
          <w:numId w:val="2"/>
        </w:numPr>
        <w:spacing w:after="80" w:line="280"/>
      </w:pPr>
      <w:r>
        <w:rPr>
          <w:rFonts w:ascii="Yu Gothic" w:cs="Yu Gothic" w:eastAsia="Yu Gothic" w:hAnsi="Yu Gothic"/>
          <w:sz w:val="21"/>
          <w:szCs w:val="21"/>
        </w:rPr>
        <w:t xml:space="preserve">reasonログ（本文を含まない抽象的な理由のみ）を定期的にレビューし、閾値・プロンプトを調整する</w:t>
      </w:r>
    </w:p>
    <w:p>
      <w:pPr>
        <w:pStyle w:val="ListParagraph"/>
        <w:numPr>
          <w:ilvl w:val="0"/>
          <w:numId w:val="2"/>
        </w:numPr>
        <w:spacing w:after="80" w:line="280"/>
      </w:pPr>
      <w:r>
        <w:rPr>
          <w:rFonts w:ascii="Yu Gothic" w:cs="Yu Gothic" w:eastAsia="Yu Gothic" w:hAnsi="Yu Gothic"/>
          <w:sz w:val="21"/>
          <w:szCs w:val="21"/>
        </w:rPr>
        <w:t xml:space="preserve">AI判定は見逃しをゼロにする保証はなく、あくまで補助的な一次検知である旨を企業向け資料でも明記する</w:t>
      </w:r>
    </w:p>
    <w:p>
      <w:pPr>
        <w:pStyle w:val="Heading2"/>
        <w:spacing w:after="120" w:before="260"/>
      </w:pPr>
      <w:r>
        <w:rPr>
          <w:rFonts w:ascii="Yu Gothic" w:cs="Yu Gothic" w:eastAsia="Yu Gothic" w:hAnsi="Yu Gothic"/>
          <w:b/>
          <w:bCs/>
          <w:color w:val="2E5395"/>
          <w:sz w:val="25"/>
          <w:szCs w:val="25"/>
        </w:rPr>
        <w:t xml:space="preserve">6.4 表示文言</w:t>
      </w:r>
    </w:p>
    <w:p>
      <w:pPr>
        <w:pStyle w:val="Heading3"/>
        <w:spacing w:after="100" w:before="200"/>
      </w:pPr>
      <w:r>
        <w:rPr>
          <w:rFonts w:ascii="Yu Gothic" w:cs="Yu Gothic" w:eastAsia="Yu Gothic" w:hAnsi="Yu Gothic"/>
          <w:b/>
          <w:bCs/>
          <w:color w:val="44546A"/>
          <w:sz w:val="22"/>
          <w:szCs w:val="22"/>
        </w:rPr>
        <w:t xml:space="preserve">High判定時</w:t>
      </w:r>
    </w:p>
    <w:p>
      <w:pPr>
        <w:spacing w:after="140" w:line="300"/>
      </w:pPr>
      <w:r>
        <w:rPr>
          <w:rFonts w:ascii="Yu Gothic" w:cs="Yu Gothic" w:eastAsia="Yu Gothic" w:hAnsi="Yu Gothic"/>
          <w:i/>
          <w:iCs/>
          <w:sz w:val="21"/>
          <w:szCs w:val="21"/>
        </w:rPr>
        <w:t xml:space="preserve">少し、つらい状況が伝わってきました。ひとりで抱えるのがしんどい時、話を聞いてくれる場所があります。よりそいホットライン　0120-279-338（24時間対応）。［企業カスタム窓口があれば併記］　このまま書き続けても大丈夫です。</w:t>
      </w:r>
    </w:p>
    <w:p>
      <w:pPr>
        <w:spacing w:after="140" w:line="300"/>
      </w:pPr>
      <w:r>
        <w:rPr>
          <w:rFonts w:ascii="Yu Gothic" w:cs="Yu Gothic" w:eastAsia="Yu Gothic" w:hAnsi="Yu Gothic"/>
          <w:sz w:val="21"/>
          <w:szCs w:val="21"/>
        </w:rPr>
        <w:t xml:space="preserve">窓口案内の表示後、通常のリフレクティング応答はそのまま継続する。「このまま書き続けても大丈夫です」は、窓口案内が会話の打ち切りではないことを明示し、見捨てられ感を防ぐための一文である。窓口案内の後に通常応答（AIからの言葉かけ）をどこまで続けるべきかは、産業医等の専門職確認を要する未確定事項として残す。</w:t>
      </w:r>
    </w:p>
    <w:p>
      <w:pPr>
        <w:pStyle w:val="Heading3"/>
        <w:spacing w:after="100" w:before="200"/>
      </w:pPr>
      <w:r>
        <w:rPr>
          <w:rFonts w:ascii="Yu Gothic" w:cs="Yu Gothic" w:eastAsia="Yu Gothic" w:hAnsi="Yu Gothic"/>
          <w:b/>
          <w:bCs/>
          <w:color w:val="44546A"/>
          <w:sz w:val="22"/>
          <w:szCs w:val="22"/>
        </w:rPr>
        <w:t xml:space="preserve">Medium判定時</w:t>
      </w:r>
    </w:p>
    <w:p>
      <w:pPr>
        <w:spacing w:after="140" w:line="300"/>
      </w:pPr>
      <w:r>
        <w:rPr>
          <w:rFonts w:ascii="Yu Gothic" w:cs="Yu Gothic" w:eastAsia="Yu Gothic" w:hAnsi="Yu Gothic"/>
          <w:sz w:val="21"/>
          <w:szCs w:val="21"/>
        </w:rPr>
        <w:t xml:space="preserve">通常のリフレクティング応答を主役として表示し、その下に閉じた状態の案内（「もしよろしければ、話せる場所について」）を添える。タップすると窓口情報が展開される。問いかけ形式（「大丈夫ですか」等）は用いず、情報の存在のみを中立的に伝える。表示は応答完了後に少し遅れてフェードインさせ、応答本体への没入を妨げない。開閉状態は記憶・学習しない。</w:t>
      </w:r>
    </w:p>
    <w:p>
      <w:pPr>
        <w:pStyle w:val="Heading2"/>
        <w:spacing w:after="120" w:before="260"/>
      </w:pPr>
      <w:r>
        <w:rPr>
          <w:rFonts w:ascii="Yu Gothic" w:cs="Yu Gothic" w:eastAsia="Yu Gothic" w:hAnsi="Yu Gothic"/>
          <w:b/>
          <w:bCs/>
          <w:color w:val="2E5395"/>
          <w:sz w:val="25"/>
          <w:szCs w:val="25"/>
        </w:rPr>
        <w:t xml:space="preserve">6.5 窓口情報の層構造</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100"/>
        <w:gridCol w:w="1700"/>
      </w:tblGrid>
      <w:tr>
        <w:trPr>
          <w:tblHeader/>
        </w:trPr>
        <w:tc>
          <w:tcPr>
            <w:tcW w:type="dxa" w:w="22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層</w:t>
            </w:r>
          </w:p>
        </w:tc>
        <w:tc>
          <w:tcPr>
            <w:tcW w:type="dxa" w:w="34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内容</w:t>
            </w:r>
          </w:p>
        </w:tc>
        <w:tc>
          <w:tcPr>
            <w:tcW w:type="dxa" w:w="21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設定主体</w:t>
            </w:r>
          </w:p>
        </w:tc>
        <w:tc>
          <w:tcPr>
            <w:tcW w:type="dxa" w:w="17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表示条件</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全国共通層</w:t>
            </w:r>
          </w:p>
        </w:tc>
        <w:tc>
          <w:tcPr>
            <w:tcW w:type="dxa" w:w="34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よりそいホットライン等、24時間対応の公的窓口</w:t>
            </w:r>
          </w:p>
        </w:tc>
        <w:tc>
          <w:tcPr>
            <w:tcW w:type="dxa" w:w="21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アプリ側デフォルト搭載</w:t>
            </w:r>
          </w:p>
        </w:tc>
        <w:tc>
          <w:tcPr>
            <w:tcW w:type="dxa" w:w="17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企業の設定有無に関わらず常時表示（High／Medium共通）</w:t>
            </w:r>
          </w:p>
        </w:tc>
      </w:tr>
      <w:tr>
        <w:tc>
          <w:tcPr>
            <w:tcW w:type="dxa" w:w="2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企業カスタム層</w:t>
            </w:r>
          </w:p>
        </w:tc>
        <w:tc>
          <w:tcPr>
            <w:tcW w:type="dxa" w:w="34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社内EAP、産業医面談予約先等</w:t>
            </w:r>
          </w:p>
        </w:tc>
        <w:tc>
          <w:tcPr>
            <w:tcW w:type="dxa" w:w="21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導入企業が管理画面等で設定</w:t>
            </w:r>
          </w:p>
        </w:tc>
        <w:tc>
          <w:tcPr>
            <w:tcW w:type="dxa" w:w="17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設定されていれば追加表示</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キャリアコンサルタント接続層（将来）</w:t>
            </w:r>
          </w:p>
        </w:tc>
        <w:tc>
          <w:tcPr>
            <w:tcW w:type="dxa" w:w="34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契約キャリアコンサルタントへの接続</w:t>
            </w:r>
          </w:p>
        </w:tc>
        <w:tc>
          <w:tcPr>
            <w:tcW w:type="dxa" w:w="21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個別契約時にオプション設定</w:t>
            </w:r>
          </w:p>
        </w:tc>
        <w:tc>
          <w:tcPr>
            <w:tcW w:type="dxa" w:w="17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本人同意のもとでの任意利用</w:t>
            </w:r>
          </w:p>
        </w:tc>
      </w:tr>
    </w:tbl>
    <w:p>
      <w:pPr>
        <w:pStyle w:val="Heading1"/>
        <w:spacing w:after="160" w:before="320"/>
      </w:pPr>
      <w:r>
        <w:rPr>
          <w:rFonts w:ascii="Yu Gothic" w:cs="Yu Gothic" w:eastAsia="Yu Gothic" w:hAnsi="Yu Gothic"/>
          <w:b/>
          <w:bCs/>
          <w:color w:val="1F3864"/>
          <w:sz w:val="30"/>
          <w:szCs w:val="30"/>
        </w:rPr>
        <w:t xml:space="preserve">7. 応答品質の一貫性チェック</w:t>
      </w:r>
    </w:p>
    <w:p>
      <w:pPr>
        <w:spacing w:after="140" w:line="300"/>
      </w:pPr>
      <w:r>
        <w:rPr>
          <w:rFonts w:ascii="Yu Gothic" w:cs="Yu Gothic" w:eastAsia="Yu Gothic" w:hAnsi="Yu Gothic"/>
          <w:sz w:val="21"/>
          <w:szCs w:val="21"/>
        </w:rPr>
        <w:t xml:space="preserve">「判断しない・アドバイスしない」という原則は、会話が進むほどAIが気づかれにくい形で逸脱しやすい。逸脱の積み重ねは、アプリ全体への信頼低下に直結するため、継続的なチェック体制を運用として組み込む。</w:t>
      </w:r>
    </w:p>
    <w:p>
      <w:pPr>
        <w:pStyle w:val="Heading2"/>
        <w:spacing w:after="120" w:before="260"/>
      </w:pPr>
      <w:r>
        <w:rPr>
          <w:rFonts w:ascii="Yu Gothic" w:cs="Yu Gothic" w:eastAsia="Yu Gothic" w:hAnsi="Yu Gothic"/>
          <w:b/>
          <w:bCs/>
          <w:color w:val="2E5395"/>
          <w:sz w:val="25"/>
          <w:szCs w:val="25"/>
        </w:rPr>
        <w:t xml:space="preserve">7.1 逸脱しやすいパターン</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300"/>
      </w:tblGrid>
      <w:tr>
        <w:trPr>
          <w:tblHeader/>
        </w:trPr>
        <w:tc>
          <w:tcPr>
            <w:tcW w:type="dxa" w:w="22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パターン</w:t>
            </w:r>
          </w:p>
        </w:tc>
        <w:tc>
          <w:tcPr>
            <w:tcW w:type="dxa" w:w="29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具体例</w:t>
            </w:r>
          </w:p>
        </w:tc>
        <w:tc>
          <w:tcPr>
            <w:tcW w:type="dxa" w:w="3300"/>
            <w:shd w:fill="2E5395" w:val="clear"/>
            <w:tcMar>
              <w:top w:type="dxa" w:w="80"/>
              <w:left w:type="dxa" w:w="100"/>
              <w:bottom w:type="dxa" w:w="80"/>
              <w:right w:type="dxa" w:w="100"/>
            </w:tcMar>
          </w:tcPr>
          <w:p>
            <w:pPr>
              <w:jc w:val="left"/>
            </w:pPr>
            <w:r>
              <w:rPr>
                <w:rFonts w:ascii="Yu Gothic" w:cs="Yu Gothic" w:eastAsia="Yu Gothic" w:hAnsi="Yu Gothic"/>
                <w:b/>
                <w:bCs/>
                <w:sz w:val="19"/>
                <w:szCs w:val="19"/>
              </w:rPr>
              <w:t xml:space="preserve">問題点</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助言の混入</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「〜してみるのはいかがでしょうか」</w:t>
            </w:r>
          </w:p>
        </w:tc>
        <w:tc>
          <w:tcPr>
            <w:tcW w:type="dxa" w:w="3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判断・誘導になり、本人の思考プロセスを外から決めてしまう</w:t>
            </w:r>
          </w:p>
        </w:tc>
      </w:tr>
      <w:tr>
        <w:tc>
          <w:tcPr>
            <w:tcW w:type="dxa" w:w="2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安易な励まし</w:t>
            </w:r>
          </w:p>
        </w:tc>
        <w:tc>
          <w:tcPr>
            <w:tcW w:type="dxa" w:w="29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「きっと大丈夫ですよ」</w:t>
            </w:r>
          </w:p>
        </w:tc>
        <w:tc>
          <w:tcPr>
            <w:tcW w:type="dxa" w:w="33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根拠のない保証がつらさの否定・矮小化として受け取られうる</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評価・診断的な言葉</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「それは頑張りすぎですね」</w:t>
            </w:r>
          </w:p>
        </w:tc>
        <w:tc>
          <w:tcPr>
            <w:tcW w:type="dxa" w:w="3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本人が語っていないラベルを外から貼ってしまう</w:t>
            </w:r>
          </w:p>
        </w:tc>
      </w:tr>
      <w:tr>
        <w:tc>
          <w:tcPr>
            <w:tcW w:type="dxa" w:w="2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過度な質問攻め</w:t>
            </w:r>
          </w:p>
        </w:tc>
        <w:tc>
          <w:tcPr>
            <w:tcW w:type="dxa" w:w="29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「なぜそう思ったのですか」の連続</w:t>
            </w:r>
          </w:p>
        </w:tc>
        <w:tc>
          <w:tcPr>
            <w:tcW w:type="dxa" w:w="33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尋問的になり、聞いてもらう体験が損なわれる</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感情の先回り・決めつけ</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書かれていない感情の代弁</w:t>
            </w:r>
          </w:p>
        </w:tc>
        <w:tc>
          <w:tcPr>
            <w:tcW w:type="dxa" w:w="3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内省の余地を奪う</w:t>
            </w:r>
          </w:p>
        </w:tc>
      </w:tr>
      <w:tr>
        <w:tc>
          <w:tcPr>
            <w:tcW w:type="dxa" w:w="22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結論の要約のしすぎ</w:t>
            </w:r>
          </w:p>
        </w:tc>
        <w:tc>
          <w:tcPr>
            <w:tcW w:type="dxa" w:w="29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過度な「つまり〇〇ですね」</w:t>
            </w:r>
          </w:p>
        </w:tc>
        <w:tc>
          <w:tcPr>
            <w:tcW w:type="dxa" w:w="3300"/>
            <w:shd w:fill="F2F5FB" w:val="clear"/>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AIによる解釈の押し付けになりうる</w:t>
            </w:r>
          </w:p>
        </w:tc>
      </w:tr>
      <w:tr>
        <w:tc>
          <w:tcPr>
            <w:tcW w:type="dxa" w:w="22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沈黙への耐性のなさ</w:t>
            </w:r>
          </w:p>
        </w:tc>
        <w:tc>
          <w:tcPr>
            <w:tcW w:type="dxa" w:w="29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短い入力に長文で応答</w:t>
            </w:r>
          </w:p>
        </w:tc>
        <w:tc>
          <w:tcPr>
            <w:tcW w:type="dxa" w:w="3300"/>
            <w:tcMar>
              <w:top w:type="dxa" w:w="80"/>
              <w:left w:type="dxa" w:w="100"/>
              <w:bottom w:type="dxa" w:w="80"/>
              <w:right w:type="dxa" w:w="100"/>
            </w:tcMar>
          </w:tcPr>
          <w:p>
            <w:pPr>
              <w:jc w:val="left"/>
            </w:pPr>
            <w:r>
              <w:rPr>
                <w:rFonts w:ascii="Yu Gothic" w:cs="Yu Gothic" w:eastAsia="Yu Gothic" w:hAnsi="Yu Gothic"/>
                <w:b w:val="false"/>
                <w:bCs w:val="false"/>
                <w:sz w:val="19"/>
                <w:szCs w:val="19"/>
              </w:rPr>
              <w:t xml:space="preserve">間・余白を尊重するオープンダイアローグの原則に反する</w:t>
            </w:r>
          </w:p>
        </w:tc>
      </w:tr>
    </w:tbl>
    <w:p>
      <w:pPr>
        <w:pStyle w:val="Heading2"/>
        <w:spacing w:after="120" w:before="260"/>
      </w:pPr>
      <w:r>
        <w:rPr>
          <w:rFonts w:ascii="Yu Gothic" w:cs="Yu Gothic" w:eastAsia="Yu Gothic" w:hAnsi="Yu Gothic"/>
          <w:b/>
          <w:bCs/>
          <w:color w:val="2E5395"/>
          <w:sz w:val="25"/>
          <w:szCs w:val="25"/>
        </w:rPr>
        <w:t xml:space="preserve">7.2 チェック体制</w:t>
      </w:r>
    </w:p>
    <w:p>
      <w:pPr>
        <w:pStyle w:val="ListParagraph"/>
        <w:numPr>
          <w:ilvl w:val="0"/>
          <w:numId w:val="2"/>
        </w:numPr>
        <w:spacing w:after="80" w:line="280"/>
      </w:pPr>
      <w:r>
        <w:rPr>
          <w:rFonts w:ascii="Yu Gothic" w:cs="Yu Gothic" w:eastAsia="Yu Gothic" w:hAnsi="Yu Gothic"/>
          <w:sz w:val="21"/>
          <w:szCs w:val="21"/>
        </w:rPr>
        <w:t xml:space="preserve">プロンプトレベルでの予防：禁止すべき言い回しを具体的に列挙し、本体の応答生成プロンプトに明記する</w:t>
      </w:r>
    </w:p>
    <w:p>
      <w:pPr>
        <w:pStyle w:val="ListParagraph"/>
        <w:numPr>
          <w:ilvl w:val="0"/>
          <w:numId w:val="2"/>
        </w:numPr>
        <w:spacing w:after="80" w:line="280"/>
      </w:pPr>
      <w:r>
        <w:rPr>
          <w:rFonts w:ascii="Yu Gothic" w:cs="Yu Gothic" w:eastAsia="Yu Gothic" w:hAnsi="Yu Gothic"/>
          <w:sz w:val="21"/>
          <w:szCs w:val="21"/>
        </w:rPr>
        <w:t xml:space="preserve">生成後レビュー層：応答生成後に別のAI呼び出しで「助言・評価・決めつけが含まれていないか」を判定し、該当時は再生成する</w:t>
      </w:r>
    </w:p>
    <w:p>
      <w:pPr>
        <w:pStyle w:val="ListParagraph"/>
        <w:numPr>
          <w:ilvl w:val="0"/>
          <w:numId w:val="2"/>
        </w:numPr>
        <w:spacing w:after="80" w:line="280"/>
      </w:pPr>
      <w:r>
        <w:rPr>
          <w:rFonts w:ascii="Yu Gothic" w:cs="Yu Gothic" w:eastAsia="Yu Gothic" w:hAnsi="Yu Gothic"/>
          <w:sz w:val="21"/>
          <w:szCs w:val="21"/>
        </w:rPr>
        <w:t xml:space="preserve">定期的な人手レビュー：特にリリース初期は、テスト環境での対話サンプルを人間が確認する</w:t>
      </w:r>
    </w:p>
    <w:p>
      <w:pPr>
        <w:pStyle w:val="ListParagraph"/>
        <w:numPr>
          <w:ilvl w:val="0"/>
          <w:numId w:val="2"/>
        </w:numPr>
        <w:spacing w:after="80" w:line="280"/>
      </w:pPr>
      <w:r>
        <w:rPr>
          <w:rFonts w:ascii="Yu Gothic" w:cs="Yu Gothic" w:eastAsia="Yu Gothic" w:hAnsi="Yu Gothic"/>
          <w:sz w:val="21"/>
          <w:szCs w:val="21"/>
        </w:rPr>
        <w:t xml:space="preserve">逸脱ログの匿名集計：本文を含めず、逸脱パターンの種類と頻度のみを集計し、プロンプト改善に用いる</w:t>
      </w:r>
    </w:p>
    <w:p>
      <w:pPr>
        <w:pStyle w:val="Heading1"/>
        <w:spacing w:after="160" w:before="320"/>
      </w:pPr>
      <w:r>
        <w:rPr>
          <w:rFonts w:ascii="Yu Gothic" w:cs="Yu Gothic" w:eastAsia="Yu Gothic" w:hAnsi="Yu Gothic"/>
          <w:b/>
          <w:bCs/>
          <w:color w:val="1F3864"/>
          <w:sz w:val="30"/>
          <w:szCs w:val="30"/>
        </w:rPr>
        <w:t xml:space="preserve">8. 未確定事項・専門職確認が必要な論点</w:t>
      </w:r>
    </w:p>
    <w:p>
      <w:pPr>
        <w:pStyle w:val="ListParagraph"/>
        <w:numPr>
          <w:ilvl w:val="0"/>
          <w:numId w:val="2"/>
        </w:numPr>
        <w:spacing w:after="80" w:line="280"/>
      </w:pPr>
      <w:r>
        <w:rPr>
          <w:rFonts w:ascii="Yu Gothic" w:cs="Yu Gothic" w:eastAsia="Yu Gothic" w:hAnsi="Yu Gothic"/>
          <w:sz w:val="21"/>
          <w:szCs w:val="21"/>
        </w:rPr>
        <w:t xml:space="preserve">High判定時、窓口案内の後に通常のリフレクティング応答（AIからの言葉かけ）を続けるべきか、最小限に留めるべきか</w:t>
      </w:r>
    </w:p>
    <w:p>
      <w:pPr>
        <w:pStyle w:val="ListParagraph"/>
        <w:numPr>
          <w:ilvl w:val="0"/>
          <w:numId w:val="2"/>
        </w:numPr>
        <w:spacing w:after="80" w:line="280"/>
      </w:pPr>
      <w:r>
        <w:rPr>
          <w:rFonts w:ascii="Yu Gothic" w:cs="Yu Gothic" w:eastAsia="Yu Gothic" w:hAnsi="Yu Gothic"/>
          <w:sz w:val="21"/>
          <w:szCs w:val="21"/>
        </w:rPr>
        <w:t xml:space="preserve">ハラスメント被害（階層B）について、案内のみに留める設計が企業の安全配慮義務の観点で十分か</w:t>
      </w:r>
    </w:p>
    <w:p>
      <w:pPr>
        <w:pStyle w:val="ListParagraph"/>
        <w:numPr>
          <w:ilvl w:val="0"/>
          <w:numId w:val="2"/>
        </w:numPr>
        <w:spacing w:after="80" w:line="280"/>
      </w:pPr>
      <w:r>
        <w:rPr>
          <w:rFonts w:ascii="Yu Gothic" w:cs="Yu Gothic" w:eastAsia="Yu Gothic" w:hAnsi="Yu Gothic"/>
          <w:sz w:val="21"/>
          <w:szCs w:val="21"/>
        </w:rPr>
        <w:t xml:space="preserve">生成後レビュー層の導入可否（応答速度とのトレードオフ）</w:t>
      </w:r>
    </w:p>
    <w:p>
      <w:pPr>
        <w:pBdr>
          <w:left w:val="single" w:color="8FAADC" w:sz="12" w:space="8"/>
        </w:pBdr>
        <w:spacing w:after="160" w:line="280"/>
        <w:ind w:left="200"/>
      </w:pPr>
      <w:r>
        <w:rPr>
          <w:rFonts w:ascii="Yu Gothic" w:cs="Yu Gothic" w:eastAsia="Yu Gothic" w:hAnsi="Yu Gothic"/>
          <w:i/>
          <w:iCs/>
          <w:color w:val="44546A"/>
          <w:sz w:val="20"/>
          <w:szCs w:val="20"/>
        </w:rPr>
        <w:t xml:space="preserve">上記は実装を確定させる前に、産業医・EAP担当者等の専門職への確認を挟むことを推奨する。</w:t>
      </w:r>
    </w:p>
    <w:p>
      <w:pPr>
        <w:pStyle w:val="Heading1"/>
        <w:spacing w:after="160" w:before="320"/>
      </w:pPr>
      <w:r>
        <w:rPr>
          <w:rFonts w:ascii="Yu Gothic" w:cs="Yu Gothic" w:eastAsia="Yu Gothic" w:hAnsi="Yu Gothic"/>
          <w:b/>
          <w:bCs/>
          <w:color w:val="1F3864"/>
          <w:sz w:val="30"/>
          <w:szCs w:val="30"/>
        </w:rPr>
        <w:t xml:space="preserve">9. 今後の進め方（ロードマップ）</w:t>
      </w:r>
    </w:p>
    <w:p>
      <w:pPr>
        <w:pStyle w:val="Heading3"/>
        <w:spacing w:after="100" w:before="200"/>
      </w:pPr>
      <w:r>
        <w:rPr>
          <w:rFonts w:ascii="Yu Gothic" w:cs="Yu Gothic" w:eastAsia="Yu Gothic" w:hAnsi="Yu Gothic"/>
          <w:b/>
          <w:bCs/>
          <w:color w:val="44546A"/>
          <w:sz w:val="22"/>
          <w:szCs w:val="22"/>
        </w:rPr>
        <w:t xml:space="preserve">短期</w:t>
      </w:r>
    </w:p>
    <w:p>
      <w:pPr>
        <w:pStyle w:val="ListParagraph"/>
        <w:numPr>
          <w:ilvl w:val="0"/>
          <w:numId w:val="2"/>
        </w:numPr>
        <w:spacing w:after="80" w:line="280"/>
      </w:pPr>
      <w:r>
        <w:rPr>
          <w:rFonts w:ascii="Yu Gothic" w:cs="Yu Gothic" w:eastAsia="Yu Gothic" w:hAnsi="Yu Gothic"/>
          <w:sz w:val="21"/>
          <w:szCs w:val="21"/>
        </w:rPr>
        <w:t xml:space="preserve">危機対応の導線（本ドキュメント6章の仕様）の実装</w:t>
      </w:r>
    </w:p>
    <w:p>
      <w:pPr>
        <w:pStyle w:val="ListParagraph"/>
        <w:numPr>
          <w:ilvl w:val="0"/>
          <w:numId w:val="2"/>
        </w:numPr>
        <w:spacing w:after="80" w:line="280"/>
      </w:pPr>
      <w:r>
        <w:rPr>
          <w:rFonts w:ascii="Yu Gothic" w:cs="Yu Gothic" w:eastAsia="Yu Gothic" w:hAnsi="Yu Gothic"/>
          <w:sz w:val="21"/>
          <w:szCs w:val="21"/>
        </w:rPr>
        <w:t xml:space="preserve">「聞く」体験の追加（読み上げ等のUI改善）</w:t>
      </w:r>
    </w:p>
    <w:p>
      <w:pPr>
        <w:pStyle w:val="ListParagraph"/>
        <w:numPr>
          <w:ilvl w:val="0"/>
          <w:numId w:val="2"/>
        </w:numPr>
        <w:spacing w:after="80" w:line="280"/>
      </w:pPr>
      <w:r>
        <w:rPr>
          <w:rFonts w:ascii="Yu Gothic" w:cs="Yu Gothic" w:eastAsia="Yu Gothic" w:hAnsi="Yu Gothic"/>
          <w:sz w:val="21"/>
          <w:szCs w:val="21"/>
        </w:rPr>
        <w:t xml:space="preserve">利用のきっかけ作り（起動時の説明文）の実装</w:t>
      </w:r>
    </w:p>
    <w:p>
      <w:pPr>
        <w:pStyle w:val="Heading3"/>
        <w:spacing w:after="100" w:before="200"/>
      </w:pPr>
      <w:r>
        <w:rPr>
          <w:rFonts w:ascii="Yu Gothic" w:cs="Yu Gothic" w:eastAsia="Yu Gothic" w:hAnsi="Yu Gothic"/>
          <w:b/>
          <w:bCs/>
          <w:color w:val="44546A"/>
          <w:sz w:val="22"/>
          <w:szCs w:val="22"/>
        </w:rPr>
        <w:t xml:space="preserve">中期</w:t>
      </w:r>
    </w:p>
    <w:p>
      <w:pPr>
        <w:pStyle w:val="ListParagraph"/>
        <w:numPr>
          <w:ilvl w:val="0"/>
          <w:numId w:val="2"/>
        </w:numPr>
        <w:spacing w:after="80" w:line="280"/>
      </w:pPr>
      <w:r>
        <w:rPr>
          <w:rFonts w:ascii="Yu Gothic" w:cs="Yu Gothic" w:eastAsia="Yu Gothic" w:hAnsi="Yu Gothic"/>
          <w:sz w:val="21"/>
          <w:szCs w:val="21"/>
        </w:rPr>
        <w:t xml:space="preserve">匿名集計による効果測定の仕組み構築（企業への提案タイミングに合わせる）</w:t>
      </w:r>
    </w:p>
    <w:p>
      <w:pPr>
        <w:pStyle w:val="Heading3"/>
        <w:spacing w:after="100" w:before="200"/>
      </w:pPr>
      <w:r>
        <w:rPr>
          <w:rFonts w:ascii="Yu Gothic" w:cs="Yu Gothic" w:eastAsia="Yu Gothic" w:hAnsi="Yu Gothic"/>
          <w:b/>
          <w:bCs/>
          <w:color w:val="44546A"/>
          <w:sz w:val="22"/>
          <w:szCs w:val="22"/>
        </w:rPr>
        <w:t xml:space="preserve">長期</w:t>
      </w:r>
    </w:p>
    <w:p>
      <w:pPr>
        <w:pStyle w:val="ListParagraph"/>
        <w:numPr>
          <w:ilvl w:val="0"/>
          <w:numId w:val="2"/>
        </w:numPr>
        <w:spacing w:after="80" w:line="280"/>
      </w:pPr>
      <w:r>
        <w:rPr>
          <w:rFonts w:ascii="Yu Gothic" w:cs="Yu Gothic" w:eastAsia="Yu Gothic" w:hAnsi="Yu Gothic"/>
          <w:sz w:val="21"/>
          <w:szCs w:val="21"/>
        </w:rPr>
        <w:t xml:space="preserve">ポリフォニー化（複数の声の実装）の検討</w:t>
      </w:r>
    </w:p>
    <w:p>
      <w:pPr>
        <w:pStyle w:val="ListParagraph"/>
        <w:numPr>
          <w:ilvl w:val="0"/>
          <w:numId w:val="2"/>
        </w:numPr>
        <w:spacing w:after="80" w:line="280"/>
      </w:pPr>
      <w:r>
        <w:rPr>
          <w:rFonts w:ascii="Yu Gothic" w:cs="Yu Gothic" w:eastAsia="Yu Gothic" w:hAnsi="Yu Gothic"/>
          <w:sz w:val="21"/>
          <w:szCs w:val="21"/>
        </w:rPr>
        <w:t xml:space="preserve">面談への接続動線（本人同意による共有オプション）の検討</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2026-08-15T20:51:34.624Z</dcterms:created>
  <dcterms:modified xsi:type="dcterms:W3CDTF">2026-08-15T20:51:34.635Z</dcterms:modified>
</cp:coreProperties>
</file>

<file path=docProps/custom.xml><?xml version="1.0" encoding="utf-8"?>
<Properties xmlns="http://schemas.openxmlformats.org/officeDocument/2006/custom-properties" xmlns:vt="http://schemas.openxmlformats.org/officeDocument/2006/docPropsVTypes"/>
</file>