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貴社が掲げる「障害のない社会をつくる」というビジョンは、本報告会が目指す「社会課題の解決に挑む次世代リーダーの育成」と深く重なります。社会の障壁に向き合い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参加学生団体の活動領域は、教育・共生・貧困・環境・国際協力など、貴社の事業・価値観と親和性の高いテーマが中心です（末尾の団体一覧をご参照ください）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