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アサヒグループホールディングス株式会社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アサヒグループ様にぜひご参加いただきたい理由</w:t>
      </w:r>
    </w:p>
    <w:p>
      <w:pPr>
        <w:pStyle w:val="ListBullet"/>
      </w:pPr>
      <w:r>
        <w:rPr>
          <w:rFonts w:ascii="Yu Gothic" w:hAnsi="Yu Gothic" w:eastAsia="Yu Gothic"/>
          <w:b w:val="0"/>
          <w:sz w:val="21"/>
        </w:rPr>
        <w:t>「期待を超えるおいしさ、楽しい生活文化の創造」を掲げ、サステナビリティを経営の中心に据えてこられた貴社の姿勢は、本報告会が目指す「社会課題の解決に挑む次世代リーダーの育成」と深く重なります。持続可能な社会づくりに取り組んで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環境・食・国際協力など、貴社のサステナビリティ活動と親和性の高いテーマが中心です（末尾の団体一覧をご参照ください。サステナブルシーフードの導入に取り組む団体も参加します）</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グローバル企業としてサステナビリティと事業成長の両立に挑んでこられた貴社は、「企業の中から社会を変える」道を考える学生にとって、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座談会のテーマは、ご協賛企業と登壇ゲストの顔ぶれを踏まえて、イベント開催が近づいた段階で決定いたします。貴社が学生に伝えたいテーマがございましたら、ぜひご相談ください。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