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サントリーホールディングス株式会社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サントリー様にぜひご参加いただきたい理由</w:t>
      </w:r>
    </w:p>
    <w:p>
      <w:pPr>
        <w:pStyle w:val="ListBullet"/>
      </w:pPr>
      <w:r>
        <w:rPr>
          <w:rFonts w:ascii="Yu Gothic" w:hAnsi="Yu Gothic" w:eastAsia="Yu Gothic"/>
          <w:b w:val="0"/>
          <w:sz w:val="21"/>
        </w:rPr>
        <w:t>「水と生きる」を掲げ、自然との共生や次世代育成に長年取り組んでこられた貴社の姿勢は、本報告会が目指す「社会課題の解決に挑む次世代リーダーの育成」と深く重なります。「やってみなはれ」の精神で挑戦を後押しし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教育・国際協力など、貴社のサステナビリティ活動と親和性の高いテーマが中心です（末尾の団体一覧をご参照ください。環境保全やSDGs実践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企業の中から社会に価値を生み出す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