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ダイキン工業株式会社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ダイキン様にぜひご参加いただきたい理由</w:t>
      </w:r>
    </w:p>
    <w:p>
      <w:pPr>
        <w:pStyle w:val="ListBullet"/>
      </w:pPr>
      <w:r>
        <w:rPr>
          <w:rFonts w:ascii="Yu Gothic" w:hAnsi="Yu Gothic" w:eastAsia="Yu Gothic"/>
          <w:b w:val="0"/>
          <w:sz w:val="21"/>
        </w:rPr>
        <w:t>「空気で答えを出す会社」として、空調事業を通じて気候変動・環境という地球規模の課題に向き合ってこられた貴社の姿勢は、本報告会が目指す「社会課題の解決に挑む次世代リーダーの育成」と深く重なります。世界規模で挑戦を続け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参加学生団体の活動領域は、環境・SDGs実践・国際協力など、貴社が向き合ってこられたテーマと親和性の高い内容が中心です（末尾の団体一覧をご参照ください。環境保全に取り組む団体も参加します）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グローバル事業の中でカーボンニュートラルなど社会課題への挑戦を続けてこられた貴社は、「企業の中から社会を変える」道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