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株式会社Ridilover（リディラバ）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リディラバ様にぜひご参加いただきたい理由</w:t>
      </w:r>
    </w:p>
    <w:p>
      <w:pPr>
        <w:pStyle w:val="ListBullet"/>
      </w:pPr>
      <w:r>
        <w:rPr>
          <w:rFonts w:ascii="Yu Gothic" w:hAnsi="Yu Gothic" w:eastAsia="Yu Gothic"/>
          <w:b w:val="0"/>
          <w:sz w:val="21"/>
        </w:rPr>
        <w:t>「社会の無関心を打破する」を掲げ、社会課題の現場と人をつないでこられた貴社の理念は、本報告会が目指す「社会課題の解決に挑む次世代リーダーの育成」と深く重なります。課題を構造化し、解決の入り口をつくっ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参加学生団体の活動領域は、教育・共生・貧困・環境・国際協力など、貴社が向き合ってこられた社会課題と重なるテーマが中心です（末尾の団体一覧をご参照ください）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企業への就職・NPO・起業の間で進路を考える学生にとって、社会課題の解決そのものを事業にしてこられた貴社は、最も話を聞きたいロールモデルです。この道を一人称で語れる企業は多くありません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