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株式会社LITALICO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LITALICO様にぜひご参加いただきたい理由</w:t>
      </w:r>
    </w:p>
    <w:p>
      <w:pPr>
        <w:pStyle w:val="ListBullet"/>
      </w:pPr>
      <w:r>
        <w:rPr>
          <w:rFonts w:ascii="Yu Gothic" w:hAnsi="Yu Gothic" w:eastAsia="Yu Gothic"/>
          <w:b w:val="0"/>
          <w:sz w:val="21"/>
        </w:rPr>
        <w:t>貴社が掲げる「障害のない社会をつくる」というビジョンは、本報告会が目指す「社会課題の解決に挑む次世代リーダーの育成」と深く重なります。社会の障壁に向き合い続け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参加学生団体の活動領域は、教育・共生・貧困・環境・国際協力など、貴社の事業・価値観と親和性の高いテーマが中心です（末尾の団体一覧をご参照ください）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これまで本イベントにご参加いただいているLITALICO様には、これまでのご縁を踏まえ、今回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