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ダイキン工業株式会社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60名程度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10団体前後（学生60名程度）※団体一覧は末尾に記載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ダイキン様にぜひご参加いただきたい理由</w:t>
      </w:r>
    </w:p>
    <w:p>
      <w:pPr>
        <w:pStyle w:val="ListBullet"/>
      </w:pPr>
      <w:r>
        <w:rPr>
          <w:rFonts w:ascii="Yu Gothic" w:hAnsi="Yu Gothic" w:eastAsia="Yu Gothic"/>
          <w:b w:val="0"/>
          <w:sz w:val="21"/>
        </w:rPr>
        <w:t>「空気で答えを出す会社」として、空調事業を通じて気候変動・環境という地球規模の課題に向き合ってこられた貴社の姿勢は、本報告会が目指す「社会課題の解決に挑む次世代リーダーの育成」と深く重なります。世界規模で挑戦を続けてこられた貴社にこそ、学生たちの挑戦を見届け、言葉をかけていただきたいと考えています</w:t>
      </w:r>
    </w:p>
    <w:p>
      <w:pPr>
        <w:pStyle w:val="ListBullet"/>
      </w:pPr>
      <w:r>
        <w:rPr>
          <w:rFonts w:ascii="Yu Gothic" w:hAnsi="Yu Gothic" w:eastAsia="Yu Gothic"/>
          <w:b w:val="0"/>
          <w:sz w:val="21"/>
        </w:rPr>
        <w:t>参加学生団体の活動領域は、環境・SDGs実践・国際協力など、貴社が向き合ってこられたテーマと親和性の高い内容が中心です（末尾の団体一覧をご参照ください。環境保全に取り組む団体も参加します）</w:t>
      </w:r>
    </w:p>
    <w:p>
      <w:pPr>
        <w:pStyle w:val="ListBullet"/>
      </w:pPr>
      <w:r>
        <w:rPr>
          <w:rFonts w:ascii="Yu Gothic" w:hAnsi="Yu Gothic" w:eastAsia="Yu Gothic"/>
          <w:b w:val="0"/>
          <w:sz w:val="21"/>
        </w:rPr>
        <w:t>学生は半年間の活動を経てピッチに臨む「行動した若者」。社会課題解決とビジネスの両立を志す、貴社の理念と重なる母集団です</w:t>
      </w:r>
    </w:p>
    <w:p>
      <w:pPr>
        <w:pStyle w:val="ListBullet"/>
      </w:pPr>
      <w:r>
        <w:rPr>
          <w:rFonts w:ascii="Yu Gothic" w:hAnsi="Yu Gothic" w:eastAsia="Yu Gothic"/>
          <w:b w:val="0"/>
          <w:sz w:val="21"/>
        </w:rPr>
        <w:t>グローバル事業の中でカーボンニュートラルなど社会課題への挑戦を続けてこられた貴社は、「企業の中から社会を変える」道を考える学生にとって、最も話を聞きたいロールモデルです。この道を一人称で語れる企業は多くありません</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・社会課題に半年間本気で取り組んだ、もしくはこれから取り組む準備をしている行動力ある学生60名程度（東京大学・慶應義塾大学・早稲田大学・上智大学ほか）への認知</w:t>
            </w:r>
          </w:p>
          <w:p>
            <w:pPr>
              <w:spacing w:after="20" w:line="252" w:lineRule="auto"/>
            </w:pPr>
            <w:r>
              <w:rPr>
                <w:rFonts w:ascii="Yu Gothic" w:hAnsi="Yu Gothic" w:eastAsia="Yu Gothic"/>
                <w:b w:val="0"/>
                <w:sz w:val="19"/>
              </w:rPr>
              <w:t>・座談会（1テーブル学生5名程度×3枠）や懇親会での対話を通じた、15〜20名程度の学生との直接のコミュニケーション</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形式：テーマ別のテーブル制。学生が聞きたいテーブルを自分で選んで着席し、少人数で対話（1テーブルあたり学生5名程度を想定）</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10団体前後・60名程度</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z w:val="19"/>
              </w:rPr>
              <w:t>50万円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z w:val="19"/>
              </w:rPr>
              <w:t>30万円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z w:val="19"/>
              </w:rPr>
              <w:t>12万円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表彰スポンサー（50万円・上限3社）―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17:40～17:55）※ご協賛金50万円のうち20万円は、貴社の企業賞の賞金（活動支援金）として表彰団体へ寄付されます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座談会スポンサー（30万円・上限10社）―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得られるもの：15〜20名程度の学生との深い対話と、60名程度への認知・母集団形成</w:t>
      </w:r>
    </w:p>
    <w:p>
      <w:pPr>
        <w:spacing w:before="120" w:after="40"/>
      </w:pPr>
      <w:r>
        <w:rPr>
          <w:rFonts w:ascii="Yu Gothic" w:hAnsi="Yu Gothic" w:eastAsia="Yu Gothic"/>
          <w:b/>
          <w:sz w:val="21"/>
        </w:rPr>
        <w:t>■ 告知スポンサー（12万円・上限5社）―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得られるもの：最小限のご負担での、学生60名程度への告知リーチ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いずれのスポンサー枠でも、60名程度の意欲ある学生との貴重な接点をお持ちいただけます。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