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株式会社マザーハウス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60名程度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10団体前後（学生60名程度）※団体一覧は末尾に記載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マザーハウス様にぜひご参加いただきたい理由</w:t>
      </w:r>
    </w:p>
    <w:p>
      <w:pPr>
        <w:pStyle w:val="ListBullet"/>
      </w:pPr>
      <w:r>
        <w:rPr>
          <w:rFonts w:ascii="Yu Gothic" w:hAnsi="Yu Gothic" w:eastAsia="Yu Gothic"/>
          <w:b w:val="0"/>
          <w:sz w:val="21"/>
        </w:rPr>
        <w:t>「途上国から世界に通用するブランドをつくる。」という理念を体現してこられた貴社の歩みは、本報告会が目指す「社会課題の解決に挑む次世代リーダーの育成」と深く重なります。想いを事業として成立させ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参加学生団体の活動領域は、国際協力・国際開発・環境など、貴社の原点と重なるテーマが中心です（末尾の団体一覧をご参照ください。国際会議や国際開発に取り組む団体も参加します）</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企業への就職・NPO・起業の間で進路を考える学生にとって、「社会課題を事業として解決する」道を体現してこられた貴社は、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・社会課題に半年間本気で取り組んだ、もしくはこれから取り組む準備をしている行動力ある学生60名程度（東京大学・慶應義塾大学・早稲田大学・上智大学ほか）への認知</w:t>
            </w:r>
          </w:p>
          <w:p>
            <w:pPr>
              <w:spacing w:after="20" w:line="252" w:lineRule="auto"/>
            </w:pPr>
            <w:r>
              <w:rPr>
                <w:rFonts w:ascii="Yu Gothic" w:hAnsi="Yu Gothic" w:eastAsia="Yu Gothic"/>
                <w:b w:val="0"/>
                <w:sz w:val="19"/>
              </w:rPr>
              <w:t>・座談会（1テーブル学生5名程度×3枠）や懇親会での対話を通じた、15〜20名程度の学生との直接のコミュニケーション</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形式：テーマ別のテーブル制。学生が聞きたいテーブルを自分で選んで着席し、少人数で対話（1テーブルあたり学生5名程度を想定）</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10団体前後・60名程度</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座談会のテーマは、ご協賛企業と登壇ゲストの顔ぶれを踏まえて、イベント開催が近づいた段階で決定いたします。貴社が学生に伝えたいテーマがございましたら、ぜひご相談ください。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50万円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30万円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12万円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表彰スポンサー（50万円・上限3社）―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17:40～17:55）※ご協賛金50万円のうち20万円は、貴社の企業賞の賞金（活動支援金）として表彰団体へ寄付されます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座談会スポンサー（30万円・上限10社）―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得られるもの：15〜20名程度の学生との深い対話と、60名程度への認知・母集団形成</w:t>
      </w:r>
    </w:p>
    <w:p>
      <w:pPr>
        <w:spacing w:before="120" w:after="40"/>
      </w:pPr>
      <w:r>
        <w:rPr>
          <w:rFonts w:ascii="Yu Gothic" w:hAnsi="Yu Gothic" w:eastAsia="Yu Gothic"/>
          <w:b/>
          <w:sz w:val="21"/>
        </w:rPr>
        <w:t>■ 告知スポンサー（12万円・上限5社）―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得られるもの：最小限のご負担での、学生60名程度への告知リーチ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いずれのスポンサー枠でも、60名程度の意欲ある学生との貴重な接点をお持ちいただけます。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