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株式会社Ridilover（リディラバ）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60名程度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10団体前後（学生60名程度）※団体一覧は末尾に記載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リディラバ様にぜひご参加いただきたい理由</w:t>
      </w:r>
    </w:p>
    <w:p>
      <w:pPr>
        <w:pStyle w:val="ListBullet"/>
      </w:pPr>
      <w:r>
        <w:rPr>
          <w:rFonts w:ascii="Yu Gothic" w:hAnsi="Yu Gothic" w:eastAsia="Yu Gothic"/>
          <w:b w:val="0"/>
          <w:sz w:val="21"/>
        </w:rPr>
        <w:t>「社会の無関心を打破する」を掲げ、社会課題の現場と人をつないでこられた貴社の理念は、本報告会が目指す「社会課題の解決に挑む次世代リーダーの育成」と深く重なります。課題を構造化し、解決の入り口をつくってこられた貴社にこそ、学生たちの挑戦を見届け、言葉をかけていただきたいと考えています</w:t>
      </w:r>
    </w:p>
    <w:p>
      <w:pPr>
        <w:pStyle w:val="ListBullet"/>
      </w:pPr>
      <w:r>
        <w:rPr>
          <w:rFonts w:ascii="Yu Gothic" w:hAnsi="Yu Gothic" w:eastAsia="Yu Gothic"/>
          <w:b w:val="0"/>
          <w:sz w:val="21"/>
        </w:rPr>
        <w:t>参加学生団体の活動領域は、教育・共生・貧困・環境・国際協力など、貴社が向き合ってこられた社会課題と重なるテーマが中心です（末尾の団体一覧をご参照ください）</w:t>
      </w:r>
    </w:p>
    <w:p>
      <w:pPr>
        <w:pStyle w:val="ListBullet"/>
      </w:pPr>
      <w:r>
        <w:rPr>
          <w:rFonts w:ascii="Yu Gothic" w:hAnsi="Yu Gothic" w:eastAsia="Yu Gothic"/>
          <w:b w:val="0"/>
          <w:sz w:val="21"/>
        </w:rPr>
        <w:t>学生は半年間の活動を経てピッチに臨む「行動した若者」。社会課題解決とビジネスの両立を志す、貴社の理念と重なる母集団です</w:t>
      </w:r>
    </w:p>
    <w:p>
      <w:pPr>
        <w:pStyle w:val="ListBullet"/>
      </w:pPr>
      <w:r>
        <w:rPr>
          <w:rFonts w:ascii="Yu Gothic" w:hAnsi="Yu Gothic" w:eastAsia="Yu Gothic"/>
          <w:b w:val="0"/>
          <w:sz w:val="21"/>
        </w:rPr>
        <w:t>企業への就職・NPO・起業の間で進路を考える学生にとって、社会課題の解決そのものを事業にしてこられた貴社は、最も話を聞きたいロールモデルです。この道を一人称で語れる企業は多くありません</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・社会課題に半年間本気で取り組んだ、もしくはこれから取り組む準備をしている行動力ある学生60名程度（東京大学・慶應義塾大学・早稲田大学・上智大学ほか）への認知</w:t>
            </w:r>
          </w:p>
          <w:p>
            <w:pPr>
              <w:spacing w:after="20" w:line="252" w:lineRule="auto"/>
            </w:pPr>
            <w:r>
              <w:rPr>
                <w:rFonts w:ascii="Yu Gothic" w:hAnsi="Yu Gothic" w:eastAsia="Yu Gothic"/>
                <w:b w:val="0"/>
                <w:sz w:val="19"/>
              </w:rPr>
              <w:t>・座談会（1テーブル学生5名程度×3枠）や懇親会での対話を通じた、15〜20名程度の学生との直接のコミュニケーション</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形式：テーマ別のテーブル制。学生が聞きたいテーブルを自分で選んで着席し、少人数で対話（1テーブルあたり学生5名程度を想定）</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10団体前後・60名程度</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z w:val="19"/>
              </w:rPr>
              <w:t>50万円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z w:val="19"/>
              </w:rPr>
              <w:t>30万円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z w:val="19"/>
              </w:rPr>
              <w:t>12万円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表彰スポンサー（50万円・上限3社）―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17:40～17:55）※ご協賛金50万円のうち20万円は、貴社の企業賞の賞金（活動支援金）として表彰団体へ寄付されます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座談会スポンサー（30万円・上限10社）―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得られるもの：15〜20名程度の学生との深い対話と、60名程度への認知・母集団形成</w:t>
      </w:r>
    </w:p>
    <w:p>
      <w:pPr>
        <w:spacing w:before="120" w:after="40"/>
      </w:pPr>
      <w:r>
        <w:rPr>
          <w:rFonts w:ascii="Yu Gothic" w:hAnsi="Yu Gothic" w:eastAsia="Yu Gothic"/>
          <w:b/>
          <w:sz w:val="21"/>
        </w:rPr>
        <w:t>■ 告知スポンサー（12万円・上限5社）―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得られるもの：最小限のご負担での、学生60名程度への告知リーチ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いずれのスポンサー枠でも、60名程度の意欲ある学生との貴重な接点をお持ちいただけます。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