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85675" cy="60198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961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6585674" cy="6019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18.56pt;height:474.0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t xml:space="preserve">Выше перечисленная группа методов позволяет ответить на вопрос – влияет ли фактор на отклик?</w:t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810" cy="405595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761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480810" cy="4055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0.30pt;height:319.3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810" cy="42843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989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480810" cy="4284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10.30pt;height:337.3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Например, в третьем примере фактором будет являться отдел, а откликом руководство предприятия.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четвертом примере фактор – возрастная группа, в откликом – потребность в конкретном товаре.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пятом (последнем), фактор – год работы на предприятии, а откликом – уровень квалификации персонала. Также этот пример можем переформулировать – влияет ли год работы на предприятии на уровень квалификации персонала?.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810" cy="31512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539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80810" cy="3151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10.30pt;height:248.1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810" cy="442669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6962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80810" cy="4426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10.30pt;height:348.5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tabs>
          <w:tab w:val="left" w:leader="none" w:pos="1642"/>
        </w:tabs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85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2024-05-06T06:41:18Z</dcterms:modified>
</cp:coreProperties>
</file>