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7467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9280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4374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344.46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t xml:space="preserve">Пример нормального распределения:</w:t>
      </w:r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0274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23433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4202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330.93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На основе данной таблицы рисуем частотную таблицу, исходя из которой уже строим график частот.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8029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13530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41802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329.1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3143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0153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42314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333.1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29175" cy="44100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8758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829175" cy="4410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80.25pt;height:347.2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9225" cy="529590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53685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229225" cy="5295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1.75pt;height:417.0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7141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331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571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02.47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Как видим, левая диаграмма симметрична, а левая асимметрична.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Левая диаграмма распределена нормально, а правая нет.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5067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87972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950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32.3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Если усы и выбросы ящика симметричны, а медиана расположена в центре ящика, то она говорит о том, что данные распределены нормально.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Левая диаграмма распределена нормально и симметрична, а правая наоборот.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8500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801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5850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203.54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В этом примере, для нормальности распределения, точки должны находиться близко к теоретически нормальной прямой. Правый пример распределен ненормально и асимметрично, а левый нормально и симметрично.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Вот примеры нормального распределения:</w:t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2158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81637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121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167.0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Вот примеры ненормального распределения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2176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08343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2321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182.8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4210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8460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24421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92.2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</w:rPr>
      </w:pPr>
      <w:r>
        <w:t xml:space="preserve">Критерии нормального распределения: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1156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59363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811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300.12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Если наблюдений меньше 60 то принято использовать критерий Шапиро-Уилка, а если больше то Колмогорова.</w:t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2024-05-05T14:30:44Z</dcterms:modified>
</cp:coreProperties>
</file>