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Threat-Aware Digital Asset Exposure Prediction System Using Machine Learning</w:t>
      </w:r>
    </w:p>
    <w:p>
      <w:pPr>
        <w:spacing w:after="600"/>
        <w:jc w:val="center"/>
      </w:pPr>
      <w:r>
        <w:rPr>
          <w:sz w:val="28"/>
          <w:szCs w:val="28"/>
        </w:rPr>
        <w:t xml:space="preserve">Introduction, Literature Review and Methodology</w:t>
      </w:r>
    </w:p>
    <w:p>
      <w:pPr>
        <w:spacing w:after="120"/>
        <w:jc w:val="center"/>
      </w:pPr>
      <w:r>
        <w:rPr>
          <w:sz w:val="24"/>
          <w:szCs w:val="24"/>
        </w:rPr>
        <w:t xml:space="preserve">[Student name]</w:t>
      </w:r>
    </w:p>
    <w:p>
      <w:pPr>
        <w:spacing w:after="120"/>
        <w:jc w:val="center"/>
      </w:pPr>
      <w:r>
        <w:rPr>
          <w:sz w:val="24"/>
          <w:szCs w:val="24"/>
        </w:rPr>
        <w:t xml:space="preserve">[Student ID]</w:t>
      </w:r>
    </w:p>
    <w:p>
      <w:pPr>
        <w:spacing w:after="120"/>
        <w:jc w:val="center"/>
      </w:pPr>
      <w:r>
        <w:rPr>
          <w:sz w:val="24"/>
          <w:szCs w:val="24"/>
        </w:rPr>
        <w:t xml:space="preserve">Supervisor: [Supervisor name]</w:t>
      </w:r>
    </w:p>
    <w:p>
      <w:pPr>
        <w:spacing w:after="120"/>
        <w:jc w:val="center"/>
      </w:pPr>
      <w:r>
        <w:rPr>
          <w:sz w:val="24"/>
          <w:szCs w:val="24"/>
        </w:rPr>
        <w:t xml:space="preserve">[Degree programme], [University]</w:t>
      </w:r>
    </w:p>
    <w:p>
      <w:pPr>
        <w:spacing w:after="120"/>
        <w:jc w:val="center"/>
      </w:pPr>
      <w:r>
        <w:rPr>
          <w:sz w:val="24"/>
          <w:szCs w:val="24"/>
        </w:rPr>
        <w:t xml:space="preserve">[Date]</w:t>
      </w:r>
    </w:p>
    <w:p>
      <w:pPr>
        <w:pageBreakBefore/>
      </w:pPr>
    </w:p>
    <w:p>
      <w:pPr>
        <w:pStyle w:val="Heading1"/>
        <w:spacing w:after="200" w:before="360"/>
      </w:pPr>
      <w:r>
        <w:t xml:space="preserve">1. Introduction</w:t>
      </w:r>
    </w:p>
    <w:p>
      <w:pPr>
        <w:pStyle w:val="Heading2"/>
        <w:spacing w:after="120" w:before="240"/>
      </w:pPr>
      <w:r>
        <w:t xml:space="preserve">1.1 Background</w:t>
      </w:r>
    </w:p>
    <w:p>
      <w:pPr>
        <w:spacing w:after="160" w:line="360"/>
        <w:jc w:val="both"/>
      </w:pPr>
      <w:r>
        <w:t xml:space="preserve">Modern organisations depend on many digital assets, such as web servers, database servers, employee workstations, firewalls and VPN gateways. Each of these assets runs software, and almost all software contains vulnerabilities. Publicly known vulnerabilities are given a Common Vulnerabilities and Exposures (CVE) identifier and are recorded in the National Vulnerability Database (NVD). The number of new CVEs grows every year. Close to 40,000 CVE identifiers were assigned for 2024 alone. No security team can fix all of these at once, so every organisation has to decide which problems to fix first.</w:t>
      </w:r>
    </w:p>
    <w:p>
      <w:pPr>
        <w:spacing w:after="160" w:line="360"/>
        <w:jc w:val="both"/>
      </w:pPr>
      <w:r>
        <w:t xml:space="preserve">Most organisations make this decision with vulnerability scanners and asset management tools. These tools are useful, but they describe the current state of the network. They answer the question “which assets are vulnerable today?” The results are then usually sorted by the Common Vulnerability Scoring System (CVSS) score. The problem is that a high CVSS score does not mean a vulnerability will actually be attacked. In the data used in this project, only about 0.3% of the vulnerabilities published between November 2021 and August 2025 were confirmed as exploited within one year of publication.</w:t>
      </w:r>
    </w:p>
    <w:p>
      <w:pPr>
        <w:pStyle w:val="Heading2"/>
        <w:spacing w:after="120" w:before="240"/>
      </w:pPr>
      <w:r>
        <w:t xml:space="preserve">1.2 Problem Statement</w:t>
      </w:r>
    </w:p>
    <w:p>
      <w:pPr>
        <w:spacing w:after="160" w:line="360"/>
        <w:jc w:val="both"/>
      </w:pPr>
      <w:r>
        <w:t xml:space="preserve">There is a gap between being vulnerable and being at risk. Because only a small share of vulnerabilities are ever exploited, ranking by severity alone spends effort on many flaws that attackers never use, while some of the flaws that attackers do use may be fixed too late. Current tools do not give a forward-looking view of which vulnerabilities, and therefore which assets, are likely to become exposed to real attacks in the near future. This project addresses that gap.</w:t>
      </w:r>
    </w:p>
    <w:p>
      <w:pPr>
        <w:pStyle w:val="Heading2"/>
        <w:spacing w:after="120" w:before="240"/>
      </w:pPr>
      <w:r>
        <w:t xml:space="preserve">1.3 Research Question and Objectives</w:t>
      </w:r>
    </w:p>
    <w:p>
      <w:pPr>
        <w:spacing w:after="160" w:line="360"/>
        <w:jc w:val="both"/>
      </w:pPr>
      <w:r>
        <w:t xml:space="preserve">The research question of this project is: </w:t>
      </w:r>
      <w:r>
        <w:rPr>
          <w:i/>
          <w:iCs/>
        </w:rPr>
        <w:t xml:space="preserve">Can machine learning predict future cyber exposure risks of organisational digital assets using asset and vulnerability information?</w:t>
      </w:r>
    </w:p>
    <w:p>
      <w:pPr>
        <w:spacing w:after="160" w:line="360"/>
        <w:jc w:val="both"/>
      </w:pPr>
      <w:r>
        <w:t xml:space="preserve">The main aim is to develop a machine-learning-based system that predicts future cyber exposure risk and helps to prioritise risky digital assets. To reach this aim, the project has four objectives:</w:t>
      </w:r>
    </w:p>
    <w:p>
      <w:pPr>
        <w:pStyle w:val="ListParagraph"/>
        <w:numPr>
          <w:ilvl w:val="0"/>
          <w:numId w:val="2"/>
        </w:numPr>
        <w:spacing w:after="80" w:line="360"/>
      </w:pPr>
      <w:r>
        <w:t xml:space="preserve">To build a temporal dataset that records which vulnerabilities become actively exploited within 12 months of publication.</w:t>
      </w:r>
    </w:p>
    <w:p>
      <w:pPr>
        <w:pStyle w:val="ListParagraph"/>
        <w:numPr>
          <w:ilvl w:val="0"/>
          <w:numId w:val="2"/>
        </w:numPr>
        <w:spacing w:after="80" w:line="360"/>
      </w:pPr>
      <w:r>
        <w:t xml:space="preserve">To train and compare machine learning models that predict this outcome using only information available when a vulnerability is published.</w:t>
      </w:r>
    </w:p>
    <w:p>
      <w:pPr>
        <w:pStyle w:val="ListParagraph"/>
        <w:numPr>
          <w:ilvl w:val="0"/>
          <w:numId w:val="2"/>
        </w:numPr>
        <w:spacing w:after="80" w:line="360"/>
      </w:pPr>
      <w:r>
        <w:t xml:space="preserve">To explain each prediction and to convert model scores into calibrated probabilities and risk tiers.</w:t>
      </w:r>
    </w:p>
    <w:p>
      <w:pPr>
        <w:pStyle w:val="ListParagraph"/>
        <w:numPr>
          <w:ilvl w:val="0"/>
          <w:numId w:val="2"/>
        </w:numPr>
        <w:spacing w:after="80" w:line="360"/>
      </w:pPr>
      <w:r>
        <w:t xml:space="preserve">To map the predictions to an organisation's assets and present a prioritised view in a dashboard.</w:t>
      </w:r>
    </w:p>
    <w:p>
      <w:pPr>
        <w:pStyle w:val="Heading2"/>
        <w:spacing w:after="120" w:before="240"/>
      </w:pPr>
      <w:r>
        <w:t xml:space="preserve">1.4 Scope</w:t>
      </w:r>
    </w:p>
    <w:p>
      <w:pPr>
        <w:spacing w:after="160" w:line="360"/>
        <w:jc w:val="both"/>
      </w:pPr>
      <w:r>
        <w:t xml:space="preserve">The project uses only public data: the NVD and the Cybersecurity and Infrastructure Security Agency (CISA) Known Exploited Vulnerabilities (KEV) catalogue. The prediction horizon is 12 months. A synthetic organisation stored in a database is used for development, and a VMware lab with a Kali Linux scanner will be used for the final demonstration. The project is defensive and does not develop exploits.</w:t>
      </w:r>
    </w:p>
    <w:p>
      <w:pPr>
        <w:spacing w:after="160" w:line="360"/>
        <w:jc w:val="both"/>
      </w:pPr>
      <w:r>
        <w:t xml:space="preserve">The rest of this report is organised as follows. Section 2 reviews the related literature. Section 3 describes the methodology used to build and evaluate the system.</w:t>
      </w:r>
    </w:p>
    <w:p>
      <w:pPr>
        <w:pStyle w:val="Heading1"/>
        <w:spacing w:after="200" w:before="360"/>
      </w:pPr>
      <w:r>
        <w:t xml:space="preserve">2. Literature Review</w:t>
      </w:r>
    </w:p>
    <w:p>
      <w:pPr>
        <w:pStyle w:val="Heading2"/>
        <w:spacing w:after="120" w:before="240"/>
      </w:pPr>
      <w:r>
        <w:t xml:space="preserve">2.1 Severity Scoring and its Limits</w:t>
      </w:r>
    </w:p>
    <w:p>
      <w:pPr>
        <w:spacing w:after="160" w:line="360"/>
        <w:jc w:val="both"/>
      </w:pPr>
      <w:r>
        <w:t xml:space="preserve">CVSS is the most widely used way to describe how serious a vulnerability is. Version 3.1 scores a vulnerability from 0 to 10 based on properties such as the attack vector, the attack complexity, the privileges required and the impact on confidentiality, integrity and availability (FIRST, 2019). CVSS measures technical severity. It was not designed to measure how likely a vulnerability is to be attacked.</w:t>
      </w:r>
    </w:p>
    <w:p>
      <w:pPr>
        <w:spacing w:after="160" w:line="360"/>
        <w:jc w:val="both"/>
      </w:pPr>
      <w:r>
        <w:t xml:space="preserve">Allodi and Massacci (2014) tested this directly using a case-control study. They found that a high CVSS score is a weak indicator of whether a vulnerability is exploited in the wild, and that patching by CVSS score alone gives only a small reduction in risk. Their work is one of the main reasons researchers started to look for other signals that can predict real exploitation.</w:t>
      </w:r>
    </w:p>
    <w:p>
      <w:pPr>
        <w:pStyle w:val="Heading2"/>
        <w:spacing w:after="120" w:before="240"/>
      </w:pPr>
      <w:r>
        <w:t xml:space="preserve">2.2 Machine Learning for Exploit Prediction</w:t>
      </w:r>
    </w:p>
    <w:p>
      <w:pPr>
        <w:spacing w:after="160" w:line="360"/>
        <w:jc w:val="both"/>
      </w:pPr>
      <w:r>
        <w:t xml:space="preserve">Bozorgi et al. (2010) were among the first to use machine learning for this problem. They trained support vector machines on text and metadata from vulnerability databases to predict whether an exploit would be developed. Their models reported high accuracy, but the target was the existence of a proof-of-concept exploit, which is not the same as exploitation in real attacks.</w:t>
      </w:r>
    </w:p>
    <w:p>
      <w:pPr>
        <w:spacing w:after="160" w:line="360"/>
        <w:jc w:val="both"/>
      </w:pPr>
      <w:r>
        <w:t xml:space="preserve">Sabottke, Suciu and Dumitras (2015) looked at real-world exploits and used Twitter messages about vulnerabilities as features. They showed that social media discussion carries a useful signal, but also that attackers could manipulate such features. Jacobs et al. (2020) compared remediation strategies and showed that a machine learning model was more efficient than strategies based on CVSS scores, because it covered more of the exploited vulnerabilities for the same amount of patching effort.</w:t>
      </w:r>
    </w:p>
    <w:p>
      <w:pPr>
        <w:spacing w:after="160" w:line="360"/>
        <w:jc w:val="both"/>
      </w:pPr>
      <w:r>
        <w:t xml:space="preserve">This work led to the Exploit Prediction Scoring System (EPSS) (Jacobs et al., 2021), which gives a daily probability that a vulnerability will see exploitation activity in the next 30 days. EPSS is freely available, but part of its training data comes from commercial partners and is not public, and its scores are not explained to the user. Suciu et al. (2022) showed that exploitability changes over time and that labels in this area are noisy, so time must be handled carefully.</w:t>
      </w:r>
    </w:p>
    <w:p>
      <w:pPr>
        <w:pStyle w:val="Heading2"/>
        <w:spacing w:after="120" w:before="240"/>
      </w:pPr>
      <w:r>
        <w:t xml:space="preserve">2.3 Known Exploited Vulnerabilities as Ground Truth</w:t>
      </w:r>
    </w:p>
    <w:p>
      <w:pPr>
        <w:spacing w:after="160" w:line="360"/>
        <w:jc w:val="both"/>
      </w:pPr>
      <w:r>
        <w:t xml:space="preserve">In November 2021, CISA published Binding Operational Directive 22-01, which created the KEV catalogue and required US federal agencies to fix listed vulnerabilities within set deadlines (CISA, 2021). A vulnerability is only added when there is reliable evidence of active exploitation, and each entry records the date it was added. This makes KEV a good public source of labels for exploitation. It also has limits. It focuses on vulnerabilities relevant to US government systems, and a vulnerability can be exploited for some time before it is added. These limits are discussed again in the methodology.</w:t>
      </w:r>
    </w:p>
    <w:p>
      <w:pPr>
        <w:pStyle w:val="Heading2"/>
        <w:spacing w:after="120" w:before="240"/>
      </w:pPr>
      <w:r>
        <w:t xml:space="preserve">2.4 Class Imbalance, Evaluation and Calibration</w:t>
      </w:r>
    </w:p>
    <w:p>
      <w:pPr>
        <w:spacing w:after="160" w:line="360"/>
        <w:jc w:val="both"/>
      </w:pPr>
      <w:r>
        <w:t xml:space="preserve">Exploitation is a rare event, so the data is highly imbalanced. In such data, accuracy is misleading, because a model that always predicts “not exploited” will look very accurate. Saito and Rehmsmeier (2015) showed that precision-recall curves are more informative than ROC curves when the positive class is rare. Common ways to deal with imbalance include oversampling methods such as SMOTE (Chawla et al., 2002), undersampling the majority class, and giving more weight to the minority class during training.</w:t>
      </w:r>
    </w:p>
    <w:p>
      <w:pPr>
        <w:spacing w:after="160" w:line="360"/>
        <w:jc w:val="both"/>
      </w:pPr>
      <w:r>
        <w:t xml:space="preserve">Many models also produce scores that are not true probabilities. Niculescu-Mizil and Caruana (2005) showed that methods such as boosted trees give distorted probabilities and that calibration improves them. Platt (1999) proposed fitting a logistic function to the model scores, which is now known as Platt scaling. Calibrated probabilities matter when the output is used to make decisions, such as how many vulnerabilities to review.</w:t>
      </w:r>
    </w:p>
    <w:p>
      <w:pPr>
        <w:pStyle w:val="Heading2"/>
        <w:spacing w:after="120" w:before="240"/>
      </w:pPr>
      <w:r>
        <w:t xml:space="preserve">2.5 Data Leakage and Temporal Validation</w:t>
      </w:r>
    </w:p>
    <w:p>
      <w:pPr>
        <w:spacing w:after="160" w:line="360"/>
        <w:jc w:val="both"/>
      </w:pPr>
      <w:r>
        <w:t xml:space="preserve">Kaufman et al. (2012) describe data leakage as the use of information during model training that would not be available when the model is used. Leakage makes results look better than they really are. In exploit prediction, a common form is temporal leakage, where a model is trained and tested with a random split, so information from the future is used to predict the past. Several earlier studies used random cross-validation, which may have overestimated performance. A time-based split, where the model is trained on older data and tested on newer data, gives a more realistic estimate.</w:t>
      </w:r>
    </w:p>
    <w:p>
      <w:pPr>
        <w:pStyle w:val="Heading2"/>
        <w:spacing w:after="120" w:before="240"/>
      </w:pPr>
      <w:r>
        <w:t xml:space="preserve">2.6 Explainable Machine Learning</w:t>
      </w:r>
    </w:p>
    <w:p>
      <w:pPr>
        <w:spacing w:after="160" w:line="360"/>
        <w:jc w:val="both"/>
      </w:pPr>
      <w:r>
        <w:t xml:space="preserve">Security analysts need to understand why a vulnerability is ranked as high risk before they act on it. Lundberg and Lee (2017) proposed SHAP, a method based on Shapley values from game theory that shows how much each feature adds to or subtracts from a prediction. Lundberg et al. (2020) later developed TreeSHAP, which computes exact SHAP values efficiently for tree-based models such as random forests and gradient boosting.</w:t>
      </w:r>
    </w:p>
    <w:p>
      <w:pPr>
        <w:pStyle w:val="Heading2"/>
        <w:spacing w:after="120" w:before="240"/>
      </w:pPr>
      <w:r>
        <w:t xml:space="preserve">2.7 Research Gap</w:t>
      </w:r>
    </w:p>
    <w:p>
      <w:pPr>
        <w:spacing w:after="160" w:line="360"/>
        <w:jc w:val="both"/>
      </w:pPr>
      <w:r>
        <w:t xml:space="preserve">The literature shows that machine learning can predict exploitation better than CVSS alone. However, three gaps remain. First, most studies work at the level of individual vulnerabilities and do not connect predictions to the specific assets and software versions of an organisation. Second, the most widely used system, EPSS, depends partly on private data and does not explain its scores. Third, not all studies control temporal leakage. This project addresses these gaps with a transparent, time-aware method built only on public data, with explanations for each prediction and an asset-level view of future exposure.</w:t>
      </w:r>
    </w:p>
    <w:p>
      <w:pPr>
        <w:pStyle w:val="Heading1"/>
        <w:spacing w:after="200" w:before="360"/>
      </w:pPr>
      <w:r>
        <w:t xml:space="preserve">3. Methodology</w:t>
      </w:r>
    </w:p>
    <w:p>
      <w:pPr>
        <w:pStyle w:val="Heading2"/>
        <w:spacing w:after="120" w:before="240"/>
      </w:pPr>
      <w:r>
        <w:t xml:space="preserve">3.1 Research Approach</w:t>
      </w:r>
    </w:p>
    <w:p>
      <w:pPr>
        <w:spacing w:after="160" w:line="360"/>
        <w:jc w:val="both"/>
      </w:pPr>
      <w:r>
        <w:t xml:space="preserve">The project follows a quantitative, experimental approach. A working system is built and then evaluated against clear baselines on data it has never seen. The system has two parts. The first part learns, from public data, which kinds of vulnerabilities become exploited. The second part discovers the assets of an organisation, matches them to known vulnerabilities and uses the predictions to rank the assets.</w:t>
      </w:r>
    </w:p>
    <w:p>
      <w:pPr>
        <w:pStyle w:val="Heading2"/>
        <w:spacing w:after="120" w:before="240"/>
      </w:pPr>
      <w:r>
        <w:t xml:space="preserve">3.2 Data Collection</w:t>
      </w:r>
    </w:p>
    <w:p>
      <w:pPr>
        <w:spacing w:after="160" w:line="360"/>
        <w:jc w:val="both"/>
      </w:pPr>
      <w:r>
        <w:t xml:space="preserve">Vulnerability data was collected from all NVD JSON 2.0 yearly feeds from 2002 to 2026, because older CVE identifiers are sometimes published years later. After removing rejected records, 382,538 vulnerabilities remained. For each one, the publication date, CVSS v3.x metrics, weakness type (CWE), affected products and versions (CPE) and description were extracted. Exploitation data came from the CISA KEV catalogue (1,721 entries). The sources were joined on the CVE identifier, and every KEV entry matched an NVD record.</w:t>
      </w:r>
    </w:p>
    <w:p>
      <w:pPr>
        <w:pStyle w:val="Heading2"/>
        <w:spacing w:after="120" w:before="240"/>
      </w:pPr>
      <w:r>
        <w:t xml:space="preserve">3.3 Defining Future Risk</w:t>
      </w:r>
    </w:p>
    <w:p>
      <w:pPr>
        <w:spacing w:after="160" w:line="360"/>
        <w:jc w:val="both"/>
      </w:pPr>
      <w:r>
        <w:t xml:space="preserve">The prediction target is called </w:t>
      </w:r>
      <w:r>
        <w:rPr>
          <w:b/>
          <w:bCs/>
        </w:rPr>
        <w:t xml:space="preserve">future_kev</w:t>
      </w:r>
      <w:r>
        <w:t xml:space="preserve">. For each vulnerability, the model takes the position of its publication day and asks whether it will be added to the KEV catalogue within the next 12 months. The label is 1 if the vulnerability was added after its publication day and within 12 months, and 0 otherwise.</w:t>
      </w:r>
    </w:p>
    <w:p>
      <w:pPr>
        <w:spacing w:after="160" w:line="360"/>
        <w:jc w:val="both"/>
      </w:pPr>
      <w:r>
        <w:t xml:space="preserve">Only vulnerabilities published between 3 November 2021, when KEV started, and 27 August 2025 were used, so every record has a full 12-month follow-up. Before November 2021, KEV dates show when the catalogue was first filled, not when exploitation became known. In addition, 162 vulnerabilities that were already in KEV on their publication day were removed, because there was nothing left to predict. The final dataset contained 127,580 vulnerabilities, of which 390 (0.31%) became exploited within a year.</w:t>
      </w:r>
    </w:p>
    <w:p>
      <w:pPr>
        <w:pStyle w:val="Heading2"/>
        <w:spacing w:after="120" w:before="240"/>
      </w:pPr>
      <w:r>
        <w:t xml:space="preserve">3.4 Preventing Data Leakage</w:t>
      </w:r>
    </w:p>
    <w:p>
      <w:pPr>
        <w:spacing w:after="160" w:line="360"/>
        <w:jc w:val="both"/>
      </w:pPr>
      <w:r>
        <w:t xml:space="preserve">Because the project claims to predict the future, it is important that the model only uses information that was available on the publication day. Four controls were used:</w:t>
      </w:r>
    </w:p>
    <w:p>
      <w:pPr>
        <w:pStyle w:val="ListParagraph"/>
        <w:numPr>
          <w:ilvl w:val="0"/>
          <w:numId w:val="3"/>
        </w:numPr>
        <w:spacing w:after="80" w:line="360"/>
      </w:pPr>
      <w:r>
        <w:rPr>
          <w:b/>
          <w:bCs/>
        </w:rPr>
        <w:t xml:space="preserve">Label fields removed. </w:t>
      </w:r>
      <w:r>
        <w:t xml:space="preserve">The KEV date, KEV status, ransomware use, last-modified date and NVD processing status were never used as features.</w:t>
      </w:r>
    </w:p>
    <w:p>
      <w:pPr>
        <w:pStyle w:val="ListParagraph"/>
        <w:numPr>
          <w:ilvl w:val="0"/>
          <w:numId w:val="3"/>
        </w:numPr>
        <w:spacing w:after="80" w:line="360"/>
      </w:pPr>
      <w:r>
        <w:rPr>
          <w:b/>
          <w:bCs/>
        </w:rPr>
        <w:t xml:space="preserve">History before publication only. </w:t>
      </w:r>
      <w:r>
        <w:t xml:space="preserve">Features that count past exploitation only include KEV additions dated before the vulnerability's publication day.</w:t>
      </w:r>
    </w:p>
    <w:p>
      <w:pPr>
        <w:pStyle w:val="ListParagraph"/>
        <w:numPr>
          <w:ilvl w:val="0"/>
          <w:numId w:val="3"/>
        </w:numPr>
        <w:spacing w:after="80" w:line="360"/>
      </w:pPr>
      <w:r>
        <w:rPr>
          <w:b/>
          <w:bCs/>
        </w:rPr>
        <w:t xml:space="preserve">Description cleaning. </w:t>
      </w:r>
      <w:r>
        <w:t xml:space="preserve">Vendors sometimes add sentences such as “Apple is aware of a report that this issue may have been exploited” after exploitation is known. Such sentences appeared in 11% of exploited descriptions and 0.4% of the others, so sentences that state exploitation status were removed.</w:t>
      </w:r>
    </w:p>
    <w:p>
      <w:pPr>
        <w:pStyle w:val="ListParagraph"/>
        <w:numPr>
          <w:ilvl w:val="0"/>
          <w:numId w:val="3"/>
        </w:numPr>
        <w:spacing w:after="80" w:line="360"/>
      </w:pPr>
      <w:r>
        <w:rPr>
          <w:b/>
          <w:bCs/>
        </w:rPr>
        <w:t xml:space="preserve">Analysed records only. </w:t>
      </w:r>
      <w:r>
        <w:t xml:space="preserve">In 2024 and 2025, NVD analysed KEV vulnerabilities first. As a result, vendor data was missing for 20–35% of normal records but for none of the exploited ones. To stop the model learning this pattern, the evaluation uses only records that NVD had analysed.</w:t>
      </w:r>
    </w:p>
    <w:p>
      <w:pPr>
        <w:pStyle w:val="Heading2"/>
        <w:spacing w:after="120" w:before="240"/>
      </w:pPr>
      <w:r>
        <w:t xml:space="preserve">3.5 Feature Engineering</w:t>
      </w:r>
    </w:p>
    <w:p>
      <w:pPr>
        <w:spacing w:after="160" w:line="360"/>
        <w:jc w:val="both"/>
      </w:pPr>
      <w:r>
        <w:t xml:space="preserve">Five groups of features were built. CVSS features include the scores and vector values, such as attack vector and required privileges. CWE features record the 25 most common weakness types in the training data. Threat history features count how many earlier vulnerabilities of the same vendor and weakness type were already in KEV, and the vendor's recent exploitation rate. Text features use TF-IDF on the cleaned description, with up to 2,000 words and word pairs. Scope features count the affected vendors, products and weakness types. The CWE list and TF-IDF vocabulary were learned from the training years only. Publication date features were left out, because under a time-based split they describe the calendar rather than the vulnerability.</w:t>
      </w:r>
    </w:p>
    <w:p>
      <w:pPr>
        <w:pStyle w:val="Heading2"/>
        <w:spacing w:after="120" w:before="240"/>
      </w:pPr>
      <w:r>
        <w:t xml:space="preserve">3.6 Data Splitting</w:t>
      </w:r>
    </w:p>
    <w:p>
      <w:pPr>
        <w:spacing w:after="160" w:line="360"/>
        <w:jc w:val="both"/>
      </w:pPr>
      <w:r>
        <w:t xml:space="preserve">The data was split by publication date rather than at random, as shown in Table 1. The validation year was used for every tuning decision. The test year was used only once, for the final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1500"/>
        <w:gridCol w:w="1300"/>
      </w:tblGrid>
      <w:tr>
        <w:trPr>
          <w:tblHeader/>
        </w:trPr>
        <w:tc>
          <w:tcPr>
            <w:tcW w:type="dxa" w:w="1800"/>
            <w:tcBorders>
              <w:top w:val="single" w:color="999999" w:sz="4"/>
              <w:left w:val="single" w:color="999999" w:sz="4"/>
              <w:bottom w:val="single" w:color="999999" w:sz="4"/>
              <w:right w:val="single" w:color="999999" w:sz="4"/>
            </w:tcBorders>
            <w:shd w:fill="E7ECEF" w:color="auto" w:val="clear"/>
            <w:tcMar>
              <w:top w:type="dxa" w:w="60"/>
              <w:left w:type="dxa" w:w="100"/>
              <w:bottom w:type="dxa" w:w="60"/>
              <w:right w:type="dxa" w:w="100"/>
            </w:tcMar>
          </w:tcPr>
          <w:p>
            <w:r>
              <w:rPr>
                <w:b/>
                <w:bCs/>
                <w:sz w:val="22"/>
                <w:szCs w:val="22"/>
              </w:rPr>
              <w:t xml:space="preserve">Split</w:t>
            </w:r>
          </w:p>
        </w:tc>
        <w:tc>
          <w:tcPr>
            <w:tcW w:type="dxa" w:w="2600"/>
            <w:tcBorders>
              <w:top w:val="single" w:color="999999" w:sz="4"/>
              <w:left w:val="single" w:color="999999" w:sz="4"/>
              <w:bottom w:val="single" w:color="999999" w:sz="4"/>
              <w:right w:val="single" w:color="999999" w:sz="4"/>
            </w:tcBorders>
            <w:shd w:fill="E7ECEF" w:color="auto" w:val="clear"/>
            <w:tcMar>
              <w:top w:type="dxa" w:w="60"/>
              <w:left w:type="dxa" w:w="100"/>
              <w:bottom w:type="dxa" w:w="60"/>
              <w:right w:type="dxa" w:w="100"/>
            </w:tcMar>
          </w:tcPr>
          <w:p>
            <w:r>
              <w:rPr>
                <w:b/>
                <w:bCs/>
                <w:sz w:val="22"/>
                <w:szCs w:val="22"/>
              </w:rPr>
              <w:t xml:space="preserve">Published</w:t>
            </w:r>
          </w:p>
        </w:tc>
        <w:tc>
          <w:tcPr>
            <w:tcW w:type="dxa" w:w="1800"/>
            <w:tcBorders>
              <w:top w:val="single" w:color="999999" w:sz="4"/>
              <w:left w:val="single" w:color="999999" w:sz="4"/>
              <w:bottom w:val="single" w:color="999999" w:sz="4"/>
              <w:right w:val="single" w:color="999999" w:sz="4"/>
            </w:tcBorders>
            <w:shd w:fill="E7ECEF" w:color="auto" w:val="clear"/>
            <w:tcMar>
              <w:top w:type="dxa" w:w="60"/>
              <w:left w:type="dxa" w:w="100"/>
              <w:bottom w:type="dxa" w:w="60"/>
              <w:right w:type="dxa" w:w="100"/>
            </w:tcMar>
          </w:tcPr>
          <w:p>
            <w:r>
              <w:rPr>
                <w:b/>
                <w:bCs/>
                <w:sz w:val="22"/>
                <w:szCs w:val="22"/>
              </w:rPr>
              <w:t xml:space="preserve">Vulnerabilities</w:t>
            </w:r>
          </w:p>
        </w:tc>
        <w:tc>
          <w:tcPr>
            <w:tcW w:type="dxa" w:w="1500"/>
            <w:tcBorders>
              <w:top w:val="single" w:color="999999" w:sz="4"/>
              <w:left w:val="single" w:color="999999" w:sz="4"/>
              <w:bottom w:val="single" w:color="999999" w:sz="4"/>
              <w:right w:val="single" w:color="999999" w:sz="4"/>
            </w:tcBorders>
            <w:shd w:fill="E7ECEF" w:color="auto" w:val="clear"/>
            <w:tcMar>
              <w:top w:type="dxa" w:w="60"/>
              <w:left w:type="dxa" w:w="100"/>
              <w:bottom w:type="dxa" w:w="60"/>
              <w:right w:type="dxa" w:w="100"/>
            </w:tcMar>
          </w:tcPr>
          <w:p>
            <w:r>
              <w:rPr>
                <w:b/>
                <w:bCs/>
                <w:sz w:val="22"/>
                <w:szCs w:val="22"/>
              </w:rPr>
              <w:t xml:space="preserve">Exploited</w:t>
            </w:r>
          </w:p>
        </w:tc>
        <w:tc>
          <w:tcPr>
            <w:tcW w:type="dxa" w:w="1300"/>
            <w:tcBorders>
              <w:top w:val="single" w:color="999999" w:sz="4"/>
              <w:left w:val="single" w:color="999999" w:sz="4"/>
              <w:bottom w:val="single" w:color="999999" w:sz="4"/>
              <w:right w:val="single" w:color="999999" w:sz="4"/>
            </w:tcBorders>
            <w:shd w:fill="E7ECEF" w:color="auto" w:val="clear"/>
            <w:tcMar>
              <w:top w:type="dxa" w:w="60"/>
              <w:left w:type="dxa" w:w="100"/>
              <w:bottom w:type="dxa" w:w="60"/>
              <w:right w:type="dxa" w:w="100"/>
            </w:tcMar>
          </w:tcPr>
          <w:p>
            <w:r>
              <w:rPr>
                <w:b/>
                <w:bCs/>
                <w:sz w:val="22"/>
                <w:szCs w:val="22"/>
              </w:rPr>
              <w:t xml:space="preserve">Rate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Training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Nov 2021 – Dec 2023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57,093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183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0.32%</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Validation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Jan 2024 – Dec 2024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32,144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109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0.34%</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Test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Jan 2025 – Aug 2025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19,945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98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2"/>
                <w:szCs w:val="22"/>
              </w:rPr>
              <w:t xml:space="preserve">0.49%</w:t>
            </w:r>
          </w:p>
        </w:tc>
      </w:tr>
    </w:tbl>
    <w:p>
      <w:pPr>
        <w:spacing w:after="240" w:before="80"/>
      </w:pPr>
      <w:r>
        <w:rPr>
          <w:i/>
          <w:iCs/>
          <w:sz w:val="22"/>
          <w:szCs w:val="22"/>
        </w:rPr>
        <w:t xml:space="preserve">Table 1. Temporal split of the analysed vulnerabilities.</w:t>
      </w:r>
    </w:p>
    <w:p>
      <w:pPr>
        <w:pStyle w:val="Heading2"/>
        <w:spacing w:after="120" w:before="240"/>
      </w:pPr>
      <w:r>
        <w:t xml:space="preserve">3.7 Model Selection</w:t>
      </w:r>
    </w:p>
    <w:p>
      <w:pPr>
        <w:spacing w:after="160" w:line="360"/>
        <w:jc w:val="both"/>
      </w:pPr>
      <w:r>
        <w:t xml:space="preserve">Three model types were chosen, each with a different role. Logistic regression is a simple, interpretable linear baseline. Random forest combines many decision trees and captures interactions between features. LightGBM is a gradient boosting method that performs well on tabular data and supports exact SHAP explanations (Ke et al., 2017). Each model was trained with and without text features. The models were compared with ranking by CVSS score, which reflects common practice, and with random ranking.</w:t>
      </w:r>
    </w:p>
    <w:p>
      <w:pPr>
        <w:pStyle w:val="Heading2"/>
        <w:spacing w:after="120" w:before="240"/>
      </w:pPr>
      <w:r>
        <w:t xml:space="preserve">3.8 Handling Class Imbalance</w:t>
      </w:r>
    </w:p>
    <w:p>
      <w:pPr>
        <w:spacing w:after="160" w:line="360"/>
        <w:jc w:val="both"/>
      </w:pPr>
      <w:r>
        <w:t xml:space="preserve">Imbalance handling was tested rather than assumed. Three options were compared for every model: no adjustment, class weighting, and undersampling the majority class to a ratio of 10 to 1. The best option on the validation year was kept for each model, and the decision threshold was set there by maximising the F1-score.</w:t>
      </w:r>
    </w:p>
    <w:p>
      <w:pPr>
        <w:pStyle w:val="Heading2"/>
        <w:spacing w:after="120" w:before="240"/>
      </w:pPr>
      <w:r>
        <w:t xml:space="preserve">3.9 Evaluation Metrics</w:t>
      </w:r>
    </w:p>
    <w:p>
      <w:pPr>
        <w:spacing w:after="160" w:line="360"/>
        <w:jc w:val="both"/>
      </w:pPr>
      <w:r>
        <w:t xml:space="preserve">Accuracy was not used, since predicting “not exploited” for every record would give 99.7% accuracy. The main metric is the area under the precision-recall curve (PR-AUC), which focuses on the rare positive class, supported by ROC-AUC, precision, recall and F1-score. To reflect real use, recall was also measured within a review budget: the share of exploited vulnerabilities in the top 1% and 5% of the ranking. 95% confidence intervals were estimated with 1,000 bootstrap samples.</w:t>
      </w:r>
    </w:p>
    <w:p>
      <w:pPr>
        <w:pStyle w:val="Heading2"/>
        <w:spacing w:after="120" w:before="240"/>
      </w:pPr>
      <w:r>
        <w:t xml:space="preserve">3.10 Explainability and Calibration</w:t>
      </w:r>
    </w:p>
    <w:p>
      <w:pPr>
        <w:spacing w:after="160" w:line="360"/>
        <w:jc w:val="both"/>
      </w:pPr>
      <w:r>
        <w:t xml:space="preserve">TreeSHAP was used to explain the selected model overall and for each vulnerability. Because the model was trained on undersampled data, its scores were not true probabilities, so Platt scaling was fitted on the validation year. It was chosen in advance because isotonic regression can overfit with only about 100 positive cases. Calibration was measured with the Brier score and expected calibration error. Risk tiers were then set as review budgets: Critical for the top 1%, High for the next 4%, Medium for the next 15% and Low for the rest.</w:t>
      </w:r>
    </w:p>
    <w:p>
      <w:pPr>
        <w:pStyle w:val="Heading2"/>
        <w:spacing w:after="120" w:before="240"/>
      </w:pPr>
      <w:r>
        <w:t xml:space="preserve">3.11 Asset-Level Exposure Assessment</w:t>
      </w:r>
    </w:p>
    <w:p>
      <w:pPr>
        <w:spacing w:after="160" w:line="360"/>
        <w:jc w:val="both"/>
      </w:pPr>
      <w:r>
        <w:t xml:space="preserve">Assets are found with an Nmap service scan (nmap -sV) or from an asset inventory database. Each service is matched to vulnerabilities using about 2.5 million NVD version ranges, so an asset only receives vulnerabilities that affect its installed version. Each match is grouped as already exploited (in KEV), recent (published in the last 12 months and scored by the model) or older. Because many future attacks use vulnerabilities that do not exist yet, the asset score also adds each product's number of new KEV entries in the past year. This expected count is turned into a probability using a Poisson assumption. The priority of an asset is the threat multiplied by weights for business criticality and internet exposure, which are stated assumptions.</w:t>
      </w:r>
    </w:p>
    <w:p>
      <w:pPr>
        <w:pStyle w:val="Heading2"/>
        <w:spacing w:after="120" w:before="240"/>
      </w:pPr>
      <w:r>
        <w:t xml:space="preserve">3.12 Validation of Asset Predictions</w:t>
      </w:r>
    </w:p>
    <w:p>
      <w:pPr>
        <w:spacing w:after="160" w:line="360"/>
        <w:jc w:val="both"/>
      </w:pPr>
      <w:r>
        <w:t xml:space="preserve">Until the virtual lab is ready, a synthetic organisation of 30 assets is stored in a SQLite database. Each asset is 30, 120, 270 or 540 days behind on patching and runs the real fixed version from that date. This allows a backtest: the organisation was assessed as of 27 August 2025 and compared with the vulnerabilities actually added to KEV over the next 12 months. Drift is also monitored by comparing expected and observed exploitation each half-year. Finally, the same pipeline will assess Nmap scans of the VMware lab.</w:t>
      </w:r>
    </w:p>
    <w:p>
      <w:pPr>
        <w:pStyle w:val="Heading2"/>
        <w:spacing w:after="120" w:before="240"/>
      </w:pPr>
      <w:r>
        <w:t xml:space="preserve">3.13 Tools and Ethical Considerations</w:t>
      </w:r>
    </w:p>
    <w:p>
      <w:pPr>
        <w:spacing w:after="160" w:line="360"/>
        <w:jc w:val="both"/>
      </w:pPr>
      <w:r>
        <w:t xml:space="preserve">The system was built in Python with pandas, scikit-learn, LightGBM and Streamlit, using SQLite and Nmap 7.95. The pipeline can be rebuilt from raw data with one command. All data is public, the test organisation is synthetic, and scanning is limited to the author's own lab. No personal data is processed and no exploits are developed.</w:t>
      </w:r>
    </w:p>
    <w:p>
      <w:pPr>
        <w:pStyle w:val="Heading1"/>
        <w:pageBreakBefore/>
        <w:spacing w:after="200"/>
      </w:pPr>
      <w:r>
        <w:t xml:space="preserve">References</w:t>
      </w:r>
    </w:p>
    <w:p>
      <w:pPr>
        <w:spacing w:after="120" w:line="300"/>
        <w:ind w:left="720" w:hanging="720"/>
      </w:pPr>
      <w:r>
        <w:t xml:space="preserve">Allodi, L., &amp; Massacci, F. (2014). Comparing vulnerability severity and exploits using case-control studies. ACM Transactions on Information and System Security, 17(1), 1–20.</w:t>
      </w:r>
    </w:p>
    <w:p>
      <w:pPr>
        <w:spacing w:after="120" w:line="300"/>
        <w:ind w:left="720" w:hanging="720"/>
      </w:pPr>
      <w:r>
        <w:t xml:space="preserve">Bozorgi, M., Saul, L. K., Savage, S., &amp; Voelker, G. M. (2010). Beyond heuristics: Learning to classify vulnerabilities and predict exploits. In Proceedings of the 16th ACM SIGKDD International Conference on Knowledge Discovery and Data Mining (pp. 105–114).</w:t>
      </w:r>
    </w:p>
    <w:p>
      <w:pPr>
        <w:spacing w:after="120" w:line="300"/>
        <w:ind w:left="720" w:hanging="720"/>
      </w:pPr>
      <w:r>
        <w:t xml:space="preserve">Chawla, N. V., Bowyer, K. W., Hall, L. O., &amp; Kegelmeyer, W. P. (2002). SMOTE: Synthetic minority over-sampling technique. Journal of Artificial Intelligence Research, 16, 321–357.</w:t>
      </w:r>
    </w:p>
    <w:p>
      <w:pPr>
        <w:spacing w:after="120" w:line="300"/>
        <w:ind w:left="720" w:hanging="720"/>
      </w:pPr>
      <w:r>
        <w:t xml:space="preserve">Cybersecurity and Infrastructure Security Agency. (2021). Binding Operational Directive 22-01: Reducing the significant risk of known exploited vulnerabilities.</w:t>
      </w:r>
    </w:p>
    <w:p>
      <w:pPr>
        <w:spacing w:after="120" w:line="300"/>
        <w:ind w:left="720" w:hanging="720"/>
      </w:pPr>
      <w:r>
        <w:t xml:space="preserve">FIRST. (2019). Common Vulnerability Scoring System version 3.1: Specification document. Forum of Incident Response and Security Teams.</w:t>
      </w:r>
    </w:p>
    <w:p>
      <w:pPr>
        <w:spacing w:after="120" w:line="300"/>
        <w:ind w:left="720" w:hanging="720"/>
      </w:pPr>
      <w:r>
        <w:t xml:space="preserve">Jacobs, J., Romanosky, S., Adjerid, I., &amp; Baker, W. (2020). Improving vulnerability remediation through better exploit prediction. Journal of Cybersecurity, 6(1).</w:t>
      </w:r>
    </w:p>
    <w:p>
      <w:pPr>
        <w:spacing w:after="120" w:line="300"/>
        <w:ind w:left="720" w:hanging="720"/>
      </w:pPr>
      <w:r>
        <w:t xml:space="preserve">Jacobs, J., Romanosky, S., Edwards, B., Adjerid, I., &amp; Roytman, M. (2021). Exploit Prediction Scoring System (EPSS). Digital Threats: Research and Practice, 2(3).</w:t>
      </w:r>
    </w:p>
    <w:p>
      <w:pPr>
        <w:spacing w:after="120" w:line="300"/>
        <w:ind w:left="720" w:hanging="720"/>
      </w:pPr>
      <w:r>
        <w:t xml:space="preserve">Kaufman, S., Rosset, S., Perlich, C., &amp; Stitelman, O. (2012). Leakage in data mining: Formulation, detection, and avoidance. ACM Transactions on Knowledge Discovery from Data, 6(4).</w:t>
      </w:r>
    </w:p>
    <w:p>
      <w:pPr>
        <w:spacing w:after="120" w:line="300"/>
        <w:ind w:left="720" w:hanging="720"/>
      </w:pPr>
      <w:r>
        <w:t xml:space="preserve">Ke, G., Meng, Q., Finley, T., Wang, T., Chen, W., Ma, W., Ye, Q., &amp; Liu, T.-Y. (2017). LightGBM: A highly efficient gradient boosting decision tree. In Advances in Neural Information Processing Systems 30.</w:t>
      </w:r>
    </w:p>
    <w:p>
      <w:pPr>
        <w:spacing w:after="120" w:line="300"/>
        <w:ind w:left="720" w:hanging="720"/>
      </w:pPr>
      <w:r>
        <w:t xml:space="preserve">Lundberg, S. M., &amp; Lee, S.-I. (2017). A unified approach to interpreting model predictions. In Advances in Neural Information Processing Systems 30.</w:t>
      </w:r>
    </w:p>
    <w:p>
      <w:pPr>
        <w:spacing w:after="120" w:line="300"/>
        <w:ind w:left="720" w:hanging="720"/>
      </w:pPr>
      <w:r>
        <w:t xml:space="preserve">Lundberg, S. M., Erion, G., Chen, H., DeGrave, A., Prutkin, J. M., Nair, B., Katz, R., Himmelfarb, J., Bansal, N., &amp; Lee, S.-I. (2020). From local explanations to global understanding with explainable AI for trees. Nature Machine Intelligence, 2(1), 56–67.</w:t>
      </w:r>
    </w:p>
    <w:p>
      <w:pPr>
        <w:spacing w:after="120" w:line="300"/>
        <w:ind w:left="720" w:hanging="720"/>
      </w:pPr>
      <w:r>
        <w:t xml:space="preserve">Niculescu-Mizil, A., &amp; Caruana, R. (2005). Predicting good probabilities with supervised learning. In Proceedings of the 22nd International Conference on Machine Learning (pp. 625–632).</w:t>
      </w:r>
    </w:p>
    <w:p>
      <w:pPr>
        <w:spacing w:after="120" w:line="300"/>
        <w:ind w:left="720" w:hanging="720"/>
      </w:pPr>
      <w:r>
        <w:t xml:space="preserve">Platt, J. (1999). Probabilistic outputs for support vector machines and comparisons to regularized likelihood methods. In Advances in Large Margin Classifiers (pp. 61–74). MIT Press.</w:t>
      </w:r>
    </w:p>
    <w:p>
      <w:pPr>
        <w:spacing w:after="120" w:line="300"/>
        <w:ind w:left="720" w:hanging="720"/>
      </w:pPr>
      <w:r>
        <w:t xml:space="preserve">Sabottke, C., Suciu, O., &amp; Dumitras, T. (2015). Vulnerability disclosure in the age of social media: Exploiting Twitter for predicting real-world exploits. In Proceedings of the 24th USENIX Security Symposium (pp. 1041–1056).</w:t>
      </w:r>
    </w:p>
    <w:p>
      <w:pPr>
        <w:spacing w:after="120" w:line="300"/>
        <w:ind w:left="720" w:hanging="720"/>
      </w:pPr>
      <w:r>
        <w:t xml:space="preserve">Saito, T., &amp; Rehmsmeier, M. (2015). The precision-recall plot is more informative than the ROC plot when evaluating binary classifiers on imbalanced datasets. PLOS ONE, 10(3), e0118432.</w:t>
      </w:r>
    </w:p>
    <w:p>
      <w:pPr>
        <w:spacing w:after="120" w:line="300"/>
        <w:ind w:left="720" w:hanging="720"/>
      </w:pPr>
      <w:r>
        <w:t xml:space="preserve">Suciu, O., Nelson, C., Lyu, Z., Bao, T., &amp; Dumitras, T. (2022). Expected exploitability: Predicting the development of functional vulnerability exploits. In Proceedings of the 31st USENIX Security Symposium.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Threat-Aware Digital Asset Exposure Prediction System Using Machine Learning</dc:title>
  <dc:creator>[Student name]</dc:creator>
  <cp:lastModifiedBy>Un-named</cp:lastModifiedBy>
  <cp:revision>1</cp:revision>
  <dcterms:created xsi:type="dcterms:W3CDTF">2026-10-04T16:38:05.955Z</dcterms:created>
  <dcterms:modified xsi:type="dcterms:W3CDTF">2026-10-04T16:38:05.956Z</dcterms:modified>
</cp:coreProperties>
</file>

<file path=docProps/custom.xml><?xml version="1.0" encoding="utf-8"?>
<Properties xmlns="http://schemas.openxmlformats.org/officeDocument/2006/custom-properties" xmlns:vt="http://schemas.openxmlformats.org/officeDocument/2006/docPropsVTypes"/>
</file>