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TRON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TTdpum7mJv5buEUxfrhJkVqYDonNLJn7cT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UNKNOWN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4680"/>
            <w:shd w:val="clear" w:color="auto" w:fill="2ECC7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🟢 🟢 LOW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2026-07-05 04:35 UTC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TRX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0.0461 TRX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Ichki almashtirishlar aniqlanmadi.</w:t>
      </w:r>
    </w:p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p>
      <w:r>
        <w:t>Tashqi hamyonlar bilan tranzaksiyalar aniqlanmadi.</w:t>
      </w:r>
    </w:p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0"/>
      </w:tblGrid>
      <w:tr>
        <w:tc>
          <w:tcPr>
            <w:tcW w:type="dxa" w:w="9360"/>
            <w:shd w:val="clear" w:color="auto" w:fill="2ECC71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🟢 Hamyon past xavf guruhida. Odatiy xavfsizlik choralarini davom ettiring. Shubhali shartnomalar bilan o'zaro aloqada bo'lmang.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