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1.3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30 июля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b10d72863230aba646bcc8f2acafdc76c27b3fe1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работал в одном accepted unified frontend и видел канонический messaging context, историю коммуникаций, ответственного, следующий шаг и связанные операционные данные без параллельных CRM-контуров.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только за already accepted unified frontend EVO Platform из PR #64, #71 и #72. Он является единственным UI contract. Новый parallel/generic UI, duplicate dashboard или второй CRM surface не входят в scope. Архитектура должна greenfield-реализовать backend/auth/RBAC/repository/ workflow/messaging/integration слой за этим UI, используя из EVO Inbox только operator messaging donor scope: conversation list/thread, operator context, WAHA receive/send, delivery/ACK, AI draft + staff manual send, approved knowledge, audit и minimal integration/settings health. Standalone dashboards, pipelines, deals, leads, funnels, broadcast, flows, campaigns, unrelated analytics и unrelated settings исключены из первого delivery slice.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bounded controlled real-path доказательства, completed reconciliation, health evidence, rollback readiness и отдельного reviewed retirement PR.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Роли v1: Admin, Sales, Curator, Finance и Client/Student. Target machine role для Client/Student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; legacy root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только reference identifier вне launch scope и не создаёт Platform membership.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merged plan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966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 Они важны как reference и donor scope, но не являются launch dependency greenfield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Legacy deployed reference contour behind the accepted frontend contract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 является greenfield launch data plane; 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operator messaging behavior: conversation/thread, AI draft, manual send, ACK/history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Любые contacts/deals/pipeline/dashboards здесь нельзя переносить как второй CRM surface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Donor contour для WAHA webhook, amoCRM resolution, dedupe/retry ideas и readiness patterns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контракт; не launch dependency как data plane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Legacy runtime revisions и deployed data plane здесь фиксируются только как reference facts; greenfield launch не требует SQLite import, root-auth migration, account import или dual-read/write с этими контурами.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unified frontend staff workspace и Student Portal как единственный UI contract;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разговоры, сообщения и минимальные integration/settings patterns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связанные safe sync patterns;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greenfield Supabase- native messaging path behind the accepted frontend;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legacy root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новой greenfield Platform;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новых средах Platform использует одну Supabase-native logical model с одинаковой migration history. Legacy deployed CRM/Inbox/Lead Agent data plane остаётся отдельным reference contour и не является обязательной частью launch data path.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устанавливает следующую schema/migration boundary: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Schema/область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Назначение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Exposure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supabase/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единственный source config и immutable migrations; P2A переносит legacy 001–039 byte-for-byte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 authority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public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repository-level legacy Inbox compatibility for historical consumers; не launch dependency greenfield Platform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временно exposed только для проверенных legacy consumers с RLS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новая identity/operational/audit-facing model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API с explicit grants и RLS на каждой table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platform_private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backend-only helpers и secret references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входит в Data API; browser grants отсутствуют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auth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storage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vault</w:t>
            </w:r>
            <w:r>
              <w:rPr>
                <w:rFonts w:ascii="Arial" w:hAnsi="Arial" w:eastAsia="Arial" w:cs="Arial"/>
                <w:color w:val="111111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pgmq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provider-owned schemas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переименуются и не используются как Platform domain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Merged migrations не редактируются; correction получает следующий свободный номер. Legacy </w:t>
      </w:r>
      <w:r>
        <w:rPr>
          <w:rFonts w:ascii="Courier New" w:hAnsi="Courier New" w:eastAsia="Courier New" w:cs="Courier New"/>
          <w:color w:val="111111"/>
          <w:sz w:val="21"/>
        </w:rPr>
        <w:t>owner/admin/agent/viewer</w:t>
      </w:r>
      <w:r>
        <w:rPr>
          <w:rFonts w:ascii="Arial" w:hAnsi="Arial" w:eastAsia="Arial" w:cs="Arial"/>
          <w:color w:val="111111"/>
          <w:sz w:val="22"/>
        </w:rPr>
        <w:t xml:space="preserve"> не маппятся автоматически на Platform roles. Legacy signup может сохранять старый Inbox behavior в historical compatibility path, но не создаёт Platform organization membership и не является required launch path.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Группы 1–12 ниже создаются в </w:t>
      </w:r>
      <w:r>
        <w:rPr>
          <w:rFonts w:ascii="Courier New" w:hAnsi="Courier New" w:eastAsia="Courier New" w:cs="Courier New"/>
          <w:color w:val="111111"/>
          <w:sz w:val="21"/>
        </w:rPr>
        <w:t>platform</w:t>
      </w:r>
      <w:r>
        <w:rPr>
          <w:rFonts w:ascii="Arial" w:hAnsi="Arial" w:eastAsia="Arial" w:cs="Arial"/>
          <w:color w:val="111111"/>
          <w:sz w:val="22"/>
        </w:rPr>
        <w:t xml:space="preserve">, кроме явно backend-only helpers, которые относятся к </w:t>
      </w:r>
      <w:r>
        <w:rPr>
          <w:rFonts w:ascii="Courier New" w:hAnsi="Courier New" w:eastAsia="Courier New" w:cs="Courier New"/>
          <w:color w:val="111111"/>
          <w:sz w:val="21"/>
        </w:rPr>
        <w:t>platform_private</w:t>
      </w:r>
      <w:r>
        <w:rPr>
          <w:rFonts w:ascii="Arial" w:hAnsi="Arial" w:eastAsia="Arial" w:cs="Arial"/>
          <w:color w:val="111111"/>
          <w:sz w:val="22"/>
        </w:rPr>
        <w:t xml:space="preserve">. Legacy Inbox tables из 001–039 остаются в </w:t>
      </w:r>
      <w:r>
        <w:rPr>
          <w:rFonts w:ascii="Courier New" w:hAnsi="Courier New" w:eastAsia="Courier New" w:cs="Courier New"/>
          <w:color w:val="111111"/>
          <w:sz w:val="21"/>
        </w:rPr>
        <w:t>public</w:t>
      </w:r>
      <w:r>
        <w:rPr>
          <w:rFonts w:ascii="Arial" w:hAnsi="Arial" w:eastAsia="Arial" w:cs="Arial"/>
          <w:color w:val="111111"/>
          <w:sz w:val="22"/>
        </w:rPr>
        <w:t xml:space="preserve"> как historical compatibility layer и не становятся Platform identity по переименованию, импорту или cutover.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минимальные messaging settings/integrations health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amo context, консультации, messaging queue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Target machine identifier для Client / Student — </w:t>
      </w:r>
      <w:r>
        <w:rPr>
          <w:rFonts w:ascii="Courier New" w:hAnsi="Courier New" w:eastAsia="Courier New" w:cs="Courier New"/>
          <w:color w:val="111111"/>
          <w:sz w:val="21"/>
        </w:rPr>
        <w:t>student</w:t>
      </w:r>
      <w:r>
        <w:rPr>
          <w:rFonts w:ascii="Arial" w:hAnsi="Arial" w:eastAsia="Arial" w:cs="Arial"/>
          <w:color w:val="111111"/>
          <w:sz w:val="22"/>
        </w:rPr>
        <w:t xml:space="preserve">. Текущая root role </w:t>
      </w:r>
      <w:r>
        <w:rPr>
          <w:rFonts w:ascii="Courier New" w:hAnsi="Courier New" w:eastAsia="Courier New" w:cs="Courier New"/>
          <w:color w:val="111111"/>
          <w:sz w:val="21"/>
        </w:rPr>
        <w:t>client</w:t>
      </w:r>
      <w:r>
        <w:rPr>
          <w:rFonts w:ascii="Arial" w:hAnsi="Arial" w:eastAsia="Arial" w:cs="Arial"/>
          <w:color w:val="111111"/>
          <w:sz w:val="22"/>
        </w:rPr>
        <w:t xml:space="preserve"> остаётся legacy reference identifier вне launch scope и не создаёт Platform membership автоматически.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except messaging thread/audit context in the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 в последующих slices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Deferred from first thin slice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Примечания о later-phase applicability меняют только порядок поставки. Каждое такое требование остаётся обязательным для полной Platform и должно быть закрыто своим later phase evidence до P10/production-complete заявления.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Staff roles v1: admin, sales, curator, finance; target client-facing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отделена от staff и показывается как Client/Student.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 и не создаёт Platform membership. Visa остаётся module Curator. Existing visa users требуют explicit inventory/reporting inside the legacy contour,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matrix + auth/routing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FR-013–018 остаются требованиями полной Platform, но не являются P3 exit criteria. Их существующие frontend surfaces активируются на реальных данных только в отдельном post-P5 operational UI sub-block.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Delivery applicability: thin P3 показывает только conversation-scoped amo context. FR-019–020 и FR-026–030 относятся к отдельному post-P5 activation sub-block существующего unified frontend; это не перенос Inbox CRM surfaces.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Thin slice Inbox behind the accepted frontend должен показывать conversation list/thread, unread, assignee, latest message, operator amo context и sync state без отдельного lead/deal/pipeline CRM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minimal integration health для messaging path должны быть видимы Admin без открытия WAHA dashboard наружу и без unrelated analytics/settings surface.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supabase/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— единственный source: P2A переносит 001–039 byte/checksum-identically без 040; merged migrations immutable; durable work использует real local Queues/PGMQ,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checksum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default; local proof не подменяет remote ledger/PITR proof.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Browser использует только publishable key; secret/service-role не попадает в bundle/log;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>/queue internals не имеют browser grants;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Secret/auth/grant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New Platform Storage private, download через authorized signed URL/server stream; direct writes в storage schema запрещены, DB и Storage-object restore доказываются отдельно; legacy bucket flip требует отдельного gate.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two restores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имеет explicit grants и RLS на каждой browser-exposed table; отсутствие policy означает deny;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platform_private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и queue internals не доступны browser roles.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grant/RLS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Historical current-app role/RBAC/handoff containment — merged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P1 удалил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legacy current-app domain/DB/seed/actions/queries/i18n/tests, сохранив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получили explicit legacy-contour migration report без silent coercion. P1 ввёл Admin-only Curator assignment/reassignment с reason и audit, Sales-before/Curator-after handoff, limited Sales summary и Portal gate. Positive/negative route/action/object-scope tests пяти ролей были exit evidence. Это историческое containment, а не Platform account/root-auth migration.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P2 идёт только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config/CLI; byte-identical 001–039; checksums/tests; без 040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local reset/list и identical legacy inventory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expected 040: schemas/grants и verified legacy secret containment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Inbox compatibility + browser negative grants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organizations/profiles/memberships/five roles/scopes/base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five-role и cross-org RLS matrix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cases/assignments/handoff/applications/visa/tasks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two-org/two-student lifecycle denials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metadata/finance/notifications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Curator/Finance/Student negative matrix; no upload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P2F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conversations/provider mappings/raw events/knowledge/AI drafts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transcript isolation и server-write boundaries; no provider claim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P2G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Queues/outbox/idempotency/dead-letter/reconciliation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visibility/retry/dedupe; unknown never auto-requeued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P2H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private Platform Storage API/policies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MIME/25 MB, cross-user denial, audited access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Former P2I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transferred to P7 reliability work; not a thin-slice blocker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clean reset/grants/secrets plus isolated DB restore and separate Storage-object restore remain required before release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P2 additive: no legacy rename/drop, root-auth cutover, real-secret copy, legacy bucket flip, remote apply или production mutation. Detailed contract: </w:t>
      </w:r>
      <w:r>
        <w:rPr>
          <w:rFonts w:ascii="Courier New" w:hAnsi="Courier New" w:eastAsia="Courier New" w:cs="Courier New"/>
          <w:color w:val="111111"/>
          <w:sz w:val="21"/>
        </w:rPr>
        <w:t>docs/platform/p2-supabase-foundation.md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Thin Supabase-native messaging slice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 lane после foundation идёт только behind the accepted unified frontend. Он не создаёт новый parallel UI и не требует SQLite/root-auth migration, legacy data import, dual-read или dual-write. Scope: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Supabase-native auth/RBAC wiring behind the existing frontend;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conversation list/thread;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operator context на уровне conversation;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repository/action seams for raw-event, ACK/unknown and provider mappings, fail-closed до P4/P5 proof;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approved-knowledge selection и draft review/edit/manual-send authorization state без fake AI/WAHA success;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append-only audit;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minimal messaging integration/settings health, включая честные unconfigured/blocked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P3 идёт последовательно: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Sub-block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Exit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P3A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SSR/server session, verified claims, membership/RBAC,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/login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and staff shell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positive/negative login, expiry, blocked-user, role/cross-org tests; no legacy-account import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P3B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Supabase conversation list/thread repositories behind existing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/whatsapp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pages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real local Supabase object-scope tests + browser E2E; synthetic records are explicitly non-provider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P3C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approved knowledge, draft review/edit, manual-send authorization/outbox/audit and fail-closed integration health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local persistence/idempotency/audit E2E; no provider invocation or success claim when unconfigured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Explicitly excluded from this slice: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dashboards, KPI/reporting и unrelated analytics;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standalone pipelines, deals, leads, funnels и duplicate CRM surfaces;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broadcast, flows, campaigns, unattended 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unrelated settings beyond messaging/integration health;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Student 360, Admissions 360 и reliability perfection work.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Exit P3: local thin-slice E2E behind the accepted frontend, real local Supabase authorization/persistence, fail-closed provider states и code rollback. Real amoCRM mapping belongs to P4; real WAHA receive/send/ACK and AI-provider proof, bounded reconciliation and provider rollback readiness belong to P5/P8.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Discovery/versioned account mappings, messaging-scoped canonical context, persisted webhook inbox, async jobs/outbox, reconciliation/conflicts/loop prevention и затем guarded writes, только в объёме, нужном для thin messaging slice behind the accepted frontend. Broad Lead 360, pipeline boards и student activation logic остаются later-slice work. Без sanitized test lead live proof guarded write остаётся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Messaging/WAHA/AI controlled proof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Единая conversation/history и role-scoped messaging queue; отдельные internal/WAHA/Kommo IDs; HMAC/timestamp/request ID; persist-before-process; ACK/unknown audit; draft-only RU/EN и manual send. Broadcast/flow/auto-reply surfaces disabled/removed. Exit требует bounded controlled real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context → Platform thread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, reconciliation по evidence window, zero unexplained loss или duplicates в этом окне, health evidence и proven rollback readiness. Старый webhook/session не выключается без отдельной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Broad admissions and portal surfaces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 Student 360, broad Admissions/Finance surfaces и adjacent reliability hardening intentionally wait until P3-P5 thin messaging proof is complete.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Broader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 Numeric capacity/SLO/RPO/RTO perfection does not block P3 thin-slice repository completion unless separately promoted into the bounded cutover gate.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Bounded cutover evidence and Lead Agent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явно утверждённом controlled evidence window сверить каждый receive, identity link, Platform persist, draft, manual send и ACK/unknown outcome. Exit: zero unexplained loss/duplicates/drift для evidence set, healthy webhook/outbox, completed reconciliation и proven rollback. Фиксированный период наблюдения по часам не требуется и сам по себе не является proof. Удаление Lead Agent или legacy webhook/session выполняется только отдельным reviewed PR и требует отдельного production authority; в текущем run оно запрещено.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нужные для затронутого slice CI/provider/restore/security/accessibility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Conversation list/thread and operator context only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Existing accepted frontend + messaging backend wiring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Minimal integration/settings health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messaging readiness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bounded controlled evidence window завершён без unexplained loss/duplicates/drift, с наблюдаемыми failure metrics и completed reconciliation;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Later-phase applicability notes не отменяют критерии: соответствующие критерии не блокируют выход P3, но остаются обязательными для своих later phases и итогового P10 completion audit.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Phase ownership критериев: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P2 создал local migration reset/checksum evidence, которое вносит вклад в ACC-002; remote-ledger/PITR часть и финальное закрытие ACC-002 принадлежат P7;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P3 создаёт только partial local evidence для ACC-001, ACC-003–005, ACC-009–010 и changed-scope ACC-019–020; это не закрывает indivisible final criteria;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P4 закрывает ACC-007–008;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P5/P8 закрывают real-provider ACC-006, ACC-011–013 и ACC-024;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P6 закрывает ACC-005 и ACC-014–018;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P7 закрывает ACC-002–003 и ACC-019–023 на полном release scope;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P9 закрывает ACC-025, а P10 подтверждает финальное закрытие ACC-001, ACC-004, ACC-009–010 и всех остальных критериев.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Root 001–039 history byte/checksum-identical; один production project и dev/staging/preview изолированы без prod data default; local proof и remote-ledger/PITR proof разделены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Checksum + local/remote migration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 две organizations изолированы на DB/API/UI/Storage; legacy role/signup не создаёт Platform scope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Cross-user/cross-org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проходит real private Storage API; чужой student/org доступ запрещён; legacy public buckets не считаются этим proof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DB backup и отдельный Storage-object backup восстановлены в isolated environment; numeric RPO/RTO ждут DEC-010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Two restore reports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Bounded controlled evidence-window reconciliation не содержит unexplained loss/orphans/duplicates для thin messaging path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bounded real controlled path, bounded-window reconciliation, zero unexplained loss/duplicates/drift, health evidence, rollback и separate reviewed retirement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proof + 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Roles v1: Admin, Sales, Curator, Finance, Client/Student; target machine role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student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, legacy root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client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остаётся reference-only identifier вне launch scope;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эти численные targets не блокируют первый thin messaging slice, если отдельно не включены в bounded cutover gate;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window, freeze rules, bounded evidence window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bounded controlled real path и полного gate раздела 22; фиксированный soak по часам не требуется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 текущему контракту команда последовательно поддерживает: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Supabase boundary ADR 0015 и superseding greenfield/UI boundary ADR 0016.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6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6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, ADR 0014 и ADR 0015.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docs/platform/greenfield-platform-boundary.md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docs/adr/0003–0016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7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2"/>
        <w:spacing w:before="720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spacing w:before="0" w:after="720" w:line="240" w:lineRule="auto"/>
      </w:pPr>
      <w:r>
        <w:br w:type="page"/>
      </w:r>
    </w:p>
    <w:p>
      <w:pPr>
        <w:pStyle w:val="Heading1"/>
        <w:spacing w:before="720"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thin-slice boundaries, accepted frontend contract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bounded cutover/rollback и later RPO/RTO targets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recovery, bounded evidence window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1.3: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текущему phased contract разрешена после merge соответствующих docs amendments.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1.3  ·  30.07.2026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1">
    <w:abstractNumId w:val="40"/>
  </w:num>
  <w:abstractNum w:abstractNumId="4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  <w:abstractNum w:abstractNumId="4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5">
    <w:abstractNumId w:val="44"/>
  </w:num>
  <w:abstractNum w:abstractNumId="4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6">
    <w:abstractNumId w:val="45"/>
  </w:num>
  <w:abstractNum w:abstractNumId="4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