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2.3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9 августа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93f48b82785836e4ade92dd7c56d8653fdd9e2ea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available history, private media, receive/send, delivery/ACK, true realtime, staff takeover/manual send, guarded AI qualification/replies,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 proposals/memory,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messaging/qualification логика EVO Lead Agent переносится как изолированные Platform-модули, а не копируется как второй worker. P4B activation/writes остаются deferred; отдельный P4R может read-only получать contact/lead/responsible/stage/tasks/call-chat references после messaging foundation.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legacy webhook/session и rollback path остаются deployed/frozen. P9, deactivation, retirement и deletion исключены из текущего execution scope.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Gemini создаёт только structured RU/EN proposal и не получает прямой WAHA send capability. Deterministic server policy может отправить его автоматически только как ответ на недавний inbound внутри 24-hour service window после всех guardrails; любой failed gate создаёт human handoff.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Автоматизация чтения документов для Student Profile, подтверждения извлечённых фактов, profile autofill и profile-form export реализуется в отдельной системе вне EVO Platform. Это решение не создаёт runtime dependency или автоматический обмен данными.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доступная WhatsApp-история и private media, AI proposal, send/handoff, takeover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history/media → amoCRM read context → EVO Platform → structured AI proposal → governed auto-send или human handoff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color w:val="111111"/>
          <w:sz w:val="21"/>
        </w:rPr>
        <w:t xml:space="preserve">Эти критерии описывают исходный полный production target. В текущем execution scope P4R может доказать только bounded amoCRM read context; activation, writes и automatic contract handoff остаются </w:t>
      </w:r>
      <w:r>
        <w:rPr>
          <w:rFonts w:ascii="Courier New" w:hAnsi="Courier New" w:eastAsia="Courier New" w:cs="Courier New"/>
          <w:color w:val="111111"/>
          <w:sz w:val="20"/>
        </w:rPr>
        <w:t>DEFERRED</w:t>
      </w:r>
      <w:r>
        <w:rPr>
          <w:rFonts w:ascii="Arial" w:hAnsi="Arial" w:eastAsia="Arial" w:cs="Arial"/>
          <w:color w:val="111111"/>
          <w:sz w:val="21"/>
        </w:rPr>
        <w:t xml:space="preserve"> вместе с P4B. P8 принимает только реально исполненную часть, а P10 не выдаёт её за завершение полного target.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проверка 39 tabs Ultimate EVO Google Doc 30 июля 2026 года, accessible 21-page China checklist и только metadata linked admissions Sheet/Drive; student rows/folder names/files не читались и не копировались;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blocked university Notion catalog: доступ требует sign-in в workspace AbdyldaYT, поэтому records не выдуманы и import не считается доступным.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history/media, manual send, ACK/realtime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любая готовность или authority для deactivation/retirement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Communications, AI Proposals and Memory;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P4R amoCRM Read Adapter &lt;-&gt; amoCRM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Structured AI Proposal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Deterministic Policy Gates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|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Governed reply    Human handoff/takeover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|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+-----&gt; Outbox/manual send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history, media links, realtime/reconciliation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policy worker or authorized employee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proposal и qualification memory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Prompt/policy/context/memory version, retrieval evidence, structured output, gates, disposition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deterministic policy sends or hands off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 Platform сохраняет доступную inbound/outbound историю, private media references и собственный reconciliation cursor; UI обновляется через Supabase Realtime с bounded reconnect/catch-up, а не требует CMD+R или ручной кнопки refresh.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P5B projection worker имеет отдельный private contract: bodyless </w:t>
      </w:r>
      <w:r>
        <w:rPr>
          <w:rFonts w:ascii="Courier New" w:hAnsi="Courier New" w:eastAsia="Courier New" w:cs="Courier New"/>
          <w:color w:val="111111"/>
          <w:sz w:val="21"/>
        </w:rPr>
        <w:t>POST /api/internal/platform-messaging/waha/work</w:t>
      </w:r>
      <w:r>
        <w:rPr>
          <w:rFonts w:ascii="Arial" w:hAnsi="Arial" w:eastAsia="Arial" w:cs="Arial"/>
          <w:color w:val="111111"/>
          <w:sz w:val="22"/>
        </w:rPr>
        <w:t xml:space="preserve">, UUID request ID, Unix-millisecond timestamp, </w:t>
      </w:r>
      <w:r>
        <w:rPr>
          <w:rFonts w:ascii="Courier New" w:hAnsi="Courier New" w:eastAsia="Courier New" w:cs="Courier New"/>
          <w:color w:val="111111"/>
          <w:sz w:val="21"/>
        </w:rPr>
        <w:t>sha256</w:t>
      </w:r>
      <w:r>
        <w:rPr>
          <w:rFonts w:ascii="Arial" w:hAnsi="Arial" w:eastAsia="Arial" w:cs="Arial"/>
          <w:color w:val="111111"/>
          <w:sz w:val="22"/>
        </w:rPr>
        <w:t xml:space="preserve"> algorithm header и lowercase HMAC-SHA256 по </w:t>
      </w:r>
      <w:r>
        <w:rPr>
          <w:rFonts w:ascii="Courier New" w:hAnsi="Courier New" w:eastAsia="Courier New" w:cs="Courier New"/>
          <w:color w:val="111111"/>
          <w:sz w:val="21"/>
        </w:rPr>
        <w:t>&lt;request-id&gt;.&lt;timestamp&gt;</w:t>
      </w:r>
      <w:r>
        <w:rPr>
          <w:rFonts w:ascii="Arial" w:hAnsi="Arial" w:eastAsia="Arial" w:cs="Arial"/>
          <w:color w:val="111111"/>
          <w:sz w:val="22"/>
        </w:rPr>
        <w:t xml:space="preserve">. Он disabled by default и claims только verified inbound </w:t>
      </w:r>
      <w:r>
        <w:rPr>
          <w:rFonts w:ascii="Courier New" w:hAnsi="Courier New" w:eastAsia="Courier New" w:cs="Courier New"/>
          <w:color w:val="111111"/>
          <w:sz w:val="21"/>
        </w:rPr>
        <w:t>provider_webhook_process</w:t>
      </w:r>
      <w:r>
        <w:rPr>
          <w:rFonts w:ascii="Arial" w:hAnsi="Arial" w:eastAsia="Arial" w:cs="Arial"/>
          <w:color w:val="111111"/>
          <w:sz w:val="22"/>
        </w:rPr>
        <w:t xml:space="preserve"> work для configured organization, exact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session и </w:t>
      </w:r>
      <w:r>
        <w:rPr>
          <w:rFonts w:ascii="Courier New" w:hAnsi="Courier New" w:eastAsia="Courier New" w:cs="Courier New"/>
          <w:color w:val="111111"/>
          <w:sz w:val="21"/>
        </w:rPr>
        <w:t>waha:evo-inbox</w:t>
      </w:r>
      <w:r>
        <w:rPr>
          <w:rFonts w:ascii="Arial" w:hAnsi="Arial" w:eastAsia="Arial" w:cs="Arial"/>
          <w:color w:val="111111"/>
          <w:sz w:val="22"/>
        </w:rPr>
        <w:t xml:space="preserve"> account. Claim/project/finish RPCs service-only, organization/session/provenance-bound и leased; invalid result не finish-ится, lease истекает для safe retry. Exhausted work попадает в явный manual-review/dead-letter state. </w:t>
      </w:r>
      <w:r>
        <w:rPr>
          <w:rFonts w:ascii="Courier New" w:hAnsi="Courier New" w:eastAsia="Courier New" w:cs="Courier New"/>
          <w:color w:val="111111"/>
          <w:sz w:val="21"/>
        </w:rPr>
        <w:t>sales_authority_source='platform_intake'</w:t>
      </w:r>
      <w:r>
        <w:rPr>
          <w:rFonts w:ascii="Arial" w:hAnsi="Arial" w:eastAsia="Arial" w:cs="Arial"/>
          <w:color w:val="111111"/>
          <w:sz w:val="22"/>
        </w:rPr>
        <w:t xml:space="preserve"> означает только intake queue, не amoCRM owner. Raw chat/message IDs хранятся в private append-only bindings. P5B не вызывает provider, не отправляет клиенту, не пишет amoCRM и не выполняет production migration/cutover.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Governed send и human takeover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Входящий event сохраняется до processing и появляется в accepted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conversation history без raw phone-bearing provider IDs.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показывает собственный conversation context. Реальный amoCRM contact/lead/responsible/stage/tasks/call-chat context показывается только после P4R proof; иначе он явно unavailable/stale без fallback.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Для текста Gemini может подготовить structured proposal. Для media-only сообщения без approved media-understanding создаётся human handoff; event не завершается как успешно обработанный только из-за отсутствия текста.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Deterministic policy выбирает </w:t>
      </w:r>
      <w:r>
        <w:rPr>
          <w:rFonts w:ascii="Courier New" w:hAnsi="Courier New" w:eastAsia="Courier New" w:cs="Courier New"/>
          <w:color w:val="111111"/>
          <w:sz w:val="21"/>
        </w:rPr>
        <w:t>auto_send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human_review</w:t>
      </w:r>
      <w:r>
        <w:rPr>
          <w:rFonts w:ascii="Arial" w:hAnsi="Arial" w:eastAsia="Arial" w:cs="Arial"/>
          <w:color w:val="111111"/>
          <w:sz w:val="22"/>
        </w:rPr>
        <w:t xml:space="preserve"> или </w:t>
      </w:r>
      <w:r>
        <w:rPr>
          <w:rFonts w:ascii="Courier New" w:hAnsi="Courier New" w:eastAsia="Courier New" w:cs="Courier New"/>
          <w:color w:val="111111"/>
          <w:sz w:val="21"/>
        </w:rPr>
        <w:t>reject</w:t>
      </w:r>
      <w:r>
        <w:rPr>
          <w:rFonts w:ascii="Arial" w:hAnsi="Arial" w:eastAsia="Arial" w:cs="Arial"/>
          <w:color w:val="111111"/>
          <w:sz w:val="22"/>
        </w:rPr>
        <w:t>. Модель сама этот выбор не исполняет и не имеет WAHA credential/tool.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Перед любым send Server проверяет organization/session, 24-hour window, consent/opt-out, language, evidence, risk/confidence, business hours, cooldown/rate, takeover, idempotency, kill switch и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затем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сохраняет immutable proposal, policy/gate evidence и outbox record с idempotency key; worker выполняет ровно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Human review позволяет отредактировать текст и вручную отправить. Manual outbound либо takeover немедленно и durably ставит autonomy на паузу; resume доступен только authorized staff и всегда audit-ится.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одну историю. Ошибка/unknown видимы и требуют безопасного следующего действия; auto-resend запрещён.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 qualification, memory и structured proposals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как server-side модуль квалификации и ответа, но transport, state и authority принадлежат EVO Platform. Отдельный Codex/CLI agent и папка на каждого клиента не создаются. Supabase хранит conversation summary, explicit facts, qualification state, takeover state, proposal/gate evidence и pgvector references; approved knowledge retrieval даёт источники для ответа.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Gemini возвращает schema-constrained RU/EN proposal: proposed text, language, intent/qualification update, confidence, risk flags, citations и requested next action. Structured output гарантирует форму, но семантика повторно валидируется deterministic server code;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autonomous send разрешён только как reply после реального inbound внутри WhatsApp 24-hour service window. Cold outbound, broadcast, autonomous follow-up/re-engagement и out-of-window free-form send запрещены;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default business hours — 09:00-21:00 Asia/Bishkek до approved organization-specific schedule; вне окна результат уходит в human review;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отправка fail-closed при opt-out/нет consent, unsupported/uncertain language, sensitive topic, insufficient approved evidence, low confidence, rate/ cooldown failure, media-only input, takeover/pause, non-WORKING session, duplicate/idempotency conflict или disabled kill switch;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RU/EN выбираются по языку последнего customer message. Kyrgyz или uncertain language требует manual language selection/handoff;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date, provenance и auditable retrieval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prompt/policy version, context snapshot, knowledge evidence, structured output, every gate result, send/handoff disposition, timestamp и фактически отправленный текст;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grounded accuracy, qualification completeness, handoff correctness, duplicate/loss rate, policy violations и edit/override outcomes, а не по объёму auto-sent сообщений.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Пока P4B activation/writes deferred, amo-derived Sales owner/stage/pre-post- handoff actions ниже недоступны. P4R может дать только доказанный read context; остальные P5-P8 действия используют Platform-owned authority. Локальный или hardcoded fallback запрещён.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и private media reference появляются в accepted Inbox; Supabase Realtime обновляет list/thread, а reconnect выполняет catch-up.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P4R provider proof amoCRM Adapter read-only ищет contact/active lead, responsible, stage, tasks и call/chat references. При неоднозначности создаётся conflict; до proof контекст явно unavailable, без fallback.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Gemini формирует structured qualification/reply proposal из Platform memory и approved retrieval.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Deterministic policy либо выполняет governed reply inside 24-hour window, либо создаёт human handoff. Media-only, failed gate или staff takeover не auto-send-ятся.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proposal/gate/send/takeover действия и provider acknowledgements сохраняются в одной истории.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Примечания о later-phase applicability меняют только порядок поставки. Каждое требование остаётся частью исходного полного target, но текущий P10 аудирует только авторизованный P5-P8 scope. AmoCRM-dependent требования маркируются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 xml:space="preserve"> до возобновления P4 и не блокируют честное завершение более узкого audit; production-complete заявление для полного target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Platform-owned данных только в отдельном P6 operational UI sub-block; amo-derived metrics/queues остаются unavailable до P4.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P4B activation/writes остаются deferred. P4R может доказать read-only часть FR-019/020/022/024/026/027/030 для contact/lead/ responsible/stage/tasks/call-chat context через account-specific mappings; остальные write/handoff requirements fail-closed. Это не перенос Inbox CRM surfaces и не может быть заменено SQLite/mock/hardcoded mapping.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realtime conversation list/thread, unread, assignee, latest message, available read-only amo context и sync/stale state без отдельного lead/deal/pipeline CRM surface или CMD+R.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Realtime/reconnect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available inbound/outbound history, private media и received/prepared/sent/delivered/read/failed/unknown с reconciliation cursor.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History/media/status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Gemini должен вернуть immutable structured RU/EN proposal с text, qualification update, confidence, risk flags, citations и next action; direct provider send tool отсутствует.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Schema/semantic validation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Deterministic server policy может auto-send только inbound reply внутри 24-hour window после consent/opt-out, language, evidence, risk/confidence, business-hours, cooldown/rate, takeover, idempotency, WORKING и kill-switch gates; иначе human handoff.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Policy matrix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Proposal должен сохранять provider/model/prompt/policy/context/retrieval evidence, every gate result и disposition.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proposal/manual reply; исходный proposal остаётся immutable, а manual outbound/takeover durably pauses autonomy до authorized audited resume.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proposal/policy/outbox, но хранит фактический текст, actor/automation identity и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Proposal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и Platform-owned memory с owner, provenance, approval state, effective date и auditable pgvector retrieval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Admin/retrieval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media-only inbound остаётся operator-visible/actionable и до approved understanding вызывает handoff, а не terminal success;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Storage/RLS/worker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status, realtime/reconciliation lag, worker/queue health и kill-switch state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cold outbound, autonomous follow-up/re-engagement и out-of-window free-form sends отсутствуют/fail-closed; controlled inbound-reply autonomy имеет independent kill switch и disabled-by-default config.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route/policy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13.10 OP/OZO business workflows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OP должен использовать небольшой canonical lifecycle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new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contacting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qualified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meeting_scheduled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meeting_completed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potential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contract_signed</w:t>
            </w:r>
            <w:r>
              <w:rPr>
                <w:rFonts w:ascii="Arial" w:hAnsi="Arial" w:eastAsia="Arial" w:cs="Arial"/>
                <w:color w:val="111111"/>
                <w:sz w:val="17"/>
              </w:rPr>
              <w:t>; account-specific amoCRM mapping остаётся внешним authority.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Mapping contract +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no_answer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meeting_not_attended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должны быть follow-up outcomes, event/collaboration values — source/deal metadata, а closure — отдельный result с обязательной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Transition/validation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Подтверждённый договор должен создавать audited OP→OZO handoff из approved commercial fields, unresolved questions, promises, next step, deadline и responsible role; chat text не подтверждает договор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audit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OZO должен использовать один common admissions lifecycle: intake, profile/route, documents, applications, decisions, visa/predeparture, arrival/adaptation, completed/closed.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Domain transition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Application, document, visa, finance, housing, insurance и travel должны иметь независимые статусы и не сводиться в один country pipeline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Multi-workstream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China, Italy, Czech/Poland, UAE/Turkey и Malaysia должны быть versioned country overlays с source URL/version/review status/reviewer role/reviewed-at.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Provenance/version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 case сохраняет applied overlay version; обновление применяется к новым checklist по умолчанию, а rebase требует отдельного authorized audited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Historical version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Profile должен иметь minimized country-neutral core и versioned country requirements; unnecessary sensitive fields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Data-minimization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identifiers/files собираются только по approved requirement через private document path, а не через обычный chat, Git, fixtures или logs.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Security/PII guard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Country requirements должны создавать case-specific checklist slots с owner, due date, status, correction reason и evidence; наличие файла не означает validation.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Checklist/review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Templates и generated contracts используют только typed approved fields; output остаётся versioned draft до authorized staff approval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Generation/approval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Post-contract checklist/report должен фиксировать delivered/open items, evidence, owner и next action без неподтверждённых claims.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Workflow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Q&amp;A должен быть versioned decision backlog с answer, owner role, status, evidence/source, affected requirement и effective version; unanswered entries остаются unresolved.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Decision lifecycle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System prompt, policy, business context, Platform memory schema и country knowledge должны version/approve/retire независимо и иметь citations/retrieval evidence в AI proposal.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Knowledge/prompt/policy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создаёт только RU/EN proposal; Kyrgyz или uncertain language требует manual language selection и human review, без autonomous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Language failure-path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University/college import проходит через reviewable staging, validation и approval; source record не пишет напрямую в approved catalog/student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Import isolation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University import остаётся blocked пока Notion workspace недоступен; empty colleges не заполняются fake records.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Blocked-source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Sheets/Drive/PDF/Notion остаются discovery/import sources, не runtime database/public dependency; customer PII не попадает в repository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+ PII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Accounting/Bema не создаёт новый ledger; Finance v1 остаётся obligations/payments/refunds/evidence/audit.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and route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FR-110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OP/OZO/Profile/checklist/catalog/contract flows используют существующий unified frontend и real Supabase repositories/actions/RLS/audit без parallel UI, localStorage или demo fallback.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Existing-route real-backend E2E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available history/media backfill имеет reconciliation cursor; WAHA/Kommo/internal IDs хранятся отдельно, UI получает Supabase Realtime + reconnect catch-up.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history/media/realtime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Gemini server adapter создаёт только schema-constrained RU/EN proposal из approved knowledge и Platform memory с model/prompt/policy/context/retrieval audit и timeout; deterministic server отдельно валидирует semantics и send gates.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policy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ясную AI automation/pause/handoff маркировку и доступный staff takeover;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bounded local proof reliability repair: process-group deadlines, exact disposable cleanup, transient-only Auth readiness, stable PGMQ leases and forward document lock order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#105 and immutable migration 055; real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npm run test:supabase:local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exits zero; exact-label resources/lock absent; Inbox state preserved; local auth/security, lint, typecheck, build, scenarios, E2E/a11y and scoped secret checks pass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issued-token auth/local reset plan; implementation PR #110 closed without merge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PR #109 and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30824043775</w:t>
            </w:r>
            <w:r>
              <w:rPr>
                <w:rFonts w:ascii="Arial" w:hAnsi="Arial" w:eastAsia="Arial" w:cs="Arial"/>
                <w:color w:val="111111"/>
                <w:sz w:val="18"/>
              </w:rPr>
              <w:t>; controller found missing response-writable stale-session clearing and missing second physical-worktree proof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P2R3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merged stale-session/local-proof ownership and implementation repair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plan PR #111 plus implementation PR #112; same-origin response-writable Route Handler, claims plus live-authority recheck, project auth-cookie/chunk clearing and real connected-route/local Supabase proof; exact-main CI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30883272841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green; no migration/provider/production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P2R0/P2R1 are merged through PR #105. PR #109 merged the P2R2 plan; PR #110 was closed without merge after controller rejection. Plan PR #111 and implementation PR #112 then merged P2R3 with exact issued-token </w:t>
      </w:r>
      <w:r>
        <w:rPr>
          <w:rFonts w:ascii="Courier New" w:hAnsi="Courier New" w:eastAsia="Courier New" w:cs="Courier New"/>
          <w:color w:val="111111"/>
          <w:sz w:val="21"/>
        </w:rPr>
        <w:t>getClaims(accessToken)</w:t>
      </w:r>
      <w:r>
        <w:rPr>
          <w:rFonts w:ascii="Arial" w:hAnsi="Arial" w:eastAsia="Arial" w:cs="Arial"/>
          <w:color w:val="111111"/>
          <w:sz w:val="22"/>
        </w:rPr>
        <w:t>, live authority, response-writable Platform-session clearing, symlink-safe child execution, real exit propagation and the complete local Auth/PostgREST/RLS/browser/Storage/PGMQ gate. P2R3 added no migration and did not prove managed Supabase, providers, malware scanning, backup/restore or production. Migration 055 is immutable history; BW5 subsequently rechecked and merged migration 056 in PR #113.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BW0-BW7. Business-workflow lane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BW0, P3A-P3C, BW1-BW7 и P2R0-P2R3 are merged. PR #112 merged the prerequisite P2R3 repair, PR #113 merged BW5, PR #114 merged BW6 and PR #116 merged BW7. These local synthetic workflow proofs do not authorize provider/production work or take P7 restore ownership.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BW1 — normalized workflow/domain/source contracts без PII.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BW2 — OP/OZO repositories/actions за существующими screens.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BW3 — Student Profile и versioned country checklists.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BW4 — approved prompt/knowledge, Q&amp;A decision backlog и handoff.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BW5 — merged university/college catalog и reviewable import boundary behind accepted </w:t>
      </w:r>
      <w:r>
        <w:rPr>
          <w:rFonts w:ascii="Courier New" w:hAnsi="Courier New" w:eastAsia="Courier New" w:cs="Courier New"/>
          <w:color w:val="111111"/>
          <w:sz w:val="21"/>
        </w:rPr>
        <w:t>/applications</w:t>
      </w:r>
      <w:r>
        <w:rPr>
          <w:rFonts w:ascii="Arial" w:hAnsi="Arial" w:eastAsia="Arial" w:cs="Arial"/>
          <w:color w:val="111111"/>
          <w:sz w:val="22"/>
        </w:rPr>
        <w:t>, with immutable migration 056. Staging/validation never directly publish approved rows or mutate applications; explicit Admin approval/rejection, provenance and role/tenant/object-scope tests remain required. Real import remains blocked without authorized source access, and missing college data must not be replaced with invented records.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BW6 — generated contract draft и post-contract checklist/report с approval и audit.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BW7 — latest-main integration и полный real local/staging Supabase E2E через accepted frontend.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P3 владеет common session/repository seams, P4 — amoCRM adapter, P5 — real WAHA/AI/ACK proof, P7 — restore/reliability. BW blocks используют эти seams и не дублируют их. Shared migration number выбирается только после проверки latest </w:t>
      </w:r>
      <w:r>
        <w:rPr>
          <w:rFonts w:ascii="Courier New" w:hAnsi="Courier New" w:eastAsia="Courier New" w:cs="Courier New"/>
          <w:color w:val="111111"/>
          <w:sz w:val="21"/>
        </w:rPr>
        <w:t>origin/main</w:t>
      </w:r>
      <w:r>
        <w:rPr>
          <w:rFonts w:ascii="Arial" w:hAnsi="Arial" w:eastAsia="Arial" w:cs="Arial"/>
          <w:color w:val="111111"/>
          <w:sz w:val="22"/>
        </w:rPr>
        <w:t xml:space="preserve"> и open PR ownership.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P4A merged in PR #117: immutable sanitized account-specific discovery versions, service-only ingest, live-authority Admin reads and a bounded GET-only server adapter. This proves the local discovery contract, not a real amoCRM account.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PR #118 merged the P4B docs-only selection/approval contract. Implementation is preserved on remote branch </w:t>
      </w:r>
      <w:r>
        <w:rPr>
          <w:rFonts w:ascii="Courier New" w:hAnsi="Courier New" w:eastAsia="Courier New" w:cs="Courier New"/>
          <w:color w:val="111111"/>
          <w:sz w:val="21"/>
        </w:rPr>
        <w:t>izzhackt/evo-platform-p4b-mapping-approval</w:t>
      </w:r>
      <w:r>
        <w:rPr>
          <w:rFonts w:ascii="Arial" w:hAnsi="Arial" w:eastAsia="Arial" w:cs="Arial"/>
          <w:color w:val="111111"/>
          <w:sz w:val="22"/>
        </w:rPr>
        <w:t xml:space="preserve"> at </w:t>
      </w:r>
      <w:r>
        <w:rPr>
          <w:rFonts w:ascii="Courier New" w:hAnsi="Courier New" w:eastAsia="Courier New" w:cs="Courier New"/>
          <w:color w:val="111111"/>
          <w:sz w:val="21"/>
        </w:rPr>
        <w:t>e53ba94954f147b295f596421a255591fa343ce8</w:t>
      </w:r>
      <w:r>
        <w:rPr>
          <w:rFonts w:ascii="Arial" w:hAnsi="Arial" w:eastAsia="Arial" w:cs="Arial"/>
          <w:color w:val="111111"/>
          <w:sz w:val="22"/>
        </w:rPr>
        <w:t>; implementation PR отсутствует. Focused repository checks прошли, но full local Supabase gate failed closed в real Auth/PostgREST hook до Playwright. Это failed/non-evidence и не доказывает mapping approval или real amoCRM account.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P4B mapping activation и writes deferred. После messaging foundation отдельный P4R block может read-only получить contact/lead/responsible/stage/tasks/ call-chat references через account-specific mappings, real provider IDs, reconciliation и explicit stale/degraded state. Он не создаёт/изменяет amoCRM records, не infer-ит contract handoff и не approved mappings silently. Mock, SQLite shim, hardcoded mapping, fake provider и silent fallback запрещены. Broader P4B требует отдельного owner decision, fresh-main gate и review.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P5A persist-before-process merged. P5B добавляет только private disabled-by- default projection worker по exact HMAC/service-RPC/lease/provenance contract; media-only inbound остаётся actionable/handoff, а raw phone-bearing IDs private. Следующие small blocks добавляют available history, private media, ACK, Supabase Realtime/reconnect, Platform-owned memory/approved pgvector retrieval, structured Gemini qualification/proposals, deterministic reply-only policy и staff takeover. Broadcast/flow/cold outbound/follow-up/re-engagement исключены. Exit требует real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history/media → Platform → real read context where available → structured proposal → governed send/handoff → ACK/unknown → audit</w:t>
      </w:r>
      <w:r>
        <w:rPr>
          <w:rFonts w:ascii="Arial" w:hAnsi="Arial" w:eastAsia="Arial" w:cs="Arial"/>
          <w:color w:val="111111"/>
          <w:sz w:val="22"/>
        </w:rPr>
        <w:t>, reconciliation, zero unexplained loss/duplicates, health и rollback. Старый webhook/session не выключается без separate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workflows, которые не выводят amoCRM contract stage, responsible Sales или canonical handoff. Amo-dependent activation остаётся deferred вместе с P4.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retroactively invalidate the merged P3 local slice; it remains P7/release evidence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относится только к real executable P5-P7 плюс доказанный P4R read path: </w:t>
      </w:r>
      <w:r>
        <w:rPr>
          <w:rFonts w:ascii="Courier New" w:hAnsi="Courier New" w:eastAsia="Courier New" w:cs="Courier New"/>
          <w:color w:val="111111"/>
          <w:sz w:val="21"/>
        </w:rPr>
        <w:t>WhatsApp history/media → Platform → amo read context where available → structured proposal → governed send/handoff → ACK/unknown → audit</w:t>
      </w:r>
      <w:r>
        <w:rPr>
          <w:rFonts w:ascii="Arial" w:hAnsi="Arial" w:eastAsia="Arial" w:cs="Arial"/>
          <w:color w:val="111111"/>
          <w:sz w:val="22"/>
        </w:rPr>
        <w:t xml:space="preserve">. P4B activation/writes и unavailable provider segments —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>, never passed.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Removed from current execution scope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Soak и Lead Agent retirement/removal не выполняются. EVO Lead Agent, legacy webhook/session и rollback path остаются deployed/frozen и не могут быть deactivated, retired или deleted в текущем scope. P10 следует сразу после P8; label P9 сохраняется только для исторической traceability.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Authorized-scope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разрешённый P5-P8 scope с evidence, выполнить применимые CI/provider/restore/security/accessibility gates и закрыть implementation PR. Отдельно указать P4B activation/writes deferred, bounded P4R evidence, Lead Agent retained и provider/production blockers. Verified, blocked и deferred сообщаются раздельно. Полный исходный Platform target не считается завершённым этим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Поглощаемые capability и retained boundary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Legacy auto-reply decision/send logic не переносится как активная функция. Новый inbound-reply lane реализуется отдельно в Platform через structured proposal, deterministic policy, queue/outbox, kill switch и staff takeover.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Retained boundary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P9 и Lead Agent retirement/removal исключены из текущего execution scope. </w:t>
      </w:r>
      <w:r>
        <w:rPr>
          <w:rFonts w:ascii="Courier New" w:hAnsi="Courier New" w:eastAsia="Courier New" w:cs="Courier New"/>
          <w:color w:val="111111"/>
          <w:sz w:val="21"/>
        </w:rPr>
        <w:t>evo-lead-agent/</w:t>
      </w:r>
      <w:r>
        <w:rPr>
          <w:rFonts w:ascii="Arial" w:hAnsi="Arial" w:eastAsia="Arial" w:cs="Arial"/>
          <w:color w:val="111111"/>
          <w:sz w:val="22"/>
        </w:rPr>
        <w:t xml:space="preserve">, Compose/env/volume references, </w:t>
      </w:r>
      <w:r>
        <w:rPr>
          <w:rFonts w:ascii="Courier New" w:hAnsi="Courier New" w:eastAsia="Courier New" w:cs="Courier New"/>
          <w:color w:val="111111"/>
          <w:sz w:val="21"/>
        </w:rPr>
        <w:t>crm_primary</w:t>
      </w:r>
      <w:r>
        <w:rPr>
          <w:rFonts w:ascii="Arial" w:hAnsi="Arial" w:eastAsia="Arial" w:cs="Arial"/>
          <w:color w:val="111111"/>
          <w:sz w:val="22"/>
        </w:rPr>
        <w:t xml:space="preserve"> legacy path/ session, internal sync route, legacy webhook/session и rollback artifacts не удаляются и не деактивируются. Lead Agent остаётся deployed/frozen: worker, auto-reply и outbound не включаются, а параллельный active webhook ownership не создаётся.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Любое будущее решение о retirement требует нового owner decision, отдельного plan amendment, production authority и пересобранного evidence contract. Это ТЗ не планирует и не принимает retirement PR.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Later-phase applicability notes не отменяют критерии исходного target. Однако текущий P10 audit принимает только авторизованный P5-P8 scope и обязан пометить amoCRM-dependent критерии как </w:t>
      </w:r>
      <w:r>
        <w:rPr>
          <w:rFonts w:ascii="Courier New" w:hAnsi="Courier New" w:eastAsia="Courier New" w:cs="Courier New"/>
          <w:color w:val="111111"/>
          <w:sz w:val="21"/>
        </w:rPr>
        <w:t>DEFERRED</w:t>
      </w:r>
      <w:r>
        <w:rPr>
          <w:rFonts w:ascii="Arial" w:hAnsi="Arial" w:eastAsia="Arial" w:cs="Arial"/>
          <w:color w:val="111111"/>
          <w:sz w:val="22"/>
        </w:rPr>
        <w:t>, а не как passed.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 и amo-dependent часть ACC-014; эти критерии deferred до отдельного owner decision о возобновлении P4;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amoCRM-independent части ACC-014–018;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ACC-025 enforced во всех текущих фазах, потому что Lead Agent retained/frozen;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P10 аудирует только авторизованный scope, явно перечисляет deferred P4 и не подтверждает финальное закрытие всех критериев исходного target.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Gemini proposal проходит deterministic policy matrix; auto-send возможен только для inbound reply внутри 24-hour window, а каждый failed gate создаёт durable human handoff без provider 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Contract/policy/E2E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Governed auto-send и manual send сохраняют фактический текст, automation/actor identity, policy/gates, takeover state, idempotency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реально выполненного history/media → Platform → available P4R context → governed send/handoff → ACK path; P4B writes/activation остаются deferred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 + deferred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Agent, legacy webhook/session и rollback path остаются deployed/frozen; deactivation, retirement, deletion и retirement PR отсутствуют в текущем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Repository/deployment diff + scope audit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classes, provider DPA и data-processing policy; reply-only 24-hour autonomy scope, deterministic guardrails, staff takeover и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 и Lead Agent retirement/removal исключены из текущего scope; Lead Agent, legacy webhook/session и rollback path остаются deployed/frozen; любое будущее retirement решение требует нового owner decision и plan amendment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cold/out-of-window AI outbound, autonomous follow-up/re-engagement и model-direct send; guarded inbound reply внутри 24-hour window входит в MVP;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deactivation, retirement или удаление Lead Agent/legacy path в текущем 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чтение документов для Student Profile, извлечение/подтверждение фактов, profile autofill и profile-form DOCX/PDF export; это отдельная система вне </w:t>
      </w:r>
      <w:r>
        <w:rPr>
          <w:rFonts w:ascii="Courier New" w:hAnsi="Courier New" w:eastAsia="Courier New" w:cs="Courier New"/>
          <w:color w:val="111111"/>
          <w:sz w:val="21"/>
        </w:rPr>
        <w:t>evo_AI_CRM</w:t>
      </w:r>
      <w:r>
        <w:rPr>
          <w:rFonts w:ascii="Arial" w:hAnsi="Arial" w:eastAsia="Arial" w:cs="Arial"/>
          <w:color w:val="111111"/>
          <w:sz w:val="22"/>
        </w:rPr>
        <w:t>, без подразумеваемого автоматического обмена данными.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0015, superseding greenfield/UI boundary ADR 0016, external-automation boundary ADR 0017 и execution-order/retention boundary ADR 0018, superseded where applicable by guarded-autonomy/read-mostly-integration ADR 0019.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Structured AI proposal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Schema-constrained предложение текста, qualification update, confidence, risk и citations; само по себе не даёт права send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Guarded inbound reply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Автоматический ответ только на недавний inbound внутри 24-hour window после всех deterministic gates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Human takeover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пауза automation, после которой разговор ведёт сотрудник до authorized audited resume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Platform memory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Supabase-owned summary, explicit facts, qualification и retrieval references; не отдельный файловый agent на клиента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6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Realtime database-change subscriptions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6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7">
        <w:r>
          <w:rPr>
            <w:rStyle w:val="Hyperlink"/>
            <w:color w:val="A60017"/>
            <w:u w:val="single"/>
            <w:rFonts w:ascii="Arial" w:hAnsi="Arial" w:eastAsia="Arial" w:cs="Arial"/>
          </w:rPr>
          <w:t>WAHA Send messages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8">
        <w:r>
          <w:rPr>
            <w:rStyle w:val="Hyperlink"/>
            <w:color w:val="A60017"/>
            <w:u w:val="single"/>
            <w:rFonts w:ascii="Arial" w:hAnsi="Arial" w:eastAsia="Arial" w:cs="Arial"/>
          </w:rPr>
          <w:t>WAHA Receive messages and media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9">
        <w:r>
          <w:rPr>
            <w:rStyle w:val="Hyperlink"/>
            <w:color w:val="A60017"/>
            <w:u w:val="single"/>
            <w:rFonts w:ascii="Arial" w:hAnsi="Arial" w:eastAsia="Arial" w:cs="Arial"/>
          </w:rPr>
          <w:t>WAHA configuration and GOWS history synchronization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30">
        <w:r>
          <w:rPr>
            <w:rStyle w:val="Hyperlink"/>
            <w:color w:val="A60017"/>
            <w:u w:val="single"/>
            <w:rFonts w:ascii="Arial" w:hAnsi="Arial" w:eastAsia="Arial" w:cs="Arial"/>
          </w:rPr>
          <w:t>WhatsApp Business Messaging Policy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31">
        <w:r>
          <w:rPr>
            <w:rStyle w:val="Hyperlink"/>
            <w:color w:val="A60017"/>
            <w:u w:val="single"/>
            <w:rFonts w:ascii="Arial" w:hAnsi="Arial" w:eastAsia="Arial" w:cs="Arial"/>
          </w:rPr>
          <w:t>WhatsApp Business Terms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32">
        <w:r>
          <w:rPr>
            <w:rStyle w:val="Hyperlink"/>
            <w:color w:val="A60017"/>
            <w:u w:val="single"/>
            <w:rFonts w:ascii="Arial" w:hAnsi="Arial" w:eastAsia="Arial" w:cs="Arial"/>
          </w:rPr>
          <w:t>Gemini structured output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33">
        <w:r>
          <w:rPr>
            <w:rStyle w:val="Hyperlink"/>
            <w:color w:val="A60017"/>
            <w:u w:val="single"/>
            <w:rFonts w:ascii="Arial" w:hAnsi="Arial" w:eastAsia="Arial" w:cs="Arial"/>
          </w:rPr>
          <w:t>Gemini function calling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34">
        <w:r>
          <w:rPr>
            <w:rStyle w:val="Hyperlink"/>
            <w:color w:val="A60017"/>
            <w:u w:val="single"/>
            <w:rFonts w:ascii="Arial" w:hAnsi="Arial" w:eastAsia="Arial" w:cs="Arial"/>
          </w:rPr>
          <w:t>Gemini safety settings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docs/research/evo-mvp-waha-ai-memory-2026-08-09.md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docs/research/evo-mvp-autonomous-send-2026-08-09.md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docs/adr/0003–0019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Ultimate EVO Google Doc и accessible linked workflow/checklist metadata, проверенные read-only 2026-07-30; Drive/Sheets customer rows/files исключены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SRC-AMO;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SRC-ARCH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SRC-OZO;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SRC-LEAD; SRC-INBOX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SRC-GAP;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SRC-ARCH;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FR-110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SRC-ULTIMATE; SRC-OWNER; SRC-UI;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2.3: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2.3  ·  09.08.2026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5">
    <w:abstractNumId w:val="44"/>
  </w:num>
  <w:abstractNum w:abstractNumId="4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realtime/subscribing-to-database-changes" TargetMode="External"/><Relationship Id="rId23" Type="http://schemas.openxmlformats.org/officeDocument/2006/relationships/hyperlink" Target="https://supabase.com/docs/guides/auth/server-side/creating-a-client" TargetMode="External"/><Relationship Id="rId24" Type="http://schemas.openxmlformats.org/officeDocument/2006/relationships/hyperlink" Target="https://developers.kommo.com/docs/limitations" TargetMode="External"/><Relationship Id="rId25" Type="http://schemas.openxmlformats.org/officeDocument/2006/relationships/hyperlink" Target="https://developers.kommo.com/docs/webhooks-general" TargetMode="External"/><Relationship Id="rId26" Type="http://schemas.openxmlformats.org/officeDocument/2006/relationships/hyperlink" Target="https://waha.devlike.pro/docs/how-to/events/" TargetMode="External"/><Relationship Id="rId27" Type="http://schemas.openxmlformats.org/officeDocument/2006/relationships/hyperlink" Target="https://waha.devlike.pro/docs/how-to/send-messages/" TargetMode="External"/><Relationship Id="rId28" Type="http://schemas.openxmlformats.org/officeDocument/2006/relationships/hyperlink" Target="https://waha.devlike.pro/docs/how-to/receive-messages/" TargetMode="External"/><Relationship Id="rId29" Type="http://schemas.openxmlformats.org/officeDocument/2006/relationships/hyperlink" Target="https://waha.devlike.pro/docs/how-to/config/" TargetMode="External"/><Relationship Id="rId30" Type="http://schemas.openxmlformats.org/officeDocument/2006/relationships/hyperlink" Target="https://www.whatsappbusiness.com/policy/" TargetMode="External"/><Relationship Id="rId31" Type="http://schemas.openxmlformats.org/officeDocument/2006/relationships/hyperlink" Target="https://www.whatsapp.com/legal/business-terms" TargetMode="External"/><Relationship Id="rId32" Type="http://schemas.openxmlformats.org/officeDocument/2006/relationships/hyperlink" Target="https://ai.google.dev/gemini-api/docs/structured-output" TargetMode="External"/><Relationship Id="rId33" Type="http://schemas.openxmlformats.org/officeDocument/2006/relationships/hyperlink" Target="https://ai.google.dev/gemini-api/docs/function-calling" TargetMode="External"/><Relationship Id="rId34" Type="http://schemas.openxmlformats.org/officeDocument/2006/relationships/hyperlink" Target="https://ai.google.dev/gemini-api/docs/safety-settin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